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94F51" w:rsidRPr="00240D21" w:rsidP="009D581A">
      <w:pPr>
        <w:bidi w:val="0"/>
        <w:ind w:right="-108"/>
        <w:jc w:val="center"/>
        <w:rPr>
          <w:rFonts w:ascii="Times New Roman" w:hAnsi="Times New Roman"/>
          <w:b/>
          <w:bCs/>
          <w:sz w:val="28"/>
          <w:szCs w:val="28"/>
          <w:lang w:eastAsia="cs-CZ"/>
        </w:rPr>
      </w:pPr>
      <w:r w:rsidRPr="00240D21">
        <w:rPr>
          <w:rFonts w:ascii="Times New Roman" w:hAnsi="Times New Roman"/>
          <w:b/>
          <w:bCs/>
          <w:sz w:val="28"/>
          <w:szCs w:val="28"/>
          <w:lang w:eastAsia="cs-CZ"/>
        </w:rPr>
        <w:t>Doložka vybraných vplyvov</w:t>
      </w:r>
    </w:p>
    <w:p w:rsidR="00E94F51" w:rsidRPr="00240D21" w:rsidP="00E94F51">
      <w:pPr>
        <w:bidi w:val="0"/>
        <w:rPr>
          <w:rFonts w:ascii="Times New Roman" w:hAnsi="Times New Roman"/>
          <w:b/>
          <w:bCs/>
          <w:sz w:val="24"/>
          <w:szCs w:val="24"/>
          <w:lang w:eastAsia="cs-CZ"/>
        </w:rPr>
      </w:pPr>
    </w:p>
    <w:p w:rsidR="00E94F51" w:rsidRPr="00240D21" w:rsidP="00E94F51">
      <w:pPr>
        <w:bidi w:val="0"/>
        <w:ind w:firstLine="709"/>
        <w:jc w:val="both"/>
        <w:rPr>
          <w:rFonts w:ascii="Times New Roman" w:hAnsi="Times New Roman"/>
          <w:b/>
          <w:bCs/>
          <w:sz w:val="24"/>
          <w:szCs w:val="24"/>
          <w:lang w:eastAsia="cs-CZ"/>
        </w:rPr>
      </w:pPr>
      <w:r w:rsidRPr="00240D21">
        <w:rPr>
          <w:rFonts w:ascii="Times New Roman" w:hAnsi="Times New Roman"/>
          <w:b/>
          <w:bCs/>
          <w:sz w:val="24"/>
          <w:szCs w:val="24"/>
          <w:lang w:eastAsia="cs-CZ"/>
        </w:rPr>
        <w:t xml:space="preserve">A.1. Názov materiálu: </w:t>
      </w:r>
    </w:p>
    <w:p w:rsidR="00E94F51" w:rsidRPr="00DD3DAD" w:rsidP="00E94F51">
      <w:pPr>
        <w:bidi w:val="0"/>
        <w:jc w:val="both"/>
        <w:rPr>
          <w:rFonts w:ascii="Times New Roman" w:hAnsi="Times New Roman"/>
          <w:vanish/>
          <w:sz w:val="24"/>
          <w:szCs w:val="24"/>
        </w:rPr>
      </w:pPr>
      <w:r w:rsidRPr="007874B8">
        <w:rPr>
          <w:rFonts w:ascii="Times New Roman" w:hAnsi="Times New Roman"/>
          <w:sz w:val="24"/>
          <w:szCs w:val="24"/>
        </w:rPr>
        <w:t xml:space="preserve">Návrh na pristúpenie Slovenskej republiky </w:t>
      </w:r>
      <w:r w:rsidRPr="00DD3DAD" w:rsidR="00DD3DAD">
        <w:rPr>
          <w:rFonts w:ascii="Times New Roman" w:hAnsi="Times New Roman"/>
          <w:sz w:val="24"/>
          <w:szCs w:val="24"/>
        </w:rPr>
        <w:t xml:space="preserve">k Dohode o medzinárodnej železničnej preprave tovaru (SMGS) </w:t>
      </w:r>
      <w:r w:rsidRPr="00DD3DAD" w:rsidR="00DD3DAD">
        <w:rPr>
          <w:rFonts w:ascii="Times New Roman" w:hAnsi="Times New Roman"/>
          <w:bCs/>
          <w:sz w:val="24"/>
          <w:szCs w:val="24"/>
        </w:rPr>
        <w:t>a návrh vyhlásenia Slovenskej republiky k dohode SMGS</w:t>
      </w:r>
      <w:r w:rsidRPr="00DD3DAD" w:rsidR="00DD3DAD">
        <w:rPr>
          <w:rFonts w:ascii="Times New Roman" w:hAnsi="Times New Roman"/>
          <w:vanish/>
          <w:sz w:val="24"/>
          <w:szCs w:val="24"/>
        </w:rPr>
        <w:t xml:space="preserve"> </w:t>
      </w:r>
      <w:r w:rsidRPr="00DD3DAD">
        <w:rPr>
          <w:rFonts w:ascii="Times New Roman" w:hAnsi="Times New Roman"/>
          <w:vanish/>
          <w:sz w:val="24"/>
          <w:szCs w:val="24"/>
        </w:rPr>
        <w:t xml:space="preserve">Page Content Obsah stránky </w:t>
      </w:r>
    </w:p>
    <w:p w:rsidR="00E94F51" w:rsidRPr="00DD3DAD" w:rsidP="00E94F51">
      <w:pPr>
        <w:bidi w:val="0"/>
        <w:ind w:right="43"/>
        <w:jc w:val="both"/>
        <w:rPr>
          <w:rFonts w:ascii="Times New Roman" w:hAnsi="Times New Roman"/>
          <w:sz w:val="24"/>
          <w:szCs w:val="24"/>
        </w:rPr>
      </w:pPr>
      <w:r w:rsidRPr="00DD3DAD">
        <w:rPr>
          <w:rFonts w:ascii="Times New Roman" w:eastAsia="MS Mincho" w:hAnsi="Times New Roman" w:hint="default"/>
          <w:vanish/>
          <w:sz w:val="24"/>
          <w:szCs w:val="24"/>
        </w:rPr>
        <w:t>​</w:t>
      </w:r>
      <w:r w:rsidRPr="00DD3DAD">
        <w:rPr>
          <w:rFonts w:ascii="Times New Roman" w:hAnsi="Times New Roman"/>
          <w:vanish/>
          <w:sz w:val="24"/>
          <w:szCs w:val="24"/>
        </w:rPr>
        <w:t>The Convention was adopted to ensure that adequate, prompt, and effective compensation is available to persons who suffer damage caused by spills of oil, when carried as fuel in ships' bunkers.</w:t>
      </w:r>
    </w:p>
    <w:p w:rsidR="00E94F51" w:rsidRPr="00240D21" w:rsidP="00E94F51">
      <w:pPr>
        <w:bidi w:val="0"/>
        <w:jc w:val="both"/>
        <w:rPr>
          <w:rFonts w:ascii="Times New Roman" w:hAnsi="Times New Roman"/>
          <w:sz w:val="24"/>
          <w:szCs w:val="24"/>
          <w:lang w:eastAsia="cs-CZ"/>
        </w:rPr>
      </w:pPr>
    </w:p>
    <w:p w:rsidR="00E94F51" w:rsidRPr="00240D21" w:rsidP="00E94F51">
      <w:pPr>
        <w:bidi w:val="0"/>
        <w:rPr>
          <w:rFonts w:ascii="Times New Roman" w:hAnsi="Times New Roman"/>
          <w:bCs/>
          <w:sz w:val="24"/>
          <w:szCs w:val="24"/>
          <w:lang w:eastAsia="cs-CZ"/>
        </w:rPr>
      </w:pPr>
      <w:r w:rsidRPr="00240D21">
        <w:rPr>
          <w:rFonts w:ascii="Times New Roman" w:hAnsi="Times New Roman"/>
          <w:b/>
          <w:bCs/>
          <w:sz w:val="24"/>
          <w:szCs w:val="24"/>
          <w:lang w:eastAsia="cs-CZ"/>
        </w:rPr>
        <w:t xml:space="preserve">        Termín začatia a ukončenia PPK: </w:t>
      </w:r>
      <w:r w:rsidR="00A86C00">
        <w:rPr>
          <w:rFonts w:ascii="Times New Roman" w:hAnsi="Times New Roman"/>
          <w:color w:val="000000"/>
          <w:sz w:val="24"/>
          <w:szCs w:val="24"/>
        </w:rPr>
        <w:t>10. 04. 2014 – 14. 04. 2014</w:t>
      </w:r>
    </w:p>
    <w:p w:rsidR="00E94F51" w:rsidRPr="00240D21" w:rsidP="00E94F51">
      <w:pPr>
        <w:bidi w:val="0"/>
        <w:rPr>
          <w:rFonts w:ascii="Times New Roman" w:hAnsi="Times New Roman"/>
          <w:b/>
          <w:bCs/>
          <w:sz w:val="24"/>
          <w:szCs w:val="24"/>
          <w:lang w:eastAsia="cs-CZ"/>
        </w:rPr>
      </w:pPr>
    </w:p>
    <w:p w:rsidR="00E94F51" w:rsidRPr="00240D21" w:rsidP="00E94F51">
      <w:pPr>
        <w:bidi w:val="0"/>
        <w:rPr>
          <w:rFonts w:ascii="Times New Roman" w:hAnsi="Times New Roman"/>
          <w:b/>
          <w:bCs/>
          <w:sz w:val="24"/>
          <w:szCs w:val="24"/>
          <w:lang w:eastAsia="cs-CZ"/>
        </w:rPr>
      </w:pPr>
      <w:r w:rsidRPr="00240D21">
        <w:rPr>
          <w:rFonts w:ascii="Times New Roman" w:hAnsi="Times New Roman"/>
          <w:b/>
          <w:bCs/>
          <w:sz w:val="24"/>
          <w:szCs w:val="24"/>
          <w:lang w:eastAsia="cs-CZ"/>
        </w:rPr>
        <w:t>A.2. Vplyvy:</w:t>
      </w:r>
    </w:p>
    <w:p w:rsidR="00E94F51" w:rsidRPr="00240D21" w:rsidP="00E94F51">
      <w:pPr>
        <w:bidi w:val="0"/>
        <w:rPr>
          <w:rFonts w:ascii="Times New Roman" w:hAnsi="Times New Roman"/>
          <w:sz w:val="24"/>
          <w:szCs w:val="24"/>
          <w:lang w:eastAsia="cs-CZ"/>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rPr>
                <w:rFonts w:ascii="Times New Roman" w:hAnsi="Times New Roman"/>
                <w:sz w:val="24"/>
                <w:szCs w:val="24"/>
                <w:lang w:eastAsia="cs-CZ"/>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E94F51" w:rsidRPr="00245386" w:rsidP="00E1108D">
            <w:pPr>
              <w:bidi w:val="0"/>
              <w:spacing w:after="0" w:line="240" w:lineRule="auto"/>
              <w:jc w:val="center"/>
              <w:rPr>
                <w:rFonts w:ascii="Times New Roman" w:hAnsi="Times New Roman"/>
                <w:sz w:val="24"/>
                <w:szCs w:val="24"/>
                <w:lang w:eastAsia="cs-CZ"/>
              </w:rPr>
            </w:pPr>
            <w:r w:rsidRPr="00245386">
              <w:rPr>
                <w:rFonts w:ascii="Times New Roman" w:hAnsi="Times New Roman"/>
                <w:sz w:val="24"/>
                <w:szCs w:val="24"/>
                <w:lang w:eastAsia="cs-CZ"/>
              </w:rPr>
              <w:t>Pozitívne</w:t>
            </w:r>
            <w:r w:rsidRPr="00245386">
              <w:rPr>
                <w:rFonts w:ascii="Times New Roman" w:hAnsi="Times New Roman"/>
                <w:sz w:val="24"/>
                <w:szCs w:val="24"/>
                <w:vertAlign w:val="superscript"/>
                <w:lang w:eastAsia="cs-CZ"/>
              </w:rPr>
              <w:t>*</w:t>
            </w:r>
            <w:r w:rsidRPr="00245386">
              <w:rPr>
                <w:rFonts w:ascii="Times New Roman" w:hAnsi="Times New Roman"/>
                <w:sz w:val="24"/>
                <w:szCs w:val="24"/>
                <w:lang w:eastAsia="cs-CZ"/>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E94F51" w:rsidRPr="00245386" w:rsidP="00E1108D">
            <w:pPr>
              <w:bidi w:val="0"/>
              <w:spacing w:after="0" w:line="240" w:lineRule="auto"/>
              <w:jc w:val="center"/>
              <w:rPr>
                <w:rFonts w:ascii="Times New Roman" w:hAnsi="Times New Roman"/>
                <w:sz w:val="24"/>
                <w:szCs w:val="24"/>
                <w:lang w:eastAsia="cs-CZ"/>
              </w:rPr>
            </w:pPr>
            <w:r w:rsidRPr="00245386">
              <w:rPr>
                <w:rFonts w:ascii="Times New Roman" w:hAnsi="Times New Roman"/>
                <w:sz w:val="24"/>
                <w:szCs w:val="24"/>
                <w:lang w:eastAsia="cs-CZ"/>
              </w:rPr>
              <w:t>Žiadne</w:t>
            </w:r>
            <w:r w:rsidRPr="00245386">
              <w:rPr>
                <w:rFonts w:ascii="Times New Roman" w:hAnsi="Times New Roman"/>
                <w:sz w:val="24"/>
                <w:szCs w:val="24"/>
                <w:vertAlign w:val="superscript"/>
                <w:lang w:eastAsia="cs-CZ"/>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E94F51" w:rsidRPr="00245386" w:rsidP="00E1108D">
            <w:pPr>
              <w:bidi w:val="0"/>
              <w:spacing w:after="0" w:line="240" w:lineRule="auto"/>
              <w:jc w:val="center"/>
              <w:rPr>
                <w:rFonts w:ascii="Times New Roman" w:hAnsi="Times New Roman"/>
                <w:sz w:val="24"/>
                <w:szCs w:val="24"/>
                <w:lang w:eastAsia="cs-CZ"/>
              </w:rPr>
            </w:pPr>
            <w:r w:rsidRPr="00245386">
              <w:rPr>
                <w:rFonts w:ascii="Times New Roman" w:hAnsi="Times New Roman"/>
                <w:sz w:val="24"/>
                <w:szCs w:val="24"/>
                <w:lang w:eastAsia="cs-CZ"/>
              </w:rPr>
              <w:t>Negatívne</w:t>
            </w:r>
            <w:r w:rsidRPr="00245386">
              <w:rPr>
                <w:rFonts w:ascii="Times New Roman" w:hAnsi="Times New Roman"/>
                <w:sz w:val="24"/>
                <w:szCs w:val="24"/>
                <w:vertAlign w:val="superscript"/>
                <w:lang w:eastAsia="cs-CZ"/>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rPr>
                <w:rFonts w:ascii="Times New Roman" w:hAnsi="Times New Roman"/>
                <w:bCs/>
                <w:sz w:val="24"/>
                <w:szCs w:val="24"/>
                <w:lang w:eastAsia="cs-CZ"/>
              </w:rPr>
            </w:pPr>
            <w:r w:rsidRPr="00245386">
              <w:rPr>
                <w:rFonts w:ascii="Times New Roman" w:hAnsi="Times New Roman"/>
                <w:bCs/>
                <w:sz w:val="24"/>
                <w:szCs w:val="24"/>
                <w:lang w:eastAsia="cs-CZ"/>
              </w:rPr>
              <w:t>1. Vplyvy na rozpočet verejnej správy</w:t>
            </w:r>
          </w:p>
          <w:p w:rsidR="00E94F51" w:rsidRPr="00245386" w:rsidP="00E1108D">
            <w:pPr>
              <w:bidi w:val="0"/>
              <w:spacing w:after="0" w:line="240" w:lineRule="auto"/>
              <w:rPr>
                <w:rFonts w:ascii="Times New Roman" w:hAnsi="Times New Roman"/>
                <w:i/>
                <w:sz w:val="24"/>
                <w:szCs w:val="24"/>
                <w:lang w:eastAsia="cs-CZ"/>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r w:rsidRPr="00245386">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rPr>
                <w:rFonts w:ascii="Times New Roman" w:hAnsi="Times New Roman"/>
                <w:sz w:val="24"/>
                <w:szCs w:val="24"/>
                <w:lang w:eastAsia="cs-CZ"/>
              </w:rPr>
            </w:pPr>
            <w:r w:rsidRPr="00245386">
              <w:rPr>
                <w:rFonts w:ascii="Times New Roman" w:hAnsi="Times New Roman"/>
                <w:bCs/>
                <w:sz w:val="24"/>
                <w:szCs w:val="24"/>
                <w:lang w:eastAsia="cs-CZ"/>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r w:rsidR="009D581A">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rPr>
                <w:rFonts w:ascii="Times New Roman" w:hAnsi="Times New Roman"/>
                <w:bCs/>
                <w:sz w:val="24"/>
                <w:szCs w:val="24"/>
                <w:lang w:eastAsia="cs-CZ"/>
              </w:rPr>
            </w:pPr>
            <w:r w:rsidRPr="00245386">
              <w:rPr>
                <w:rFonts w:ascii="Times New Roman" w:hAnsi="Times New Roman"/>
                <w:bCs/>
                <w:sz w:val="24"/>
                <w:szCs w:val="24"/>
                <w:lang w:eastAsia="cs-CZ"/>
              </w:rPr>
              <w:t xml:space="preserve">3, Sociálne vplyvy </w:t>
            </w:r>
          </w:p>
          <w:p w:rsidR="00E94F51" w:rsidRPr="00245386" w:rsidP="00E1108D">
            <w:pPr>
              <w:bidi w:val="0"/>
              <w:spacing w:after="0" w:line="240" w:lineRule="auto"/>
              <w:rPr>
                <w:rFonts w:ascii="Times New Roman" w:hAnsi="Times New Roman"/>
                <w:bCs/>
                <w:sz w:val="24"/>
                <w:szCs w:val="24"/>
                <w:lang w:eastAsia="cs-CZ"/>
              </w:rPr>
            </w:pPr>
            <w:r w:rsidRPr="00245386">
              <w:rPr>
                <w:rFonts w:ascii="Times New Roman" w:hAnsi="Times New Roman"/>
                <w:bCs/>
                <w:sz w:val="24"/>
                <w:szCs w:val="24"/>
                <w:lang w:eastAsia="cs-CZ"/>
              </w:rPr>
              <w:t>– vplyvy  na hospodárenie obyvateľstva,</w:t>
            </w:r>
          </w:p>
          <w:p w:rsidR="00E94F51" w:rsidRPr="00245386" w:rsidP="00E1108D">
            <w:pPr>
              <w:bidi w:val="0"/>
              <w:spacing w:after="0" w:line="240" w:lineRule="auto"/>
              <w:rPr>
                <w:rFonts w:ascii="Times New Roman" w:hAnsi="Times New Roman"/>
                <w:bCs/>
                <w:sz w:val="24"/>
                <w:szCs w:val="24"/>
                <w:lang w:eastAsia="cs-CZ"/>
              </w:rPr>
            </w:pPr>
            <w:r w:rsidRPr="00245386">
              <w:rPr>
                <w:rFonts w:ascii="Times New Roman" w:hAnsi="Times New Roman"/>
                <w:bCs/>
                <w:sz w:val="24"/>
                <w:szCs w:val="24"/>
                <w:lang w:eastAsia="cs-CZ"/>
              </w:rPr>
              <w:t>-sociálnu exklúziu,</w:t>
            </w:r>
          </w:p>
          <w:p w:rsidR="00E94F51" w:rsidRPr="00245386" w:rsidP="00E1108D">
            <w:pPr>
              <w:bidi w:val="0"/>
              <w:spacing w:after="0" w:line="240" w:lineRule="auto"/>
              <w:rPr>
                <w:rFonts w:ascii="Times New Roman" w:hAnsi="Times New Roman"/>
                <w:sz w:val="24"/>
                <w:szCs w:val="24"/>
                <w:lang w:eastAsia="cs-CZ"/>
              </w:rPr>
            </w:pPr>
            <w:r w:rsidRPr="00245386">
              <w:rPr>
                <w:rFonts w:ascii="Times New Roman" w:hAnsi="Times New Roman"/>
                <w:bCs/>
                <w:sz w:val="24"/>
                <w:szCs w:val="24"/>
                <w:lang w:eastAsia="cs-CZ"/>
              </w:rPr>
              <w:t>-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r w:rsidR="009D581A">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rPr>
                <w:rFonts w:ascii="Times New Roman" w:hAnsi="Times New Roman"/>
                <w:sz w:val="24"/>
                <w:szCs w:val="24"/>
                <w:lang w:eastAsia="cs-CZ"/>
              </w:rPr>
            </w:pPr>
            <w:r w:rsidRPr="00245386">
              <w:rPr>
                <w:rFonts w:ascii="Times New Roman" w:hAnsi="Times New Roman"/>
                <w:bCs/>
                <w:sz w:val="24"/>
                <w:szCs w:val="24"/>
                <w:lang w:val="pt-BR" w:eastAsia="cs-CZ"/>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r w:rsidRPr="00245386">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rPr>
                <w:rFonts w:ascii="Times New Roman" w:hAnsi="Times New Roman"/>
                <w:bCs/>
                <w:sz w:val="24"/>
                <w:szCs w:val="24"/>
                <w:lang w:val="pt-BR" w:eastAsia="cs-CZ"/>
              </w:rPr>
            </w:pPr>
            <w:r w:rsidRPr="00245386">
              <w:rPr>
                <w:rFonts w:ascii="Times New Roman" w:hAnsi="Times New Roman"/>
                <w:bCs/>
                <w:sz w:val="24"/>
                <w:szCs w:val="24"/>
                <w:lang w:val="pt-BR" w:eastAsia="cs-CZ"/>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r w:rsidRPr="00245386">
              <w:rPr>
                <w:rFonts w:ascii="Times New Roman" w:hAnsi="Times New Roman"/>
                <w:sz w:val="24"/>
                <w:szCs w:val="24"/>
                <w:lang w:eastAsia="cs-CZ"/>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E94F51" w:rsidRPr="00245386" w:rsidP="00E1108D">
            <w:pPr>
              <w:bidi w:val="0"/>
              <w:spacing w:after="0" w:line="240" w:lineRule="auto"/>
              <w:jc w:val="center"/>
              <w:rPr>
                <w:rFonts w:ascii="Times New Roman" w:hAnsi="Times New Roman"/>
                <w:sz w:val="24"/>
                <w:szCs w:val="24"/>
                <w:lang w:eastAsia="cs-CZ"/>
              </w:rPr>
            </w:pPr>
          </w:p>
        </w:tc>
      </w:tr>
    </w:tbl>
    <w:p w:rsidR="00E94F51" w:rsidRPr="00240D21" w:rsidP="00E94F51">
      <w:pPr>
        <w:bidi w:val="0"/>
        <w:jc w:val="both"/>
        <w:rPr>
          <w:rFonts w:ascii="Times New Roman" w:hAnsi="Times New Roman"/>
          <w:b/>
          <w:bCs/>
          <w:sz w:val="24"/>
          <w:szCs w:val="24"/>
          <w:u w:val="single"/>
          <w:lang w:eastAsia="cs-CZ"/>
        </w:rPr>
      </w:pPr>
    </w:p>
    <w:p w:rsidR="00E94F51" w:rsidRPr="00240D21" w:rsidP="00E94F51">
      <w:pPr>
        <w:bidi w:val="0"/>
        <w:jc w:val="both"/>
        <w:rPr>
          <w:rFonts w:ascii="Times New Roman" w:hAnsi="Times New Roman"/>
          <w:b/>
          <w:bCs/>
          <w:sz w:val="24"/>
          <w:szCs w:val="24"/>
          <w:lang w:eastAsia="cs-CZ"/>
        </w:rPr>
      </w:pPr>
      <w:r w:rsidRPr="00240D21">
        <w:rPr>
          <w:rFonts w:ascii="Times New Roman" w:hAnsi="Times New Roman"/>
          <w:b/>
          <w:bCs/>
          <w:sz w:val="24"/>
          <w:szCs w:val="24"/>
          <w:lang w:eastAsia="cs-CZ"/>
        </w:rPr>
        <w:t>A.3. Poznámky</w:t>
      </w:r>
    </w:p>
    <w:p w:rsidR="00A86C00" w:rsidP="00A86C00">
      <w:pPr>
        <w:bidi w:val="0"/>
        <w:ind w:left="454"/>
        <w:jc w:val="both"/>
        <w:rPr>
          <w:rFonts w:ascii="Times New Roman" w:hAnsi="Times New Roman"/>
          <w:color w:val="000000"/>
          <w:sz w:val="24"/>
          <w:szCs w:val="24"/>
        </w:rPr>
      </w:pPr>
    </w:p>
    <w:p w:rsidR="00A86C00" w:rsidRPr="007146D0" w:rsidP="00A86C00">
      <w:pPr>
        <w:bidi w:val="0"/>
        <w:jc w:val="both"/>
        <w:rPr>
          <w:rFonts w:ascii="Times New Roman" w:hAnsi="Times New Roman"/>
          <w:color w:val="000000"/>
          <w:sz w:val="24"/>
          <w:szCs w:val="24"/>
        </w:rPr>
      </w:pPr>
      <w:r w:rsidRPr="007146D0">
        <w:rPr>
          <w:rFonts w:ascii="Times New Roman" w:hAnsi="Times New Roman"/>
          <w:color w:val="000000"/>
          <w:sz w:val="24"/>
          <w:szCs w:val="24"/>
        </w:rPr>
        <w:t>Pristúpenie Slovenskej republiky k Dohode o medzinárodnej železničnej preprave tovaru (Dohoda SMGS) zabezpečí rovnoprávne postavenie pre všetkých dopravcov na území SR, ktorí realizujú prepravy tovarov po železnici v smere východ-západ a opačne voči dopravcom z okolitých štátov, ktoré sú členmi  Dohody SMGS. V prípade nepristúpenia SR k Dohode SMGS budú prepravné toky presmerované a budú obchádzať územie SR. Najoptimistickejší variant v prípade nepristúpenia k Dohode SMGS je ten, že väčšina tovarov bude prekladaná na území Ukrajiny a následne bude pokračovať na územie SR. Takýto stav by však bol likvidačný pre  oblasť Východoslovenské prekladiská, čo by v maximálnej miere zasiahlo cel</w:t>
      </w:r>
      <w:r>
        <w:rPr>
          <w:rFonts w:ascii="Times New Roman" w:hAnsi="Times New Roman"/>
          <w:color w:val="000000"/>
          <w:sz w:val="24"/>
          <w:szCs w:val="24"/>
        </w:rPr>
        <w:t>ý tento</w:t>
      </w:r>
      <w:r w:rsidRPr="007146D0">
        <w:rPr>
          <w:rFonts w:ascii="Times New Roman" w:hAnsi="Times New Roman"/>
          <w:color w:val="000000"/>
          <w:sz w:val="24"/>
          <w:szCs w:val="24"/>
        </w:rPr>
        <w:t xml:space="preserve"> región. </w:t>
      </w:r>
    </w:p>
    <w:p w:rsidR="00A86C00" w:rsidRPr="004F65BB" w:rsidP="00A86C00">
      <w:pPr>
        <w:bidi w:val="0"/>
        <w:jc w:val="both"/>
        <w:rPr>
          <w:rFonts w:ascii="Times New Roman" w:hAnsi="Times New Roman"/>
          <w:color w:val="000000"/>
          <w:sz w:val="24"/>
          <w:szCs w:val="24"/>
        </w:rPr>
      </w:pPr>
      <w:r w:rsidRPr="004F65BB">
        <w:rPr>
          <w:rFonts w:ascii="Times New Roman" w:hAnsi="Times New Roman"/>
          <w:color w:val="000000"/>
          <w:sz w:val="24"/>
          <w:szCs w:val="24"/>
        </w:rPr>
        <w:t>Cez slovensko-ukajinské pohraničné prechodové stanice Maťovce a Čierna nad Tisou ZSSK CARGO v roku 2013 prepravilo takmer 40 percent ton tovarov z Ukrajiny, Rusk</w:t>
      </w:r>
      <w:r w:rsidR="00E26077">
        <w:rPr>
          <w:rFonts w:ascii="Times New Roman" w:hAnsi="Times New Roman"/>
          <w:color w:val="000000"/>
          <w:sz w:val="24"/>
          <w:szCs w:val="24"/>
        </w:rPr>
        <w:t>ej federácie</w:t>
      </w:r>
      <w:r w:rsidRPr="004F65BB">
        <w:rPr>
          <w:rFonts w:ascii="Times New Roman" w:hAnsi="Times New Roman"/>
          <w:color w:val="000000"/>
          <w:sz w:val="24"/>
          <w:szCs w:val="24"/>
        </w:rPr>
        <w:t xml:space="preserve"> a ďalších krajín na východ od Slovenskej republiky. Cez Čiernu nad Tisou ZSSK CARGO v roku 2013 prepravilo 7,78 miliónov ton tovaru (železná ruda, uhlie, ropné výrobky, kovy, drevo, chemikálie a iné). V železničnej stanici Čierna nad Tisou bolo v roku 2013 celkovo spracovaných 6705 nákladných vlakov východiskových a 6139 končiacich na trati normálneho rozchodu </w:t>
      </w:r>
      <w:smartTag w:uri="urn:schemas-microsoft-com:office:smarttags" w:element="metricconverter">
        <w:smartTagPr>
          <w:attr w:name="ProductID" w:val="1435 mm"/>
        </w:smartTagPr>
        <w:r w:rsidRPr="004F65BB">
          <w:rPr>
            <w:rFonts w:ascii="Times New Roman" w:hAnsi="Times New Roman"/>
            <w:color w:val="000000"/>
            <w:sz w:val="24"/>
            <w:szCs w:val="24"/>
          </w:rPr>
          <w:t>1435 mm</w:t>
        </w:r>
      </w:smartTag>
      <w:r w:rsidRPr="004F65BB">
        <w:rPr>
          <w:rFonts w:ascii="Times New Roman" w:hAnsi="Times New Roman"/>
          <w:color w:val="000000"/>
          <w:sz w:val="24"/>
          <w:szCs w:val="24"/>
        </w:rPr>
        <w:t xml:space="preserve">, 1904 nákladných vlakov východiskových a 1917 končiacich na trati širokého rozchodu </w:t>
      </w:r>
      <w:smartTag w:uri="urn:schemas-microsoft-com:office:smarttags" w:element="metricconverter">
        <w:smartTagPr>
          <w:attr w:name="ProductID" w:val="1520 mm"/>
        </w:smartTagPr>
        <w:r w:rsidRPr="004F65BB">
          <w:rPr>
            <w:rFonts w:ascii="Times New Roman" w:hAnsi="Times New Roman"/>
            <w:color w:val="000000"/>
            <w:sz w:val="24"/>
            <w:szCs w:val="24"/>
          </w:rPr>
          <w:t>1520 mm</w:t>
        </w:r>
      </w:smartTag>
      <w:r w:rsidRPr="004F65BB">
        <w:rPr>
          <w:rFonts w:ascii="Times New Roman" w:hAnsi="Times New Roman"/>
          <w:color w:val="000000"/>
          <w:sz w:val="24"/>
          <w:szCs w:val="24"/>
        </w:rPr>
        <w:t xml:space="preserve">, a celkovo bolo vykonaných 48 255 manipulácií s hnacími dráhovými vozidlami. </w:t>
      </w:r>
    </w:p>
    <w:p w:rsidR="00A86C00" w:rsidRPr="004F65BB" w:rsidP="00A86C00">
      <w:pPr>
        <w:bidi w:val="0"/>
        <w:jc w:val="both"/>
        <w:rPr>
          <w:rFonts w:ascii="Times New Roman" w:hAnsi="Times New Roman"/>
          <w:color w:val="000000"/>
          <w:sz w:val="24"/>
          <w:szCs w:val="24"/>
        </w:rPr>
      </w:pPr>
      <w:r w:rsidRPr="004F65BB">
        <w:rPr>
          <w:rFonts w:ascii="Times New Roman" w:hAnsi="Times New Roman"/>
          <w:color w:val="000000"/>
          <w:sz w:val="24"/>
          <w:szCs w:val="24"/>
        </w:rPr>
        <w:t xml:space="preserve">Cez Maťovce v roku 2013 ZSSK CARGO prepravilo 7,12 miliónov ton tovaru (železná ruda, uhlie pre USS, uhlie pre Elektráreň Vojany, koks, ropné výrobky, rašelina, skvapalnené plyny, chemikálie a iné). V železničnej stanici Maťovce bolo v roku 2013 celkovo spracovaných 630 nákladných vlakov východiskových a 627 končiacich na trati normálneho rozchodu </w:t>
      </w:r>
      <w:smartTag w:uri="urn:schemas-microsoft-com:office:smarttags" w:element="metricconverter">
        <w:smartTagPr>
          <w:attr w:name="ProductID" w:val="1435 mm"/>
        </w:smartTagPr>
        <w:r w:rsidRPr="004F65BB">
          <w:rPr>
            <w:rFonts w:ascii="Times New Roman" w:hAnsi="Times New Roman"/>
            <w:color w:val="000000"/>
            <w:sz w:val="24"/>
            <w:szCs w:val="24"/>
          </w:rPr>
          <w:t>1435 mm</w:t>
        </w:r>
      </w:smartTag>
      <w:r w:rsidRPr="004F65BB">
        <w:rPr>
          <w:rFonts w:ascii="Times New Roman" w:hAnsi="Times New Roman"/>
          <w:color w:val="000000"/>
          <w:sz w:val="24"/>
          <w:szCs w:val="24"/>
        </w:rPr>
        <w:t xml:space="preserve">, 5892 nákladných vlakov východiskových a 5893 končiacich na trati širokého rozchodu </w:t>
      </w:r>
      <w:smartTag w:uri="urn:schemas-microsoft-com:office:smarttags" w:element="metricconverter">
        <w:smartTagPr>
          <w:attr w:name="ProductID" w:val="1520 mm"/>
        </w:smartTagPr>
        <w:r w:rsidRPr="004F65BB">
          <w:rPr>
            <w:rFonts w:ascii="Times New Roman" w:hAnsi="Times New Roman"/>
            <w:color w:val="000000"/>
            <w:sz w:val="24"/>
            <w:szCs w:val="24"/>
          </w:rPr>
          <w:t>1520 mm</w:t>
        </w:r>
      </w:smartTag>
      <w:r w:rsidRPr="004F65BB">
        <w:rPr>
          <w:rFonts w:ascii="Times New Roman" w:hAnsi="Times New Roman"/>
          <w:color w:val="000000"/>
          <w:sz w:val="24"/>
          <w:szCs w:val="24"/>
        </w:rPr>
        <w:t>, a celkovo bolo vykonaných 33 818 manipulácií s hnacími dráhovými vozidlami.</w:t>
      </w:r>
    </w:p>
    <w:p w:rsidR="00A86C00" w:rsidP="00A86C00">
      <w:pPr>
        <w:bidi w:val="0"/>
        <w:jc w:val="both"/>
        <w:rPr>
          <w:rFonts w:ascii="Times New Roman" w:hAnsi="Times New Roman"/>
          <w:color w:val="000000"/>
          <w:sz w:val="24"/>
          <w:szCs w:val="24"/>
        </w:rPr>
      </w:pPr>
      <w:r w:rsidRPr="007146D0">
        <w:rPr>
          <w:rFonts w:ascii="Times New Roman" w:hAnsi="Times New Roman"/>
          <w:color w:val="000000"/>
          <w:sz w:val="24"/>
          <w:szCs w:val="24"/>
        </w:rPr>
        <w:t>Pre plánovacie obdobie rokov 2014 – 16 sú na ŽSR plánované investície na projekty modernizácie železničnej infraštruktúry pre ŽST Čierna nad Tisou vo výške 3,158 mil. € a ŽST Maťovce 4,666 mil. €.</w:t>
      </w:r>
      <w:r>
        <w:rPr>
          <w:rFonts w:ascii="Times New Roman" w:hAnsi="Times New Roman"/>
          <w:color w:val="000000"/>
          <w:sz w:val="24"/>
          <w:szCs w:val="24"/>
        </w:rPr>
        <w:t xml:space="preserve"> </w:t>
      </w:r>
      <w:r w:rsidRPr="007146D0">
        <w:rPr>
          <w:rFonts w:ascii="Times New Roman" w:hAnsi="Times New Roman"/>
          <w:color w:val="000000"/>
          <w:sz w:val="24"/>
          <w:szCs w:val="24"/>
        </w:rPr>
        <w:t xml:space="preserve">ZSSK CARGO plánuje v investičnom období 2014-2020 preinvestovať vo </w:t>
      </w:r>
      <w:r w:rsidRPr="00AB29D6">
        <w:rPr>
          <w:rFonts w:ascii="Times New Roman" w:hAnsi="Times New Roman"/>
          <w:color w:val="000000"/>
          <w:sz w:val="24"/>
          <w:szCs w:val="24"/>
        </w:rPr>
        <w:t>Východoslovensk</w:t>
      </w:r>
      <w:r>
        <w:rPr>
          <w:rFonts w:ascii="Times New Roman" w:hAnsi="Times New Roman"/>
          <w:color w:val="000000"/>
          <w:sz w:val="24"/>
          <w:szCs w:val="24"/>
        </w:rPr>
        <w:t>ých</w:t>
      </w:r>
      <w:r w:rsidRPr="00AB29D6">
        <w:rPr>
          <w:rFonts w:ascii="Times New Roman" w:hAnsi="Times New Roman"/>
          <w:color w:val="000000"/>
          <w:sz w:val="24"/>
          <w:szCs w:val="24"/>
        </w:rPr>
        <w:t xml:space="preserve"> prekladiská</w:t>
      </w:r>
      <w:r>
        <w:rPr>
          <w:rFonts w:ascii="Times New Roman" w:hAnsi="Times New Roman"/>
          <w:color w:val="000000"/>
          <w:sz w:val="24"/>
          <w:szCs w:val="24"/>
        </w:rPr>
        <w:t>ch</w:t>
      </w:r>
      <w:r w:rsidRPr="00AB29D6">
        <w:rPr>
          <w:rFonts w:ascii="Times New Roman" w:hAnsi="Times New Roman"/>
          <w:color w:val="000000"/>
          <w:sz w:val="24"/>
          <w:szCs w:val="24"/>
        </w:rPr>
        <w:t xml:space="preserve"> </w:t>
      </w:r>
      <w:r>
        <w:rPr>
          <w:rFonts w:ascii="Times New Roman" w:hAnsi="Times New Roman"/>
          <w:color w:val="000000"/>
          <w:sz w:val="24"/>
          <w:szCs w:val="24"/>
        </w:rPr>
        <w:t>(</w:t>
      </w:r>
      <w:r w:rsidRPr="007146D0">
        <w:rPr>
          <w:rFonts w:ascii="Times New Roman" w:hAnsi="Times New Roman"/>
          <w:color w:val="000000"/>
          <w:sz w:val="24"/>
          <w:szCs w:val="24"/>
        </w:rPr>
        <w:t>VSP</w:t>
      </w:r>
      <w:r>
        <w:rPr>
          <w:rFonts w:ascii="Times New Roman" w:hAnsi="Times New Roman"/>
          <w:color w:val="000000"/>
          <w:sz w:val="24"/>
          <w:szCs w:val="24"/>
        </w:rPr>
        <w:t>)</w:t>
      </w:r>
      <w:r w:rsidRPr="007146D0">
        <w:rPr>
          <w:rFonts w:ascii="Times New Roman" w:hAnsi="Times New Roman"/>
          <w:color w:val="000000"/>
          <w:sz w:val="24"/>
          <w:szCs w:val="24"/>
        </w:rPr>
        <w:t xml:space="preserve"> 9,079 mil. € </w:t>
      </w:r>
      <w:r>
        <w:rPr>
          <w:rFonts w:ascii="Times New Roman" w:hAnsi="Times New Roman"/>
          <w:color w:val="000000"/>
          <w:sz w:val="24"/>
          <w:szCs w:val="24"/>
        </w:rPr>
        <w:br/>
      </w:r>
      <w:r w:rsidRPr="007146D0">
        <w:rPr>
          <w:rFonts w:ascii="Times New Roman" w:hAnsi="Times New Roman"/>
          <w:color w:val="000000"/>
          <w:sz w:val="24"/>
          <w:szCs w:val="24"/>
        </w:rPr>
        <w:t>do technologických zariadení.</w:t>
      </w:r>
    </w:p>
    <w:p w:rsidR="00A86C00" w:rsidRPr="004F65BB" w:rsidP="00A86C00">
      <w:pPr>
        <w:bidi w:val="0"/>
        <w:jc w:val="both"/>
        <w:rPr>
          <w:rFonts w:ascii="Times New Roman" w:hAnsi="Times New Roman"/>
          <w:color w:val="000000"/>
          <w:sz w:val="24"/>
          <w:szCs w:val="24"/>
        </w:rPr>
      </w:pPr>
      <w:r w:rsidRPr="00193C7A">
        <w:rPr>
          <w:rFonts w:ascii="Times New Roman" w:hAnsi="Times New Roman"/>
          <w:color w:val="000000"/>
          <w:sz w:val="24"/>
          <w:szCs w:val="24"/>
        </w:rPr>
        <w:t xml:space="preserve">Medzivládna Organizácia pre spoluprácu železníc (OSŽD), ktorej členom </w:t>
      </w:r>
      <w:r>
        <w:rPr>
          <w:rFonts w:ascii="Times New Roman" w:hAnsi="Times New Roman"/>
          <w:color w:val="000000"/>
          <w:sz w:val="24"/>
          <w:szCs w:val="24"/>
        </w:rPr>
        <w:br/>
      </w:r>
      <w:r w:rsidRPr="00193C7A">
        <w:rPr>
          <w:rFonts w:ascii="Times New Roman" w:hAnsi="Times New Roman"/>
          <w:color w:val="000000"/>
          <w:sz w:val="24"/>
          <w:szCs w:val="24"/>
        </w:rPr>
        <w:t>je aj Slovenská republika</w:t>
      </w:r>
      <w:r>
        <w:rPr>
          <w:rFonts w:ascii="Times New Roman" w:hAnsi="Times New Roman"/>
          <w:color w:val="000000"/>
          <w:sz w:val="24"/>
          <w:szCs w:val="24"/>
        </w:rPr>
        <w:t xml:space="preserve"> </w:t>
      </w:r>
      <w:r w:rsidRPr="004F65BB">
        <w:rPr>
          <w:rFonts w:ascii="Times New Roman" w:hAnsi="Times New Roman"/>
          <w:color w:val="000000"/>
          <w:sz w:val="24"/>
          <w:szCs w:val="24"/>
        </w:rPr>
        <w:t xml:space="preserve">zámery SR plne podporuje. Členmi  Dohody SMGS </w:t>
      </w:r>
      <w:r>
        <w:rPr>
          <w:rFonts w:ascii="Times New Roman" w:hAnsi="Times New Roman"/>
          <w:color w:val="000000"/>
          <w:sz w:val="24"/>
          <w:szCs w:val="24"/>
        </w:rPr>
        <w:br/>
      </w:r>
      <w:r w:rsidRPr="004F65BB">
        <w:rPr>
          <w:rFonts w:ascii="Times New Roman" w:hAnsi="Times New Roman"/>
          <w:color w:val="000000"/>
          <w:sz w:val="24"/>
          <w:szCs w:val="24"/>
        </w:rPr>
        <w:t>je aj ďalších  6 členských krajín EU: Estónsko, Lotyšsko, Litva, Poľsko, Maďarsko, Bulharsko.</w:t>
      </w:r>
    </w:p>
    <w:p w:rsidR="00DD3DAD" w:rsidP="00E94F51">
      <w:pPr>
        <w:bidi w:val="0"/>
        <w:jc w:val="both"/>
        <w:rPr>
          <w:rFonts w:ascii="Times New Roman" w:hAnsi="Times New Roman"/>
          <w:b/>
          <w:sz w:val="24"/>
          <w:szCs w:val="24"/>
          <w:lang w:eastAsia="cs-CZ"/>
        </w:rPr>
      </w:pPr>
    </w:p>
    <w:p w:rsidR="00E94F51" w:rsidRPr="00240D21" w:rsidP="00E94F51">
      <w:pPr>
        <w:bidi w:val="0"/>
        <w:jc w:val="both"/>
        <w:rPr>
          <w:rFonts w:ascii="Times New Roman" w:hAnsi="Times New Roman"/>
          <w:b/>
          <w:sz w:val="24"/>
          <w:szCs w:val="24"/>
          <w:lang w:eastAsia="cs-CZ"/>
        </w:rPr>
      </w:pPr>
      <w:r w:rsidRPr="00240D21">
        <w:rPr>
          <w:rFonts w:ascii="Times New Roman" w:hAnsi="Times New Roman"/>
          <w:b/>
          <w:sz w:val="24"/>
          <w:szCs w:val="24"/>
          <w:lang w:eastAsia="cs-CZ"/>
        </w:rPr>
        <w:t>A.4. Alternatívne riešenia</w:t>
      </w:r>
    </w:p>
    <w:p w:rsidR="00E94F51" w:rsidRPr="00240D21" w:rsidP="00E94F51">
      <w:pPr>
        <w:bidi w:val="0"/>
        <w:rPr>
          <w:rFonts w:ascii="Times New Roman" w:hAnsi="Times New Roman"/>
          <w:b/>
          <w:sz w:val="24"/>
          <w:szCs w:val="24"/>
          <w:lang w:eastAsia="cs-CZ"/>
        </w:rPr>
      </w:pPr>
    </w:p>
    <w:p w:rsidR="00E94F51" w:rsidP="00E94F51">
      <w:pPr>
        <w:bidi w:val="0"/>
        <w:rPr>
          <w:rFonts w:ascii="Times New Roman" w:hAnsi="Times New Roman"/>
          <w:b/>
          <w:sz w:val="24"/>
          <w:szCs w:val="24"/>
          <w:lang w:eastAsia="cs-CZ"/>
        </w:rPr>
      </w:pPr>
      <w:r w:rsidRPr="00240D21">
        <w:rPr>
          <w:rFonts w:ascii="Times New Roman" w:hAnsi="Times New Roman"/>
          <w:b/>
          <w:sz w:val="24"/>
          <w:szCs w:val="24"/>
          <w:lang w:eastAsia="cs-CZ"/>
        </w:rPr>
        <w:t>A.5. Stanovisko gestorov</w:t>
      </w:r>
    </w:p>
    <w:p w:rsidR="00E94F51" w:rsidRPr="00240D21" w:rsidP="00E94F51">
      <w:pPr>
        <w:bidi w:val="0"/>
        <w:rPr>
          <w:rFonts w:ascii="Times New Roman" w:hAnsi="Times New Roman"/>
          <w:b/>
          <w:sz w:val="24"/>
          <w:szCs w:val="24"/>
          <w:lang w:eastAsia="cs-CZ"/>
        </w:rPr>
      </w:pPr>
    </w:p>
    <w:p w:rsidR="00E94F51" w:rsidRPr="00240D21" w:rsidP="00E94F51">
      <w:pPr>
        <w:pStyle w:val="Title"/>
        <w:bidi w:val="0"/>
        <w:jc w:val="both"/>
        <w:rPr>
          <w:rFonts w:ascii="Times New Roman" w:hAnsi="Times New Roman"/>
          <w:b w:val="0"/>
          <w:u w:val="none"/>
          <w:lang w:val="sk-SK"/>
        </w:rPr>
      </w:pPr>
      <w:r>
        <w:rPr>
          <w:rFonts w:ascii="Times New Roman" w:hAnsi="Times New Roman"/>
          <w:b w:val="0"/>
          <w:u w:val="none"/>
          <w:lang w:val="sk-SK"/>
        </w:rPr>
        <w:t xml:space="preserve">MF SR, MH SR, MŽP SR, MPSVaR SR - </w:t>
      </w:r>
      <w:r w:rsidRPr="00197B1F">
        <w:rPr>
          <w:rFonts w:ascii="Times New Roman" w:hAnsi="Times New Roman"/>
          <w:b w:val="0"/>
          <w:u w:val="none"/>
          <w:lang w:val="sk-SK"/>
        </w:rPr>
        <w:t>bez pripomienok.</w:t>
      </w:r>
    </w:p>
    <w:p w:rsidR="00E94F51" w:rsidRPr="00240D21" w:rsidP="00E94F51">
      <w:pPr>
        <w:pStyle w:val="Title"/>
        <w:bidi w:val="0"/>
        <w:rPr>
          <w:rFonts w:ascii="Times New Roman" w:hAnsi="Times New Roman"/>
          <w:b w:val="0"/>
          <w:u w:val="none"/>
          <w:lang w:val="sk-SK"/>
        </w:rPr>
      </w:pPr>
    </w:p>
    <w:p w:rsidR="00E94F51" w:rsidRPr="00240D21" w:rsidP="00E94F51">
      <w:pPr>
        <w:pStyle w:val="Title"/>
        <w:bidi w:val="0"/>
        <w:rPr>
          <w:rFonts w:ascii="Times New Roman" w:hAnsi="Times New Roman"/>
          <w:b w:val="0"/>
          <w:u w:val="none"/>
          <w:lang w:val="sk-SK"/>
        </w:rPr>
      </w:pPr>
    </w:p>
    <w:p w:rsidR="0008752C">
      <w:pPr>
        <w:bidi w:val="0"/>
        <w:rPr>
          <w:rFonts w:ascii="Times New Roman" w:hAnsi="Times New Roman"/>
        </w:rPr>
      </w:pPr>
    </w:p>
    <w:sectPr w:rsidSect="009E0B56">
      <w:footerReference w:type="default" r:id="rId4"/>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Cambria">
    <w:altName w:val="Gentium"/>
    <w:panose1 w:val="02040503050406030204"/>
    <w:charset w:val="EE"/>
    <w:family w:val="roman"/>
    <w:pitch w:val="variable"/>
    <w:sig w:usb0="00000000" w:usb1="00000000" w:usb2="00000000" w:usb3="00000000" w:csb0="0000019F" w:csb1="00000000"/>
  </w:font>
  <w:font w:name="Calibri">
    <w:altName w:val="Gentium"/>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81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64F55">
      <w:rPr>
        <w:rFonts w:ascii="Times New Roman" w:hAnsi="Times New Roman"/>
        <w:noProof/>
      </w:rPr>
      <w:t>1</w:t>
    </w:r>
    <w:r>
      <w:rPr>
        <w:rFonts w:ascii="Times New Roman" w:hAnsi="Times New Roman"/>
      </w:rPr>
      <w:fldChar w:fldCharType="end"/>
    </w:r>
    <w:r>
      <w:rPr>
        <w:rFonts w:ascii="Times New Roman" w:hAnsi="Times New Roman"/>
      </w:rPr>
      <w:t>/2</w:t>
    </w:r>
  </w:p>
  <w:p w:rsidR="009D581A">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displayVerticalDrawingGridEvery w:val="2"/>
  <w:characterSpacingControl w:val="doNotCompress"/>
  <w:compat/>
  <w:rsids>
    <w:rsidRoot w:val="00E94F51"/>
    <w:rsid w:val="0008752C"/>
    <w:rsid w:val="00193C7A"/>
    <w:rsid w:val="00197B1F"/>
    <w:rsid w:val="00240D21"/>
    <w:rsid w:val="00245386"/>
    <w:rsid w:val="004607D7"/>
    <w:rsid w:val="00475068"/>
    <w:rsid w:val="004F65BB"/>
    <w:rsid w:val="00542BE4"/>
    <w:rsid w:val="006B1ECD"/>
    <w:rsid w:val="007146D0"/>
    <w:rsid w:val="007874B8"/>
    <w:rsid w:val="00925C36"/>
    <w:rsid w:val="009D581A"/>
    <w:rsid w:val="009E0B56"/>
    <w:rsid w:val="00A86C00"/>
    <w:rsid w:val="00AB29D6"/>
    <w:rsid w:val="00C17608"/>
    <w:rsid w:val="00C64F55"/>
    <w:rsid w:val="00DD3DAD"/>
    <w:rsid w:val="00DF33F4"/>
    <w:rsid w:val="00E1108D"/>
    <w:rsid w:val="00E26077"/>
    <w:rsid w:val="00E94F5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F51"/>
    <w:pPr>
      <w:framePr w:wrap="auto"/>
      <w:widowControl/>
      <w:autoSpaceDE/>
      <w:autoSpaceDN/>
      <w:adjustRightInd/>
      <w:ind w:left="0" w:right="0"/>
      <w:jc w:val="left"/>
      <w:textAlignment w:val="auto"/>
    </w:pPr>
    <w:rPr>
      <w:rFonts w:cs="Times New Roman"/>
      <w:sz w:val="22"/>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link w:val="NzovChar"/>
    <w:uiPriority w:val="99"/>
    <w:qFormat/>
    <w:rsid w:val="00E94F51"/>
    <w:pPr>
      <w:widowControl w:val="0"/>
      <w:jc w:val="center"/>
    </w:pPr>
    <w:rPr>
      <w:b/>
      <w:sz w:val="24"/>
      <w:u w:val="single"/>
      <w:lang w:val="cs-CZ" w:eastAsia="cs-CZ"/>
    </w:rPr>
  </w:style>
  <w:style w:type="character" w:customStyle="1" w:styleId="NzovChar">
    <w:name w:val="Názov Char"/>
    <w:basedOn w:val="DefaultParagraphFont"/>
    <w:link w:val="Title"/>
    <w:uiPriority w:val="99"/>
    <w:locked/>
    <w:rsid w:val="00E94F51"/>
    <w:rPr>
      <w:rFonts w:ascii="Times New Roman" w:hAnsi="Times New Roman" w:cs="Times New Roman"/>
      <w:b/>
      <w:sz w:val="20"/>
      <w:szCs w:val="20"/>
      <w:u w:val="single"/>
      <w:rtl w:val="0"/>
      <w:cs w:val="0"/>
      <w:lang w:val="cs-CZ" w:eastAsia="cs-CZ"/>
    </w:rPr>
  </w:style>
  <w:style w:type="paragraph" w:styleId="NormalWeb">
    <w:name w:val="Normal (Web)"/>
    <w:aliases w:val="webb"/>
    <w:basedOn w:val="Normal"/>
    <w:uiPriority w:val="99"/>
    <w:rsid w:val="00DD3DAD"/>
    <w:pPr>
      <w:spacing w:before="100" w:beforeAutospacing="1" w:after="100" w:afterAutospacing="1"/>
      <w:jc w:val="left"/>
    </w:pPr>
    <w:rPr>
      <w:sz w:val="24"/>
      <w:szCs w:val="24"/>
    </w:rPr>
  </w:style>
  <w:style w:type="paragraph" w:styleId="Header">
    <w:name w:val="header"/>
    <w:basedOn w:val="Normal"/>
    <w:link w:val="HlavikaChar"/>
    <w:uiPriority w:val="99"/>
    <w:semiHidden/>
    <w:unhideWhenUsed/>
    <w:rsid w:val="009D581A"/>
    <w:pPr>
      <w:tabs>
        <w:tab w:val="center" w:pos="4536"/>
        <w:tab w:val="right" w:pos="9072"/>
      </w:tabs>
      <w:jc w:val="left"/>
    </w:pPr>
  </w:style>
  <w:style w:type="character" w:customStyle="1" w:styleId="HlavikaChar">
    <w:name w:val="Hlavička Char"/>
    <w:basedOn w:val="DefaultParagraphFont"/>
    <w:link w:val="Header"/>
    <w:uiPriority w:val="99"/>
    <w:semiHidden/>
    <w:locked/>
    <w:rsid w:val="009D581A"/>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9D581A"/>
    <w:pPr>
      <w:tabs>
        <w:tab w:val="center" w:pos="4536"/>
        <w:tab w:val="right" w:pos="9072"/>
      </w:tabs>
      <w:jc w:val="left"/>
    </w:pPr>
  </w:style>
  <w:style w:type="character" w:customStyle="1" w:styleId="PtaChar">
    <w:name w:val="Päta Char"/>
    <w:basedOn w:val="DefaultParagraphFont"/>
    <w:link w:val="Footer"/>
    <w:uiPriority w:val="99"/>
    <w:locked/>
    <w:rsid w:val="009D581A"/>
    <w:rPr>
      <w:rFonts w:ascii="Times New Roman" w:hAnsi="Times New Roman"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2</Pages>
  <Words>479</Words>
  <Characters>3094</Characters>
  <Application>Microsoft Office Word</Application>
  <DocSecurity>0</DocSecurity>
  <Lines>0</Lines>
  <Paragraphs>0</Paragraphs>
  <ScaleCrop>false</ScaleCrop>
  <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bauml</dc:creator>
  <cp:lastModifiedBy>bauml</cp:lastModifiedBy>
  <cp:revision>10</cp:revision>
  <cp:lastPrinted>2014-04-25T11:17:00Z</cp:lastPrinted>
  <dcterms:created xsi:type="dcterms:W3CDTF">2013-09-03T15:51:00Z</dcterms:created>
  <dcterms:modified xsi:type="dcterms:W3CDTF">2014-04-25T12:10:00Z</dcterms:modified>
</cp:coreProperties>
</file>