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E12E3">
        <w:rPr>
          <w:sz w:val="22"/>
          <w:szCs w:val="22"/>
        </w:rPr>
        <w:t>837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EE12E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E12E3">
        <w:t>1002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92464">
        <w:rPr>
          <w:rFonts w:ascii="Arial" w:hAnsi="Arial" w:cs="Arial"/>
          <w:sz w:val="22"/>
          <w:szCs w:val="22"/>
        </w:rPr>
        <w:t xml:space="preserve"> 28. </w:t>
      </w:r>
      <w:r w:rsidR="00EE12E3">
        <w:rPr>
          <w:rFonts w:ascii="Arial" w:hAnsi="Arial" w:cs="Arial"/>
          <w:sz w:val="22"/>
          <w:szCs w:val="22"/>
        </w:rPr>
        <w:t>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E12E3">
        <w:rPr>
          <w:rFonts w:cs="Arial"/>
          <w:szCs w:val="22"/>
        </w:rPr>
        <w:t>Igora MATOVIČA a Martina FECKA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 dopĺňa </w:t>
      </w:r>
      <w:r w:rsidR="00EE12E3">
        <w:rPr>
          <w:rFonts w:cs="Arial"/>
          <w:szCs w:val="22"/>
        </w:rPr>
        <w:t xml:space="preserve">zákon č. 300/2005 Z. z. Trestný zákon </w:t>
      </w:r>
      <w:r w:rsidR="00892464">
        <w:rPr>
          <w:rFonts w:cs="Arial"/>
          <w:szCs w:val="22"/>
        </w:rPr>
        <w:br/>
        <w:t xml:space="preserve">v </w:t>
      </w:r>
      <w:r w:rsidR="00EE12E3">
        <w:rPr>
          <w:rFonts w:cs="Arial"/>
          <w:szCs w:val="22"/>
        </w:rPr>
        <w:t>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E12E3">
        <w:rPr>
          <w:rFonts w:cs="Arial"/>
          <w:szCs w:val="22"/>
        </w:rPr>
        <w:t>995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E12E3">
        <w:rPr>
          <w:rFonts w:cs="Arial"/>
          <w:szCs w:val="22"/>
        </w:rPr>
        <w:t>25.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93D0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E93D07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93D07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93D0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76BA2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9246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93D07"/>
    <w:rsid w:val="00EE12E3"/>
    <w:rsid w:val="00EF4E86"/>
    <w:rsid w:val="00F46EEF"/>
    <w:rsid w:val="00F857AD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921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2014-04-29T06:40:00Z</cp:lastPrinted>
  <dcterms:created xsi:type="dcterms:W3CDTF">2014-04-30T09:21:00Z</dcterms:created>
  <dcterms:modified xsi:type="dcterms:W3CDTF">2014-04-30T09:21:00Z</dcterms:modified>
</cp:coreProperties>
</file>