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75BE" w:rsidRPr="001B41BD" w:rsidP="003175BE">
      <w:pPr>
        <w:pStyle w:val="NormalWeb"/>
        <w:bidi w:val="0"/>
        <w:spacing w:before="120" w:beforeAutospacing="0" w:after="0" w:afterAutospacing="0" w:line="276" w:lineRule="auto"/>
        <w:jc w:val="center"/>
        <w:rPr>
          <w:rFonts w:ascii="Book Antiqua" w:hAnsi="Book Antiqua"/>
          <w:sz w:val="22"/>
          <w:szCs w:val="22"/>
        </w:rPr>
      </w:pPr>
      <w:r w:rsidRPr="001B41BD">
        <w:rPr>
          <w:rFonts w:ascii="Book Antiqua" w:hAnsi="Book Antiqua"/>
          <w:b/>
          <w:bCs/>
          <w:caps/>
          <w:spacing w:val="30"/>
          <w:sz w:val="22"/>
          <w:szCs w:val="22"/>
        </w:rPr>
        <w:t>Dôvodová správa</w:t>
      </w:r>
    </w:p>
    <w:p w:rsidR="003175BE" w:rsidRPr="001B41BD" w:rsidP="003175BE">
      <w:pPr>
        <w:pStyle w:val="Heading1"/>
        <w:bidi w:val="0"/>
        <w:spacing w:before="120" w:line="276" w:lineRule="auto"/>
        <w:jc w:val="both"/>
        <w:rPr>
          <w:rFonts w:ascii="Book Antiqua" w:hAnsi="Book Antiqua"/>
          <w:sz w:val="22"/>
          <w:szCs w:val="22"/>
        </w:rPr>
      </w:pPr>
    </w:p>
    <w:p w:rsidR="003175BE" w:rsidRPr="001B41BD" w:rsidP="001B41BD">
      <w:pPr>
        <w:pStyle w:val="Heading1"/>
        <w:bidi w:val="0"/>
        <w:spacing w:before="120" w:line="276" w:lineRule="auto"/>
        <w:jc w:val="both"/>
        <w:rPr>
          <w:rFonts w:ascii="Book Antiqua" w:hAnsi="Book Antiqua"/>
          <w:sz w:val="22"/>
          <w:szCs w:val="22"/>
        </w:rPr>
      </w:pPr>
      <w:r w:rsidRPr="001B41BD">
        <w:rPr>
          <w:rFonts w:ascii="Book Antiqua" w:hAnsi="Book Antiqua"/>
          <w:sz w:val="22"/>
          <w:szCs w:val="22"/>
        </w:rPr>
        <w:t xml:space="preserve">A. Všeobecná </w:t>
      </w:r>
      <w:r w:rsidRPr="001B41BD">
        <w:rPr>
          <w:rFonts w:ascii="Book Antiqua" w:hAnsi="Book Antiqua"/>
          <w:sz w:val="22"/>
          <w:szCs w:val="22"/>
          <w:lang w:val="x-none" w:eastAsia="x-none"/>
        </w:rPr>
        <w:t>časť</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 xml:space="preserve">Návrh zákona, ktorým sa dopĺňa </w:t>
      </w:r>
      <w:r w:rsidRPr="001B41BD">
        <w:rPr>
          <w:rFonts w:ascii="Book Antiqua" w:hAnsi="Book Antiqua"/>
          <w:bCs/>
          <w:iCs/>
          <w:sz w:val="22"/>
          <w:szCs w:val="22"/>
          <w:lang w:eastAsia="cs-CZ"/>
        </w:rPr>
        <w:t>zákon č. 300/2005 Z. z. Trestný zákon v znení neskorších predpisov</w:t>
      </w:r>
      <w:r w:rsidRPr="001B41BD">
        <w:rPr>
          <w:rFonts w:ascii="Book Antiqua" w:hAnsi="Book Antiqua"/>
          <w:sz w:val="22"/>
          <w:szCs w:val="22"/>
        </w:rPr>
        <w:t xml:space="preserve"> (ďal</w:t>
      </w:r>
      <w:r w:rsidR="00844C27">
        <w:rPr>
          <w:rFonts w:ascii="Book Antiqua" w:hAnsi="Book Antiqua"/>
          <w:sz w:val="22"/>
          <w:szCs w:val="22"/>
        </w:rPr>
        <w:t>ej len „návrh zákona“) predkladajú</w:t>
      </w:r>
      <w:r w:rsidRPr="001B41BD">
        <w:rPr>
          <w:rFonts w:ascii="Book Antiqua" w:hAnsi="Book Antiqua"/>
          <w:sz w:val="22"/>
          <w:szCs w:val="22"/>
        </w:rPr>
        <w:t xml:space="preserve"> do</w:t>
      </w:r>
      <w:r w:rsidR="00844C27">
        <w:rPr>
          <w:rFonts w:ascii="Book Antiqua" w:hAnsi="Book Antiqua"/>
          <w:sz w:val="22"/>
          <w:szCs w:val="22"/>
        </w:rPr>
        <w:t xml:space="preserve"> legislatívneho procesu poslanci</w:t>
      </w:r>
      <w:r w:rsidRPr="001B41BD">
        <w:rPr>
          <w:rFonts w:ascii="Book Antiqua" w:hAnsi="Book Antiqua"/>
          <w:sz w:val="22"/>
          <w:szCs w:val="22"/>
        </w:rPr>
        <w:t xml:space="preserve"> Národnej rady Slovenskej republiky Igor Matovič</w:t>
      </w:r>
      <w:r w:rsidR="00844C27">
        <w:rPr>
          <w:rFonts w:ascii="Book Antiqua" w:hAnsi="Book Antiqua"/>
          <w:sz w:val="22"/>
          <w:szCs w:val="22"/>
        </w:rPr>
        <w:t xml:space="preserve"> a Martin Fecko</w:t>
      </w:r>
      <w:r w:rsidRPr="001B41BD">
        <w:rPr>
          <w:rFonts w:ascii="Book Antiqua" w:hAnsi="Book Antiqua"/>
          <w:sz w:val="22"/>
          <w:szCs w:val="22"/>
        </w:rPr>
        <w:t>.</w:t>
      </w:r>
    </w:p>
    <w:p w:rsidR="003175BE" w:rsidRPr="001B41BD" w:rsidP="003175BE">
      <w:pPr>
        <w:bidi w:val="0"/>
        <w:spacing w:before="120" w:line="276" w:lineRule="auto"/>
        <w:ind w:firstLine="708"/>
        <w:jc w:val="both"/>
        <w:rPr>
          <w:rFonts w:ascii="Book Antiqua" w:hAnsi="Book Antiqua"/>
          <w:b/>
          <w:sz w:val="22"/>
          <w:szCs w:val="22"/>
        </w:rPr>
      </w:pPr>
      <w:r w:rsidRPr="001B41BD">
        <w:rPr>
          <w:rFonts w:ascii="Book Antiqua" w:hAnsi="Book Antiqua"/>
          <w:b/>
          <w:sz w:val="22"/>
          <w:szCs w:val="22"/>
        </w:rPr>
        <w:t xml:space="preserve">Hlavným účelom predloženého návrhu zákona je zaviesť do zákona                                  č. 300/2005 Z. z. Trestný zákon v znení neskorších predpisov (ďalej len „Trestný zákon“) novú skutkovú podstatu trestného činu nevyplatenia faktúry. Prostredníctvom zavedenia tohto nového trestného činu sa vytvorí prvýkrát skutočná trestno-právna ochrana pre </w:t>
      </w:r>
      <w:r w:rsidRPr="001B41BD" w:rsidR="00286619">
        <w:rPr>
          <w:rFonts w:ascii="Book Antiqua" w:hAnsi="Book Antiqua"/>
          <w:b/>
          <w:sz w:val="22"/>
          <w:szCs w:val="22"/>
        </w:rPr>
        <w:t>živnostníkov</w:t>
      </w:r>
      <w:r w:rsidRPr="001B41BD" w:rsidR="00286619">
        <w:rPr>
          <w:rFonts w:ascii="Book Antiqua" w:hAnsi="Book Antiqua"/>
          <w:sz w:val="22"/>
          <w:szCs w:val="22"/>
        </w:rPr>
        <w:t xml:space="preserve"> </w:t>
      </w:r>
      <w:r w:rsidRPr="001B41BD">
        <w:rPr>
          <w:rFonts w:ascii="Book Antiqua" w:hAnsi="Book Antiqua"/>
          <w:b/>
          <w:sz w:val="22"/>
          <w:szCs w:val="22"/>
        </w:rPr>
        <w:t>voči v</w:t>
      </w:r>
      <w:r w:rsidR="001B41BD">
        <w:rPr>
          <w:rFonts w:ascii="Book Antiqua" w:hAnsi="Book Antiqua"/>
          <w:b/>
          <w:sz w:val="22"/>
          <w:szCs w:val="22"/>
        </w:rPr>
        <w:t>eľkým firmám, ktoré im často</w:t>
      </w:r>
      <w:r w:rsidRPr="001B41BD">
        <w:rPr>
          <w:rFonts w:ascii="Book Antiqua" w:hAnsi="Book Antiqua"/>
          <w:b/>
          <w:sz w:val="22"/>
          <w:szCs w:val="22"/>
        </w:rPr>
        <w:t xml:space="preserve"> nevyplácali faktúry za ich vykonanú prácu, keďže oni z titulu malých podnikateľov majú veľmi obmedzené možnosti  pri vymáhaní svojich faktúr súdnou cestou, s čím niektoré podvodné firmy vopred počítajú.</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Návrhom zákona chcem</w:t>
      </w:r>
      <w:r w:rsidR="00AC0FA2">
        <w:rPr>
          <w:rFonts w:ascii="Book Antiqua" w:hAnsi="Book Antiqua"/>
          <w:sz w:val="22"/>
          <w:szCs w:val="22"/>
        </w:rPr>
        <w:t>e</w:t>
      </w:r>
      <w:r w:rsidRPr="001B41BD">
        <w:rPr>
          <w:rFonts w:ascii="Book Antiqua" w:hAnsi="Book Antiqua"/>
          <w:sz w:val="22"/>
          <w:szCs w:val="22"/>
        </w:rPr>
        <w:t xml:space="preserve"> chrániť tých najzraniteľnejších v podnikateľskom sektore a to </w:t>
      </w:r>
      <w:r w:rsidRPr="001B41BD" w:rsidR="00286619">
        <w:rPr>
          <w:rFonts w:ascii="Book Antiqua" w:hAnsi="Book Antiqua"/>
          <w:sz w:val="22"/>
          <w:szCs w:val="22"/>
        </w:rPr>
        <w:t>živnostníkov,</w:t>
      </w:r>
      <w:r w:rsidRPr="001B41BD">
        <w:rPr>
          <w:rFonts w:ascii="Book Antiqua" w:hAnsi="Book Antiqua"/>
          <w:sz w:val="22"/>
          <w:szCs w:val="22"/>
        </w:rPr>
        <w:t xml:space="preserve"> ktorí v súčasnosti najviac doplácajú na rôzne nekalé obchodné praktiky, ktorých výsledkom je ich finančná likvidácia. V súčasnosti veľké firmy bežne súťažia v elektronických aukciách s veľmi nízkymi cenami, pričom už v tomto štádiu súťaženia vopred počítajú s tým, že za nevyplatenie faktúr voči malým subdodávateľom nebudú nijako trestne postihnutí.</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V súčasnosti v Trestnom zákone majú právnu ochranu len zamestnanci pri trestnom čine nevyplatenia mzdy a odstup</w:t>
      </w:r>
      <w:r w:rsidR="001B41BD">
        <w:rPr>
          <w:rFonts w:ascii="Book Antiqua" w:hAnsi="Book Antiqua"/>
          <w:sz w:val="22"/>
          <w:szCs w:val="22"/>
        </w:rPr>
        <w:t>ného. Malí živnostníci, ktorí neraz</w:t>
      </w:r>
      <w:r w:rsidRPr="001B41BD">
        <w:rPr>
          <w:rFonts w:ascii="Book Antiqua" w:hAnsi="Book Antiqua"/>
          <w:sz w:val="22"/>
          <w:szCs w:val="22"/>
        </w:rPr>
        <w:t xml:space="preserve"> vykonávajú svoju prácu aj v rámci „nútených živností“, však žiadnu trestnoprávnu ochranu za nevyplatenie faktúry, aspoň v rozsahu ceny práce nemajú. Novelou § 340a a § 340b zákona č. 513/1991 Zb. Obchodný zákonník v znení neskorších predpisov (ďalej len „Obchodný zákonní“) sa síce</w:t>
      </w:r>
      <w:r w:rsidRPr="001B41BD" w:rsidR="00C13D09">
        <w:rPr>
          <w:rFonts w:ascii="Book Antiqua" w:hAnsi="Book Antiqua"/>
          <w:sz w:val="22"/>
          <w:szCs w:val="22"/>
        </w:rPr>
        <w:t xml:space="preserve"> stanovili lehoty na splatnosť peňažného záväzku</w:t>
      </w:r>
      <w:r w:rsidRPr="001B41BD">
        <w:rPr>
          <w:rFonts w:ascii="Book Antiqua" w:hAnsi="Book Antiqua"/>
          <w:sz w:val="22"/>
          <w:szCs w:val="22"/>
        </w:rPr>
        <w:t>, avšak toto nerieši podstatu problému</w:t>
      </w:r>
      <w:r w:rsidR="001B41BD">
        <w:rPr>
          <w:rFonts w:ascii="Book Antiqua" w:hAnsi="Book Antiqua"/>
          <w:sz w:val="22"/>
          <w:szCs w:val="22"/>
        </w:rPr>
        <w:t>, a to podvodné konanie, ktorého</w:t>
      </w:r>
      <w:r w:rsidRPr="001B41BD">
        <w:rPr>
          <w:rFonts w:ascii="Book Antiqua" w:hAnsi="Book Antiqua"/>
          <w:sz w:val="22"/>
          <w:szCs w:val="22"/>
        </w:rPr>
        <w:t xml:space="preserve"> výsledkom je nevyplácanie faktúr za už od</w:t>
      </w:r>
      <w:r w:rsidRPr="001B41BD" w:rsidR="00C13D09">
        <w:rPr>
          <w:rFonts w:ascii="Book Antiqua" w:hAnsi="Book Antiqua"/>
          <w:sz w:val="22"/>
          <w:szCs w:val="22"/>
        </w:rPr>
        <w:t>vedenú prácu</w:t>
      </w:r>
      <w:r w:rsidRPr="001B41BD">
        <w:rPr>
          <w:rFonts w:ascii="Book Antiqua" w:hAnsi="Book Antiqua"/>
          <w:sz w:val="22"/>
          <w:szCs w:val="22"/>
        </w:rPr>
        <w:t>.</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b/>
          <w:sz w:val="22"/>
          <w:szCs w:val="22"/>
        </w:rPr>
        <w:t>Aj z vyššie uvedeného dôvodu navrhujem</w:t>
      </w:r>
      <w:r w:rsidR="00AC0FA2">
        <w:rPr>
          <w:rFonts w:ascii="Book Antiqua" w:hAnsi="Book Antiqua"/>
          <w:b/>
          <w:sz w:val="22"/>
          <w:szCs w:val="22"/>
        </w:rPr>
        <w:t>e</w:t>
      </w:r>
      <w:r w:rsidRPr="001B41BD">
        <w:rPr>
          <w:rFonts w:ascii="Book Antiqua" w:hAnsi="Book Antiqua"/>
          <w:b/>
          <w:sz w:val="22"/>
          <w:szCs w:val="22"/>
        </w:rPr>
        <w:t xml:space="preserve"> zaviesť trestnoprávnu ochranu pre </w:t>
      </w:r>
      <w:r w:rsidRPr="001B41BD" w:rsidR="00286619">
        <w:rPr>
          <w:rFonts w:ascii="Book Antiqua" w:hAnsi="Book Antiqua"/>
          <w:b/>
          <w:sz w:val="22"/>
          <w:szCs w:val="22"/>
        </w:rPr>
        <w:t>živnostníkov</w:t>
      </w:r>
      <w:r w:rsidRPr="001B41BD">
        <w:rPr>
          <w:rFonts w:ascii="Book Antiqua" w:hAnsi="Book Antiqua"/>
          <w:b/>
          <w:sz w:val="22"/>
          <w:szCs w:val="22"/>
        </w:rPr>
        <w:t>, ak im nebola vyplatená cena práce z vystavenej faktúry do 30 dní po jej splatnosti a páchateľ tohto trestného činu v tejto lehote mal peňažné prostriedky na jej vyplatenie, ktoré nevyhnutne nepotreboval na zabezpečenie činnosti podnikateľa, ktorý je fyzickou osobou, alebo činnosti právnickej osoby, alebo vykonal opatrenia smerujúce k zmareniu vyplatenia týchto peňažných prostriedkov.</w:t>
      </w:r>
      <w:r w:rsidRPr="001B41BD">
        <w:rPr>
          <w:rFonts w:ascii="Book Antiqua" w:hAnsi="Book Antiqua"/>
          <w:sz w:val="22"/>
          <w:szCs w:val="22"/>
        </w:rPr>
        <w:t xml:space="preserve"> </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Takouto novou právnou úpravou dosiahneme vyrovnanú trestnoprávnu ochranu pre zamestnancov a</w:t>
      </w:r>
      <w:r w:rsidRPr="001B41BD" w:rsidR="00286619">
        <w:rPr>
          <w:rFonts w:ascii="Book Antiqua" w:hAnsi="Book Antiqua"/>
          <w:sz w:val="22"/>
          <w:szCs w:val="22"/>
        </w:rPr>
        <w:t> živnostníkov pred</w:t>
      </w:r>
      <w:r w:rsidRPr="001B41BD">
        <w:rPr>
          <w:rFonts w:ascii="Book Antiqua" w:hAnsi="Book Antiqua"/>
          <w:sz w:val="22"/>
          <w:szCs w:val="22"/>
        </w:rPr>
        <w:t xml:space="preserve"> nevyplácaním finančných prostriedkov za </w:t>
      </w:r>
      <w:r w:rsidRPr="001B41BD" w:rsidR="00286619">
        <w:rPr>
          <w:rFonts w:ascii="Book Antiqua" w:hAnsi="Book Antiqua"/>
          <w:sz w:val="22"/>
          <w:szCs w:val="22"/>
        </w:rPr>
        <w:t xml:space="preserve">ich </w:t>
      </w:r>
      <w:r w:rsidRPr="001B41BD">
        <w:rPr>
          <w:rFonts w:ascii="Book Antiqua" w:hAnsi="Book Antiqua"/>
          <w:sz w:val="22"/>
          <w:szCs w:val="22"/>
        </w:rPr>
        <w:t>vykonanú prácu. Od tohto opatrenia očakávam</w:t>
      </w:r>
      <w:r w:rsidR="00AC0FA2">
        <w:rPr>
          <w:rFonts w:ascii="Book Antiqua" w:hAnsi="Book Antiqua"/>
          <w:sz w:val="22"/>
          <w:szCs w:val="22"/>
        </w:rPr>
        <w:t>e</w:t>
      </w:r>
      <w:r w:rsidRPr="001B41BD">
        <w:rPr>
          <w:rFonts w:ascii="Book Antiqua" w:hAnsi="Book Antiqua"/>
          <w:sz w:val="22"/>
          <w:szCs w:val="22"/>
        </w:rPr>
        <w:t xml:space="preserve"> zlepšenie podnikateľského prostredia a zlepšenie správania veľkých podnikateľov voči najzraniteľnejšej skupine podnikateľov, ktorí majú sťažené podmienky na súdnu ochranu predovšetkým voči veľkým firmám.</w:t>
      </w:r>
    </w:p>
    <w:p w:rsidR="00286619"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Súčasne je p</w:t>
      </w:r>
      <w:r w:rsidR="00AC0FA2">
        <w:rPr>
          <w:rFonts w:ascii="Book Antiqua" w:hAnsi="Book Antiqua"/>
          <w:sz w:val="22"/>
          <w:szCs w:val="22"/>
        </w:rPr>
        <w:t xml:space="preserve">otrebné </w:t>
      </w:r>
      <w:r w:rsidRPr="001B41BD">
        <w:rPr>
          <w:rFonts w:ascii="Book Antiqua" w:hAnsi="Book Antiqua"/>
          <w:sz w:val="22"/>
          <w:szCs w:val="22"/>
        </w:rPr>
        <w:t>pripomenúť,</w:t>
      </w:r>
      <w:r w:rsidRPr="001B41BD" w:rsidR="00064CF3">
        <w:rPr>
          <w:rFonts w:ascii="Book Antiqua" w:hAnsi="Book Antiqua"/>
          <w:sz w:val="22"/>
          <w:szCs w:val="22"/>
        </w:rPr>
        <w:t xml:space="preserve"> že živnostníci ručia za svoje záväzky celým svojim majetkom a preto je potrebné im garantovať väčšiu trestno-právnu ochranu, keďže v dôsledku nevyplácania faktúr môže byť postihovaný</w:t>
      </w:r>
      <w:r w:rsidRPr="001B41BD" w:rsidR="00C13D09">
        <w:rPr>
          <w:rFonts w:ascii="Book Antiqua" w:hAnsi="Book Antiqua"/>
          <w:sz w:val="22"/>
          <w:szCs w:val="22"/>
        </w:rPr>
        <w:t xml:space="preserve"> ich celý</w:t>
      </w:r>
      <w:r w:rsidRPr="001B41BD" w:rsidR="00064CF3">
        <w:rPr>
          <w:rFonts w:ascii="Book Antiqua" w:hAnsi="Book Antiqua"/>
          <w:sz w:val="22"/>
          <w:szCs w:val="22"/>
        </w:rPr>
        <w:t xml:space="preserve"> aj súkromný majetok.</w:t>
      </w:r>
      <w:r w:rsidRPr="001B41BD">
        <w:rPr>
          <w:rFonts w:ascii="Book Antiqua" w:hAnsi="Book Antiqua"/>
          <w:sz w:val="22"/>
          <w:szCs w:val="22"/>
        </w:rPr>
        <w:t xml:space="preserve"> </w:t>
      </w:r>
    </w:p>
    <w:p w:rsidR="003175BE" w:rsidRPr="001B41BD" w:rsidP="003175BE">
      <w:pPr>
        <w:pStyle w:val="NormalWeb"/>
        <w:bidi w:val="0"/>
        <w:spacing w:before="120" w:beforeAutospacing="0" w:after="0" w:afterAutospacing="0" w:line="276" w:lineRule="auto"/>
        <w:ind w:firstLine="708"/>
        <w:jc w:val="both"/>
        <w:rPr>
          <w:rFonts w:ascii="Book Antiqua" w:hAnsi="Book Antiqua"/>
          <w:sz w:val="22"/>
          <w:szCs w:val="22"/>
        </w:rPr>
      </w:pPr>
      <w:r w:rsidRPr="001B41BD">
        <w:rPr>
          <w:rFonts w:ascii="Book Antiqua" w:hAnsi="Book Antiqua"/>
          <w:sz w:val="22"/>
          <w:szCs w:val="22"/>
        </w:rPr>
        <w:t>Predkladaný návrh zákona b</w:t>
      </w:r>
      <w:r w:rsidR="001B41BD">
        <w:rPr>
          <w:rFonts w:ascii="Book Antiqua" w:hAnsi="Book Antiqua"/>
          <w:sz w:val="22"/>
          <w:szCs w:val="22"/>
        </w:rPr>
        <w:t xml:space="preserve">ude mať pozitívne </w:t>
      </w:r>
      <w:r w:rsidRPr="001B41BD">
        <w:rPr>
          <w:rFonts w:ascii="Book Antiqua" w:hAnsi="Book Antiqua"/>
          <w:sz w:val="22"/>
          <w:szCs w:val="22"/>
        </w:rPr>
        <w:t>sociálne vpl</w:t>
      </w:r>
      <w:r w:rsidR="001F00B2">
        <w:rPr>
          <w:rFonts w:ascii="Book Antiqua" w:hAnsi="Book Antiqua"/>
          <w:sz w:val="22"/>
          <w:szCs w:val="22"/>
        </w:rPr>
        <w:t>yvy (hospodárenie obyvateľstva</w:t>
      </w:r>
      <w:r w:rsidRPr="001B41BD">
        <w:rPr>
          <w:rFonts w:ascii="Book Antiqua" w:hAnsi="Book Antiqua"/>
          <w:sz w:val="22"/>
          <w:szCs w:val="22"/>
        </w:rPr>
        <w:t>) a</w:t>
      </w:r>
      <w:r w:rsidR="001F00B2">
        <w:rPr>
          <w:rFonts w:ascii="Book Antiqua" w:hAnsi="Book Antiqua"/>
          <w:sz w:val="22"/>
          <w:szCs w:val="22"/>
        </w:rPr>
        <w:t xml:space="preserve"> pozitívny vplyv na </w:t>
      </w:r>
      <w:r w:rsidRPr="001B41BD">
        <w:rPr>
          <w:rFonts w:ascii="Book Antiqua" w:hAnsi="Book Antiqua"/>
          <w:sz w:val="22"/>
          <w:szCs w:val="22"/>
        </w:rPr>
        <w:t>podnikateľské prostredie a súčasne nemá vplyv na životné prostredie, rozpočet verejnej správy a ani na informatizáciu spoločnosti.</w:t>
      </w:r>
    </w:p>
    <w:p w:rsidR="003175BE" w:rsidRPr="001B41BD" w:rsidP="003175BE">
      <w:pPr>
        <w:pStyle w:val="NormalWeb"/>
        <w:bidi w:val="0"/>
        <w:spacing w:before="120" w:beforeAutospacing="0" w:after="0" w:afterAutospacing="0" w:line="276" w:lineRule="auto"/>
        <w:ind w:firstLine="708"/>
        <w:jc w:val="both"/>
        <w:rPr>
          <w:rFonts w:ascii="Book Antiqua" w:hAnsi="Book Antiqua"/>
          <w:sz w:val="22"/>
          <w:szCs w:val="22"/>
        </w:rPr>
      </w:pPr>
      <w:r w:rsidRPr="001B41BD">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3175BE" w:rsidRPr="001B41BD" w:rsidP="003175BE">
      <w:pPr>
        <w:bidi w:val="0"/>
        <w:spacing w:before="120" w:line="276" w:lineRule="auto"/>
        <w:jc w:val="both"/>
        <w:rPr>
          <w:rFonts w:ascii="Book Antiqua" w:hAnsi="Book Antiqua"/>
          <w:b/>
          <w:sz w:val="22"/>
          <w:szCs w:val="22"/>
        </w:rPr>
      </w:pPr>
      <w:r w:rsidRPr="001B41BD">
        <w:rPr>
          <w:rFonts w:ascii="Book Antiqua" w:hAnsi="Book Antiqua"/>
          <w:sz w:val="22"/>
          <w:szCs w:val="22"/>
        </w:rPr>
        <w:br w:type="page"/>
      </w:r>
      <w:r w:rsidRPr="001B41BD">
        <w:rPr>
          <w:rFonts w:ascii="Book Antiqua" w:hAnsi="Book Antiqua"/>
          <w:b/>
          <w:sz w:val="22"/>
          <w:szCs w:val="22"/>
        </w:rPr>
        <w:t>B. Osobitná časť</w:t>
      </w:r>
    </w:p>
    <w:p w:rsidR="003175BE" w:rsidRPr="001B41BD" w:rsidP="003175BE">
      <w:pPr>
        <w:bidi w:val="0"/>
        <w:spacing w:before="120" w:line="276" w:lineRule="auto"/>
        <w:jc w:val="both"/>
        <w:rPr>
          <w:rFonts w:ascii="Book Antiqua" w:hAnsi="Book Antiqua"/>
          <w:b/>
          <w:sz w:val="22"/>
          <w:szCs w:val="22"/>
        </w:rPr>
      </w:pPr>
    </w:p>
    <w:p w:rsidR="003175BE" w:rsidRPr="001B41BD" w:rsidP="003175BE">
      <w:pPr>
        <w:bidi w:val="0"/>
        <w:spacing w:before="120" w:line="276" w:lineRule="auto"/>
        <w:jc w:val="both"/>
        <w:rPr>
          <w:rFonts w:ascii="Book Antiqua" w:hAnsi="Book Antiqua"/>
          <w:b/>
          <w:sz w:val="22"/>
          <w:szCs w:val="22"/>
        </w:rPr>
      </w:pPr>
      <w:r w:rsidRPr="001B41BD">
        <w:rPr>
          <w:rFonts w:ascii="Book Antiqua" w:hAnsi="Book Antiqua"/>
          <w:b/>
          <w:sz w:val="22"/>
          <w:szCs w:val="22"/>
        </w:rPr>
        <w:t>K Čl. I</w:t>
      </w:r>
    </w:p>
    <w:p w:rsidR="003175BE" w:rsidRPr="001B41BD" w:rsidP="003175BE">
      <w:pPr>
        <w:bidi w:val="0"/>
        <w:spacing w:before="120" w:line="276" w:lineRule="auto"/>
        <w:jc w:val="both"/>
        <w:rPr>
          <w:rFonts w:ascii="Book Antiqua" w:hAnsi="Book Antiqua"/>
          <w:sz w:val="22"/>
          <w:szCs w:val="22"/>
          <w:u w:val="single"/>
        </w:rPr>
      </w:pPr>
      <w:r w:rsidRPr="001B41BD">
        <w:rPr>
          <w:rFonts w:ascii="Book Antiqua" w:hAnsi="Book Antiqua"/>
          <w:sz w:val="22"/>
          <w:szCs w:val="22"/>
          <w:u w:val="single"/>
        </w:rPr>
        <w:t>K bodu 1</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 xml:space="preserve">Navrhovaným ustanovením sa umožňuje pre páchateľa trestného činu nevyplatenia faktúry zbaviť trestnosti trestného činu v prípade, ak toto nevyplatenie ceny práce z vystavenej faktúry nemalo trvalo nepriaznivé následky na </w:t>
      </w:r>
      <w:r w:rsidRPr="001B41BD" w:rsidR="00064CF3">
        <w:rPr>
          <w:rFonts w:ascii="Book Antiqua" w:hAnsi="Book Antiqua"/>
          <w:sz w:val="22"/>
          <w:szCs w:val="22"/>
        </w:rPr>
        <w:t xml:space="preserve">fyzickú osobu, ktorá podniká na základe živnostenského oprávnenia </w:t>
      </w:r>
      <w:r w:rsidRPr="001B41BD">
        <w:rPr>
          <w:rFonts w:ascii="Book Antiqua" w:hAnsi="Book Antiqua"/>
          <w:sz w:val="22"/>
          <w:szCs w:val="22"/>
        </w:rPr>
        <w:t>a tento páchateľ súčasne musel svoju povinnosť dodatočne splniť najneskôr do 60 dní od dokonania trestného činu. Podobná právna úprava pri zániku trestného činu sa používa aj pri skutkovej podstate trestného činu nevyplatenia mzdy a odstupného podľa § 214 Trestného zákona.</w:t>
      </w:r>
    </w:p>
    <w:p w:rsidR="003175BE" w:rsidRPr="001B41BD" w:rsidP="003175BE">
      <w:pPr>
        <w:bidi w:val="0"/>
        <w:spacing w:before="120" w:line="276" w:lineRule="auto"/>
        <w:jc w:val="both"/>
        <w:rPr>
          <w:rFonts w:ascii="Book Antiqua" w:hAnsi="Book Antiqua"/>
          <w:sz w:val="22"/>
          <w:szCs w:val="22"/>
          <w:u w:val="single"/>
        </w:rPr>
      </w:pPr>
      <w:r w:rsidRPr="001B41BD">
        <w:rPr>
          <w:rFonts w:ascii="Book Antiqua" w:hAnsi="Book Antiqua"/>
          <w:sz w:val="22"/>
          <w:szCs w:val="22"/>
          <w:u w:val="single"/>
        </w:rPr>
        <w:t>K bodu 2</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 xml:space="preserve">Vzhľadom na dlhodobo pretrvávajúci problém s nevyplácaním faktúr voči </w:t>
      </w:r>
      <w:r w:rsidRPr="001B41BD" w:rsidR="00064CF3">
        <w:rPr>
          <w:rFonts w:ascii="Book Antiqua" w:hAnsi="Book Antiqua"/>
          <w:sz w:val="22"/>
          <w:szCs w:val="22"/>
        </w:rPr>
        <w:t>fyzickým osobám, ktoré podnikajú na základe živnostenského oprávnenia</w:t>
      </w:r>
      <w:r w:rsidR="00A37520">
        <w:rPr>
          <w:rFonts w:ascii="Book Antiqua" w:hAnsi="Book Antiqua"/>
          <w:sz w:val="22"/>
          <w:szCs w:val="22"/>
        </w:rPr>
        <w:t>, sa</w:t>
      </w:r>
      <w:r w:rsidRPr="001B41BD">
        <w:rPr>
          <w:rFonts w:ascii="Book Antiqua" w:hAnsi="Book Antiqua"/>
          <w:sz w:val="22"/>
          <w:szCs w:val="22"/>
        </w:rPr>
        <w:t xml:space="preserve"> do Trestného zákona </w:t>
      </w:r>
      <w:r w:rsidR="00A37520">
        <w:rPr>
          <w:rFonts w:ascii="Book Antiqua" w:hAnsi="Book Antiqua"/>
          <w:sz w:val="22"/>
          <w:szCs w:val="22"/>
        </w:rPr>
        <w:t xml:space="preserve">navrhuje </w:t>
      </w:r>
      <w:r w:rsidRPr="001B41BD">
        <w:rPr>
          <w:rFonts w:ascii="Book Antiqua" w:hAnsi="Book Antiqua"/>
          <w:sz w:val="22"/>
          <w:szCs w:val="22"/>
        </w:rPr>
        <w:t>zakotvenie novej skutkovej podstaty trestného činu nevyplatenia faktúry.</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 xml:space="preserve">Po poslednej novele Obchodného zákonníka č. 513/1991 Z. z. v znení neskorších predpisov sa aj vďaka transpozícii smernice Európskeho parlamentu a Rady 2011/7/EÚ o boji proti oneskoreným platbám v obchodných transakciách (ďalej len „smernica“) doplnili dve nové ustanovenia § 340a a § 340b, ktoré síce stanovujú maximálne lehoty, v akých sa </w:t>
      </w:r>
      <w:r w:rsidRPr="001B41BD" w:rsidR="007C75EB">
        <w:rPr>
          <w:rFonts w:ascii="Book Antiqua" w:hAnsi="Book Antiqua"/>
          <w:sz w:val="22"/>
          <w:szCs w:val="22"/>
        </w:rPr>
        <w:t>určuje lehota splatnosti peňažného záväzku</w:t>
      </w:r>
      <w:r w:rsidRPr="001B41BD">
        <w:rPr>
          <w:rFonts w:ascii="Book Antiqua" w:hAnsi="Book Antiqua"/>
          <w:sz w:val="22"/>
          <w:szCs w:val="22"/>
        </w:rPr>
        <w:t>, avšak takáto úprava nie je dostatočná voči postihovaniu úmyselného podvodného konania, ktorých hlavným cieľom je nevyplatenie faktúry.</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V dôsledku</w:t>
      </w:r>
      <w:r w:rsidR="00A37520">
        <w:rPr>
          <w:rFonts w:ascii="Book Antiqua" w:hAnsi="Book Antiqua"/>
          <w:sz w:val="22"/>
          <w:szCs w:val="22"/>
        </w:rPr>
        <w:t xml:space="preserve"> nevyplácania faktúr voči zraniteľným subjektom,</w:t>
      </w:r>
      <w:r w:rsidRPr="001B41BD">
        <w:rPr>
          <w:rFonts w:ascii="Book Antiqua" w:hAnsi="Book Antiqua"/>
          <w:sz w:val="22"/>
          <w:szCs w:val="22"/>
        </w:rPr>
        <w:t xml:space="preserve"> a to malým živnostníkom, dochádza v poslednej dobe k ich finančnej likvidácii a ukončeniu ich podnikania. Prax je v súčasnosti taká, že veľké firmy napríklad v odvetví stavebníctva si zazmluvnili veľké množstvo malých živnostníkov, ktorí im vykonávajú veľkú časť sta</w:t>
      </w:r>
      <w:r w:rsidR="00A37520">
        <w:rPr>
          <w:rFonts w:ascii="Book Antiqua" w:hAnsi="Book Antiqua"/>
          <w:sz w:val="22"/>
          <w:szCs w:val="22"/>
        </w:rPr>
        <w:t xml:space="preserve">vebných prác, za ktoré síce tieto veľké firmy </w:t>
      </w:r>
      <w:r w:rsidRPr="001B41BD">
        <w:rPr>
          <w:rFonts w:ascii="Book Antiqua" w:hAnsi="Book Antiqua"/>
          <w:sz w:val="22"/>
          <w:szCs w:val="22"/>
        </w:rPr>
        <w:t>inkas</w:t>
      </w:r>
      <w:r w:rsidR="00A37520">
        <w:rPr>
          <w:rFonts w:ascii="Book Antiqua" w:hAnsi="Book Antiqua"/>
          <w:sz w:val="22"/>
          <w:szCs w:val="22"/>
        </w:rPr>
        <w:t>ujú finančné prostriedky, avšak následne</w:t>
      </w:r>
      <w:r w:rsidRPr="001B41BD">
        <w:rPr>
          <w:rFonts w:ascii="Book Antiqua" w:hAnsi="Book Antiqua"/>
          <w:sz w:val="22"/>
          <w:szCs w:val="22"/>
        </w:rPr>
        <w:t xml:space="preserve"> už svojich malých subdodávateľov nevyplácajú. Títo malí živnostníci nemajú zväčša na zaplatenie svojich povinných odvodov do sociálneho a zdravotného poistenia a</w:t>
      </w:r>
      <w:r w:rsidR="00A37520">
        <w:rPr>
          <w:rFonts w:ascii="Book Antiqua" w:hAnsi="Book Antiqua"/>
          <w:sz w:val="22"/>
          <w:szCs w:val="22"/>
        </w:rPr>
        <w:t> často</w:t>
      </w:r>
      <w:r w:rsidRPr="001B41BD">
        <w:rPr>
          <w:rFonts w:ascii="Book Antiqua" w:hAnsi="Book Antiqua"/>
          <w:sz w:val="22"/>
          <w:szCs w:val="22"/>
        </w:rPr>
        <w:t xml:space="preserve"> im neostávajú prostriedky ani na zaplatenie súdneho poplatku za podanie žaloby, prostredníctvom ktorej by sa domáhali vymáhania prostriedkov vyplývajúcich im z vystavenej faktúry. </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Na rozdiel od zamestnancov, ktorí v prípade nevyplatenia mzdy alebo odstupného podľa § 214 Trestného zákona môžu podať na svojho zamest</w:t>
      </w:r>
      <w:r w:rsidRPr="001B41BD" w:rsidR="00C13D09">
        <w:rPr>
          <w:rFonts w:ascii="Book Antiqua" w:hAnsi="Book Antiqua"/>
          <w:sz w:val="22"/>
          <w:szCs w:val="22"/>
        </w:rPr>
        <w:t>návateľa trestného oznámenie, tie</w:t>
      </w:r>
      <w:r w:rsidRPr="001B41BD">
        <w:rPr>
          <w:rFonts w:ascii="Book Antiqua" w:hAnsi="Book Antiqua"/>
          <w:sz w:val="22"/>
          <w:szCs w:val="22"/>
        </w:rPr>
        <w:t xml:space="preserve">to </w:t>
      </w:r>
      <w:r w:rsidRPr="001B41BD" w:rsidR="007C75EB">
        <w:rPr>
          <w:rFonts w:ascii="Book Antiqua" w:hAnsi="Book Antiqua"/>
          <w:sz w:val="22"/>
          <w:szCs w:val="22"/>
        </w:rPr>
        <w:t>fyzické osoby, ktoré podnikajú na základe živnostenského oprávnenia</w:t>
      </w:r>
      <w:r w:rsidR="00A37520">
        <w:rPr>
          <w:rFonts w:ascii="Book Antiqua" w:hAnsi="Book Antiqua"/>
          <w:sz w:val="22"/>
          <w:szCs w:val="22"/>
        </w:rPr>
        <w:t>,</w:t>
      </w:r>
      <w:r w:rsidRPr="001B41BD" w:rsidR="007C75EB">
        <w:rPr>
          <w:rFonts w:ascii="Book Antiqua" w:hAnsi="Book Antiqua"/>
          <w:sz w:val="22"/>
          <w:szCs w:val="22"/>
        </w:rPr>
        <w:t xml:space="preserve"> </w:t>
      </w:r>
      <w:r w:rsidRPr="001B41BD">
        <w:rPr>
          <w:rFonts w:ascii="Book Antiqua" w:hAnsi="Book Antiqua"/>
          <w:sz w:val="22"/>
          <w:szCs w:val="22"/>
        </w:rPr>
        <w:t>takouto trestno-právnou ochranou nedisponujú.</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b/>
          <w:sz w:val="22"/>
          <w:szCs w:val="22"/>
        </w:rPr>
        <w:t>Subjektom</w:t>
      </w:r>
      <w:r w:rsidRPr="001B41BD">
        <w:rPr>
          <w:rFonts w:ascii="Book Antiqua" w:hAnsi="Book Antiqua"/>
          <w:sz w:val="22"/>
          <w:szCs w:val="22"/>
        </w:rPr>
        <w:t>, čiže páchateľom trestného činu nevyplatenia faktúry bude štatutárny orgán právnickej osoby alebo podnikateľ, ktorý je fyzickou osobou, alebo ich zástupca alebo prokurista. To znamená, že ide o špeciálny subjekt a bude tak jednoduché určiť zodpovednú osobu, ktorá bude trestne stíhaná v prípade, ak by nedošlo k vyplateniu ceny práce z faktúry.</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Štatutárnym orgánom právnickej osoby je osoba, alebo osoby, ktoré sú podľa zakladacej listiny, zmluvy o zriadení právnickej osoby alebo zo zákona oprávnené robiť právne úkony za právnickú osobu, napr. konateľ spoločnosti s ručením obmedzeným, riaditeľ štátneho podniku alebo predstavenstvo akciovej spoločnosti.</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Zástupcom alebo prokuristom je v zmysle § 13 ods. 1 a § 14 Obchodného zákonníka fyzická osoba splnomocnená podnikateľom navykonávanie všetkých právnych úkonov, ku ktorým dochádza pri prevádzke podniku. Podnikateľom, ktorý je fyzickou osobou sa myslia všetci podnikatelia v zmysle § 2 ods. 2 Obchodného zákonníka.</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Trestné bude len konanie, ktorého dôsledkom bude nevyplatenie časti faktúry pozostávajúcej z nevyplatenia ceny práce. Keďže fakturant nemá v zmysle doteraz platných právnych predpisov povinnosť deliť faktúru na cenu tovaru, cenu práce a pod., trestnoprávnu ochranu bude požívať len tá časť faktúry a suma, ktorá bude zodpovedať cen</w:t>
      </w:r>
      <w:r w:rsidRPr="001B41BD" w:rsidR="00C13D09">
        <w:rPr>
          <w:rFonts w:ascii="Book Antiqua" w:hAnsi="Book Antiqua"/>
          <w:sz w:val="22"/>
          <w:szCs w:val="22"/>
        </w:rPr>
        <w:t>e práce v nej vyslovene uvedená</w:t>
      </w:r>
      <w:r w:rsidRPr="001B41BD">
        <w:rPr>
          <w:rFonts w:ascii="Book Antiqua" w:hAnsi="Book Antiqua"/>
          <w:sz w:val="22"/>
          <w:szCs w:val="22"/>
        </w:rPr>
        <w:t>. Takouto právnou úpravou sa dosiahne rovnovážny stav pri ochrane zamestnanca a </w:t>
      </w:r>
      <w:r w:rsidRPr="001B41BD" w:rsidR="007C75EB">
        <w:rPr>
          <w:rFonts w:ascii="Book Antiqua" w:hAnsi="Book Antiqua"/>
          <w:sz w:val="22"/>
          <w:szCs w:val="22"/>
        </w:rPr>
        <w:t>živnostníka</w:t>
      </w:r>
      <w:r w:rsidRPr="001B41BD">
        <w:rPr>
          <w:rFonts w:ascii="Book Antiqua" w:hAnsi="Book Antiqua"/>
          <w:sz w:val="22"/>
          <w:szCs w:val="22"/>
        </w:rPr>
        <w:t xml:space="preserve">. </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b/>
          <w:sz w:val="22"/>
          <w:szCs w:val="22"/>
        </w:rPr>
        <w:t>Subjektívna stránka</w:t>
      </w:r>
      <w:r w:rsidRPr="001B41BD">
        <w:rPr>
          <w:rFonts w:ascii="Book Antiqua" w:hAnsi="Book Antiqua"/>
          <w:sz w:val="22"/>
          <w:szCs w:val="22"/>
        </w:rPr>
        <w:t xml:space="preserve"> je daná zavinením páchateľa a na naplnenie skutkovej podstaty tohto</w:t>
      </w:r>
      <w:r w:rsidR="00A37520">
        <w:rPr>
          <w:rFonts w:ascii="Book Antiqua" w:hAnsi="Book Antiqua"/>
          <w:sz w:val="22"/>
          <w:szCs w:val="22"/>
        </w:rPr>
        <w:t xml:space="preserve"> trestného činu postačuje</w:t>
      </w:r>
      <w:r w:rsidRPr="001B41BD">
        <w:rPr>
          <w:rFonts w:ascii="Book Antiqua" w:hAnsi="Book Antiqua"/>
          <w:sz w:val="22"/>
          <w:szCs w:val="22"/>
        </w:rPr>
        <w:t xml:space="preserve"> aj nedbanlivostné konanie spočívajúce v nevyplatení ceny práce z vystavenej faktúry </w:t>
      </w:r>
      <w:r w:rsidRPr="001B41BD" w:rsidR="007C75EB">
        <w:rPr>
          <w:rFonts w:ascii="Book Antiqua" w:hAnsi="Book Antiqua"/>
          <w:sz w:val="22"/>
          <w:szCs w:val="22"/>
        </w:rPr>
        <w:t>fyzickej osobe, ktorá podniká na základe živnostenského oprávnenia</w:t>
      </w:r>
      <w:r w:rsidR="00A37520">
        <w:rPr>
          <w:rFonts w:ascii="Book Antiqua" w:hAnsi="Book Antiqua"/>
          <w:sz w:val="22"/>
          <w:szCs w:val="22"/>
        </w:rPr>
        <w:t>,</w:t>
      </w:r>
      <w:r w:rsidRPr="001B41BD" w:rsidR="007C75EB">
        <w:rPr>
          <w:rFonts w:ascii="Book Antiqua" w:hAnsi="Book Antiqua"/>
          <w:sz w:val="22"/>
          <w:szCs w:val="22"/>
        </w:rPr>
        <w:t xml:space="preserve"> </w:t>
      </w:r>
      <w:r w:rsidRPr="001B41BD">
        <w:rPr>
          <w:rFonts w:ascii="Book Antiqua" w:hAnsi="Book Antiqua"/>
          <w:sz w:val="22"/>
          <w:szCs w:val="22"/>
        </w:rPr>
        <w:t>a to do 30 dní po jej splatnosti.</w:t>
      </w:r>
    </w:p>
    <w:p w:rsidR="00C13D09" w:rsidRPr="001B41BD" w:rsidP="005F1DD3">
      <w:pPr>
        <w:bidi w:val="0"/>
        <w:spacing w:before="120" w:line="276" w:lineRule="auto"/>
        <w:ind w:firstLine="708"/>
        <w:jc w:val="both"/>
        <w:rPr>
          <w:rFonts w:ascii="Book Antiqua" w:hAnsi="Book Antiqua"/>
          <w:sz w:val="22"/>
          <w:szCs w:val="22"/>
        </w:rPr>
      </w:pPr>
      <w:r w:rsidRPr="001B41BD" w:rsidR="003175BE">
        <w:rPr>
          <w:rFonts w:ascii="Book Antiqua" w:hAnsi="Book Antiqua"/>
          <w:b/>
          <w:sz w:val="22"/>
          <w:szCs w:val="22"/>
        </w:rPr>
        <w:t>Objektom</w:t>
      </w:r>
      <w:r w:rsidRPr="001B41BD" w:rsidR="003175BE">
        <w:rPr>
          <w:rFonts w:ascii="Book Antiqua" w:hAnsi="Book Antiqua"/>
          <w:sz w:val="22"/>
          <w:szCs w:val="22"/>
        </w:rPr>
        <w:t xml:space="preserve"> tohto trestného činu je ochrana </w:t>
      </w:r>
      <w:r w:rsidRPr="001B41BD" w:rsidR="007C75EB">
        <w:rPr>
          <w:rFonts w:ascii="Book Antiqua" w:hAnsi="Book Antiqua"/>
          <w:sz w:val="22"/>
          <w:szCs w:val="22"/>
        </w:rPr>
        <w:t>živnostníka</w:t>
      </w:r>
      <w:r w:rsidR="00A37520">
        <w:rPr>
          <w:rFonts w:ascii="Book Antiqua" w:hAnsi="Book Antiqua"/>
          <w:sz w:val="22"/>
          <w:szCs w:val="22"/>
        </w:rPr>
        <w:t xml:space="preserve"> s cieľom riadneho vyplácania</w:t>
      </w:r>
      <w:r w:rsidRPr="001B41BD" w:rsidR="003175BE">
        <w:rPr>
          <w:rFonts w:ascii="Book Antiqua" w:hAnsi="Book Antiqua"/>
          <w:sz w:val="22"/>
          <w:szCs w:val="22"/>
        </w:rPr>
        <w:t xml:space="preserve"> ceny práce z vystavenej faktúry a ochrana podnikateľského prostredia. V súčasnosti sa ochrana pred nevyplácaním mzdy alebo odstupného priznáva len zamestnancom a </w:t>
      </w:r>
      <w:r w:rsidRPr="001B41BD" w:rsidR="007C75EB">
        <w:rPr>
          <w:rFonts w:ascii="Book Antiqua" w:hAnsi="Book Antiqua"/>
          <w:sz w:val="22"/>
          <w:szCs w:val="22"/>
        </w:rPr>
        <w:t>fyzické osoby, ktoré podnikajú na základe živnostenského oprávnenia</w:t>
      </w:r>
      <w:r w:rsidRPr="001B41BD" w:rsidR="003175BE">
        <w:rPr>
          <w:rFonts w:ascii="Book Antiqua" w:hAnsi="Book Antiqua"/>
          <w:sz w:val="22"/>
          <w:szCs w:val="22"/>
        </w:rPr>
        <w:t>, takouto trestno-právnou ochranou nedisponujú, aj keď sa dá hovoriť o rovnakom objekte</w:t>
      </w:r>
      <w:r w:rsidR="00A37520">
        <w:rPr>
          <w:rFonts w:ascii="Book Antiqua" w:hAnsi="Book Antiqua"/>
          <w:sz w:val="22"/>
          <w:szCs w:val="22"/>
        </w:rPr>
        <w:t>,</w:t>
      </w:r>
      <w:r w:rsidRPr="001B41BD" w:rsidR="003175BE">
        <w:rPr>
          <w:rFonts w:ascii="Book Antiqua" w:hAnsi="Book Antiqua"/>
          <w:sz w:val="22"/>
          <w:szCs w:val="22"/>
        </w:rPr>
        <w:t xml:space="preserve"> a to riadnom vyplácaní odmeny za vykonaná prácu. Takouto právnou úpravou sa poskytuje ochrana zákonným nárokom, ktoré má </w:t>
      </w:r>
      <w:r w:rsidRPr="001B41BD" w:rsidR="007C75EB">
        <w:rPr>
          <w:rFonts w:ascii="Book Antiqua" w:hAnsi="Book Antiqua"/>
          <w:sz w:val="22"/>
          <w:szCs w:val="22"/>
        </w:rPr>
        <w:t>živnostník a</w:t>
      </w:r>
      <w:r w:rsidRPr="001B41BD" w:rsidR="003175BE">
        <w:rPr>
          <w:rFonts w:ascii="Book Antiqua" w:hAnsi="Book Antiqua"/>
          <w:sz w:val="22"/>
          <w:szCs w:val="22"/>
        </w:rPr>
        <w:t xml:space="preserve"> ktoré mu vyplývajú z obchodnoprávneho vzťahu.</w:t>
      </w:r>
      <w:r w:rsidRPr="001B41BD" w:rsidR="005F1DD3">
        <w:rPr>
          <w:rFonts w:ascii="Book Antiqua" w:hAnsi="Book Antiqua"/>
          <w:sz w:val="22"/>
          <w:szCs w:val="22"/>
        </w:rPr>
        <w:t xml:space="preserve"> </w:t>
      </w:r>
      <w:r w:rsidRPr="001B41BD">
        <w:rPr>
          <w:rFonts w:ascii="Book Antiqua" w:hAnsi="Book Antiqua"/>
          <w:sz w:val="22"/>
          <w:szCs w:val="22"/>
        </w:rPr>
        <w:t xml:space="preserve">Pri živnostníkovi je potrebné ešte pripomenúť, že ručí za svoje záväzky celým svojim majetkom a preto je potrebné mu garantovať väčšiu trestno-právnu ochranu, keďže v dôsledku nevyplácania faktúr môže byť postihovaný </w:t>
      </w:r>
      <w:r w:rsidRPr="001B41BD" w:rsidR="005F1DD3">
        <w:rPr>
          <w:rFonts w:ascii="Book Antiqua" w:hAnsi="Book Antiqua"/>
          <w:sz w:val="22"/>
          <w:szCs w:val="22"/>
        </w:rPr>
        <w:t xml:space="preserve">jeho </w:t>
      </w:r>
      <w:r w:rsidR="00A37520">
        <w:rPr>
          <w:rFonts w:ascii="Book Antiqua" w:hAnsi="Book Antiqua"/>
          <w:sz w:val="22"/>
          <w:szCs w:val="22"/>
        </w:rPr>
        <w:t xml:space="preserve">celý </w:t>
      </w:r>
      <w:r w:rsidRPr="001B41BD">
        <w:rPr>
          <w:rFonts w:ascii="Book Antiqua" w:hAnsi="Book Antiqua"/>
          <w:sz w:val="22"/>
          <w:szCs w:val="22"/>
        </w:rPr>
        <w:t>majetok</w:t>
      </w:r>
      <w:r w:rsidR="00A37520">
        <w:rPr>
          <w:rFonts w:ascii="Book Antiqua" w:hAnsi="Book Antiqua"/>
          <w:sz w:val="22"/>
          <w:szCs w:val="22"/>
        </w:rPr>
        <w:t xml:space="preserve"> vrátane súkromného majetku</w:t>
      </w:r>
      <w:r w:rsidRPr="001B41BD">
        <w:rPr>
          <w:rFonts w:ascii="Book Antiqua" w:hAnsi="Book Antiqua"/>
          <w:sz w:val="22"/>
          <w:szCs w:val="22"/>
        </w:rPr>
        <w:t xml:space="preserve">. </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b/>
          <w:sz w:val="22"/>
          <w:szCs w:val="22"/>
        </w:rPr>
        <w:t>Objektívnou stránkou</w:t>
      </w:r>
      <w:r w:rsidRPr="001B41BD">
        <w:rPr>
          <w:rFonts w:ascii="Book Antiqua" w:hAnsi="Book Antiqua"/>
          <w:sz w:val="22"/>
          <w:szCs w:val="22"/>
        </w:rPr>
        <w:t xml:space="preserve"> v prípade </w:t>
      </w:r>
      <w:r w:rsidRPr="001B41BD" w:rsidR="005F1DD3">
        <w:rPr>
          <w:rFonts w:ascii="Book Antiqua" w:hAnsi="Book Antiqua"/>
          <w:sz w:val="22"/>
          <w:szCs w:val="22"/>
        </w:rPr>
        <w:t xml:space="preserve">skutkovej podstaty tohto </w:t>
      </w:r>
      <w:r w:rsidRPr="001B41BD">
        <w:rPr>
          <w:rFonts w:ascii="Book Antiqua" w:hAnsi="Book Antiqua"/>
          <w:sz w:val="22"/>
          <w:szCs w:val="22"/>
        </w:rPr>
        <w:t xml:space="preserve">trestného činu je konanie, ktorého dôsledkom je nevyplatenie ceny práce z vystavenej faktúry, na ktorú má </w:t>
      </w:r>
      <w:r w:rsidRPr="001B41BD" w:rsidR="007C75EB">
        <w:rPr>
          <w:rFonts w:ascii="Book Antiqua" w:hAnsi="Book Antiqua"/>
          <w:sz w:val="22"/>
          <w:szCs w:val="22"/>
        </w:rPr>
        <w:t>fyzická osoba, ktorá podniká na základe živnostenského oprávnenia</w:t>
      </w:r>
      <w:r w:rsidRPr="001B41BD">
        <w:rPr>
          <w:rFonts w:ascii="Book Antiqua" w:hAnsi="Book Antiqua"/>
          <w:sz w:val="22"/>
          <w:szCs w:val="22"/>
        </w:rPr>
        <w:t xml:space="preserve"> nárok</w:t>
      </w:r>
      <w:r w:rsidR="00EF69AF">
        <w:rPr>
          <w:rFonts w:ascii="Book Antiqua" w:hAnsi="Book Antiqua"/>
          <w:sz w:val="22"/>
          <w:szCs w:val="22"/>
        </w:rPr>
        <w:t>,</w:t>
      </w:r>
      <w:r w:rsidRPr="001B41BD">
        <w:rPr>
          <w:rFonts w:ascii="Book Antiqua" w:hAnsi="Book Antiqua"/>
          <w:sz w:val="22"/>
          <w:szCs w:val="22"/>
        </w:rPr>
        <w:t xml:space="preserve"> a to do 30 dní po jej splatnosti. Aby sa zabránilo automatickému podávaniu trestným oznámení pre nevyplatenie faktúry, ktoré mohlo byť spôsobené len dlhšou lehotou, v ktorej trval napr. bankový prevod, navrhuje sa objektívna lehota, v ktorej musí byť schopný páchateľ vyplatiť cenu práce z faktúry a zároveň ide o lehotu, ktorá ešte nespôsobí </w:t>
      </w:r>
      <w:r w:rsidRPr="001B41BD" w:rsidR="007C75EB">
        <w:rPr>
          <w:rFonts w:ascii="Book Antiqua" w:hAnsi="Book Antiqua"/>
          <w:sz w:val="22"/>
          <w:szCs w:val="22"/>
        </w:rPr>
        <w:t>živnostníkovi</w:t>
      </w:r>
      <w:r w:rsidRPr="001B41BD">
        <w:rPr>
          <w:rFonts w:ascii="Book Antiqua" w:hAnsi="Book Antiqua"/>
          <w:sz w:val="22"/>
          <w:szCs w:val="22"/>
        </w:rPr>
        <w:t xml:space="preserve"> existenčné problémy. </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Trestný čin nevyplatenia faktúry môže byť spáchaný dvoma formami:</w:t>
      </w:r>
    </w:p>
    <w:p w:rsidR="003175BE" w:rsidRPr="001B41BD" w:rsidP="003175BE">
      <w:pPr>
        <w:numPr>
          <w:numId w:val="3"/>
        </w:numPr>
        <w:bidi w:val="0"/>
        <w:spacing w:before="120" w:line="276" w:lineRule="auto"/>
        <w:jc w:val="both"/>
        <w:rPr>
          <w:rFonts w:ascii="Book Antiqua" w:hAnsi="Book Antiqua"/>
          <w:sz w:val="22"/>
          <w:szCs w:val="22"/>
        </w:rPr>
      </w:pPr>
      <w:r w:rsidR="00EF69AF">
        <w:rPr>
          <w:rFonts w:ascii="Book Antiqua" w:hAnsi="Book Antiqua"/>
          <w:sz w:val="22"/>
          <w:szCs w:val="22"/>
        </w:rPr>
        <w:t>n</w:t>
      </w:r>
      <w:r w:rsidRPr="001B41BD">
        <w:rPr>
          <w:rFonts w:ascii="Book Antiqua" w:hAnsi="Book Antiqua"/>
          <w:sz w:val="22"/>
          <w:szCs w:val="22"/>
        </w:rPr>
        <w:t xml:space="preserve">evyplatením ceny práce z vystavenej faktúry </w:t>
      </w:r>
      <w:r w:rsidRPr="001B41BD" w:rsidR="007C75EB">
        <w:rPr>
          <w:rFonts w:ascii="Book Antiqua" w:hAnsi="Book Antiqua"/>
          <w:sz w:val="22"/>
          <w:szCs w:val="22"/>
        </w:rPr>
        <w:t xml:space="preserve">fyzickej osobe, ktorá podniká na základe živnostenského oprávnenia </w:t>
      </w:r>
      <w:r w:rsidRPr="001B41BD">
        <w:rPr>
          <w:rFonts w:ascii="Book Antiqua" w:hAnsi="Book Antiqua"/>
          <w:sz w:val="22"/>
          <w:szCs w:val="22"/>
        </w:rPr>
        <w:t>do 30 dní po jej splatnosti alebo</w:t>
      </w:r>
    </w:p>
    <w:p w:rsidR="003175BE" w:rsidRPr="001B41BD" w:rsidP="003175BE">
      <w:pPr>
        <w:numPr>
          <w:numId w:val="3"/>
        </w:numPr>
        <w:bidi w:val="0"/>
        <w:spacing w:before="120" w:line="276" w:lineRule="auto"/>
        <w:jc w:val="both"/>
        <w:rPr>
          <w:rFonts w:ascii="Book Antiqua" w:hAnsi="Book Antiqua"/>
          <w:sz w:val="22"/>
          <w:szCs w:val="22"/>
        </w:rPr>
      </w:pPr>
      <w:r w:rsidRPr="001B41BD">
        <w:rPr>
          <w:rFonts w:ascii="Book Antiqua" w:hAnsi="Book Antiqua"/>
          <w:sz w:val="22"/>
          <w:szCs w:val="22"/>
        </w:rPr>
        <w:t>vykonaním opatrení smerujúcich k zmareniu vyplatenia týchto peňažných prostriedkov.</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 xml:space="preserve">Podmienkou trestnosti v zmysle tohto ustanovenia je, aby subjekt tohto trestného činu mal odo dňa splatnosti faktúry do uplynutia 30 dní po splatnosti faktúry finančné prostriedky na výplatu tej časti faktúry, v ktorej je vyjadrená cena práce. Preto, ak páchateľ nemal tieto finančné prostriedky vo vyššie uvedenej lehote, nie je trestný za nesplnenie záväzku. </w:t>
      </w:r>
    </w:p>
    <w:p w:rsidR="003175BE" w:rsidRPr="001B41BD" w:rsidP="003175BE">
      <w:pPr>
        <w:bidi w:val="0"/>
        <w:spacing w:before="120" w:line="276" w:lineRule="auto"/>
        <w:ind w:firstLine="708"/>
        <w:jc w:val="both"/>
        <w:rPr>
          <w:rFonts w:ascii="Book Antiqua" w:hAnsi="Book Antiqua"/>
          <w:sz w:val="22"/>
          <w:szCs w:val="22"/>
        </w:rPr>
      </w:pPr>
      <w:r w:rsidR="00EF69AF">
        <w:rPr>
          <w:rFonts w:ascii="Book Antiqua" w:hAnsi="Book Antiqua"/>
          <w:sz w:val="22"/>
          <w:szCs w:val="22"/>
        </w:rPr>
        <w:t xml:space="preserve">Takáto právna úprava </w:t>
      </w:r>
      <w:r w:rsidRPr="001B41BD">
        <w:rPr>
          <w:rFonts w:ascii="Book Antiqua" w:hAnsi="Book Antiqua"/>
          <w:sz w:val="22"/>
          <w:szCs w:val="22"/>
        </w:rPr>
        <w:t xml:space="preserve">umožňuje ústavno-konformným spôsobom zaviesť takúto skutkovú podstatu, keďže v zmysle čl. 17 ods. 2 Ústavy Slovenskej republiky, je ustanovené, že </w:t>
      </w:r>
      <w:r w:rsidRPr="001B41BD">
        <w:rPr>
          <w:rFonts w:ascii="Book Antiqua" w:hAnsi="Book Antiqua"/>
          <w:i/>
          <w:sz w:val="22"/>
          <w:szCs w:val="22"/>
        </w:rPr>
        <w:t>„</w:t>
      </w:r>
      <w:r w:rsidRPr="001B41BD" w:rsidR="005F1DD3">
        <w:rPr>
          <w:rFonts w:ascii="Book Antiqua" w:hAnsi="Book Antiqua"/>
          <w:i/>
          <w:color w:val="000000"/>
          <w:sz w:val="22"/>
          <w:szCs w:val="22"/>
        </w:rPr>
        <w:t>n</w:t>
      </w:r>
      <w:r w:rsidRPr="001B41BD">
        <w:rPr>
          <w:rFonts w:ascii="Book Antiqua" w:hAnsi="Book Antiqua"/>
          <w:i/>
          <w:color w:val="000000"/>
          <w:sz w:val="22"/>
          <w:szCs w:val="22"/>
        </w:rPr>
        <w:t>ikoho nemožno pozbaviť slobody len pre neschopnosť dodržať zmluvný záväzok.“.</w:t>
      </w:r>
      <w:r w:rsidRPr="001B41BD">
        <w:rPr>
          <w:rFonts w:ascii="Book Antiqua" w:hAnsi="Book Antiqua"/>
          <w:color w:val="000000"/>
          <w:sz w:val="22"/>
          <w:szCs w:val="22"/>
        </w:rPr>
        <w:t xml:space="preserve"> Rovnako ako tento trestný čin nevyplatenia faktúry je koncipovaná aj skutková podstata trestného činu nevyplatenia mzdy a odstupného.</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Trestný čin nevyplatenia faktúry je definovaný ako prečin, za ktorý je možné potrestať páchateľa odňatím slobody až na tri roky.</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 xml:space="preserve">Súčasne sa zavádza, že páchateľ sa potrestá odňatím slobody na jeden až päť rokov, ak spácha tento trestný čin a spôsobí ním väčšiu škodu, čiže aspoň 2660 eur, z osobitného motívu alebo voči viac ako desiatim </w:t>
      </w:r>
      <w:r w:rsidRPr="001B41BD" w:rsidR="007C75EB">
        <w:rPr>
          <w:rFonts w:ascii="Book Antiqua" w:hAnsi="Book Antiqua"/>
          <w:sz w:val="22"/>
          <w:szCs w:val="22"/>
        </w:rPr>
        <w:t>fyzickým osobám, ktoré podnikajú na základe živnostenského oprávnenia</w:t>
      </w:r>
      <w:r w:rsidRPr="001B41BD">
        <w:rPr>
          <w:rFonts w:ascii="Book Antiqua" w:hAnsi="Book Antiqua"/>
          <w:sz w:val="22"/>
          <w:szCs w:val="22"/>
        </w:rPr>
        <w:t>.</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V prípade, ak by páchateľ spôsobil značnú škodu, čiže aspoň 26.600 eur</w:t>
      </w:r>
      <w:r w:rsidR="00EF69AF">
        <w:rPr>
          <w:rFonts w:ascii="Book Antiqua" w:hAnsi="Book Antiqua"/>
          <w:sz w:val="22"/>
          <w:szCs w:val="22"/>
        </w:rPr>
        <w:t>,</w:t>
      </w:r>
      <w:r w:rsidRPr="001B41BD">
        <w:rPr>
          <w:rFonts w:ascii="Book Antiqua" w:hAnsi="Book Antiqua"/>
          <w:sz w:val="22"/>
          <w:szCs w:val="22"/>
        </w:rPr>
        <w:t xml:space="preserve"> potrestal by sa odňatím slobody na tri až osem rokov a v prípade spôsobenia škody veľkého rozsahu, čiže aspoň 133.000 eur, by sa páchateľ potrestal odňatím slobody na sedem až dvanásť rokov.</w:t>
      </w: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b/>
          <w:sz w:val="22"/>
          <w:szCs w:val="22"/>
        </w:rPr>
      </w:pPr>
      <w:r w:rsidRPr="001B41BD">
        <w:rPr>
          <w:rFonts w:ascii="Book Antiqua" w:hAnsi="Book Antiqua"/>
          <w:b/>
          <w:sz w:val="22"/>
          <w:szCs w:val="22"/>
        </w:rPr>
        <w:t>K Čl. II</w:t>
      </w:r>
    </w:p>
    <w:p w:rsidR="003175BE" w:rsidRPr="001B41BD" w:rsidP="003175BE">
      <w:pPr>
        <w:pStyle w:val="NormalWeb"/>
        <w:bidi w:val="0"/>
        <w:spacing w:before="120" w:beforeAutospacing="0" w:after="0" w:afterAutospacing="0" w:line="276" w:lineRule="auto"/>
        <w:ind w:firstLine="708"/>
        <w:jc w:val="both"/>
        <w:rPr>
          <w:rFonts w:ascii="Book Antiqua" w:hAnsi="Book Antiqua"/>
          <w:b/>
          <w:bCs/>
          <w:caps/>
          <w:color w:val="000000"/>
          <w:spacing w:val="30"/>
          <w:sz w:val="22"/>
          <w:szCs w:val="22"/>
        </w:rPr>
      </w:pPr>
      <w:r w:rsidRPr="001B41BD">
        <w:rPr>
          <w:rFonts w:ascii="Book Antiqua" w:hAnsi="Book Antiqua"/>
          <w:bCs/>
          <w:sz w:val="22"/>
          <w:szCs w:val="22"/>
        </w:rPr>
        <w:t>Navrhuje sa účinnosť predkladaného návrhu zákona so zohľadnením potrebnej dĺžky legisvakančnej lehoty na</w:t>
      </w:r>
      <w:r w:rsidRPr="001B41BD">
        <w:rPr>
          <w:rFonts w:ascii="Book Antiqua" w:hAnsi="Book Antiqua"/>
          <w:sz w:val="22"/>
          <w:szCs w:val="22"/>
        </w:rPr>
        <w:t xml:space="preserve"> 1. septembra 2014.</w:t>
      </w:r>
    </w:p>
    <w:p w:rsidR="003175BE" w:rsidRPr="001B41BD" w:rsidP="003175BE">
      <w:pPr>
        <w:pStyle w:val="NormalWeb"/>
        <w:bidi w:val="0"/>
        <w:spacing w:before="120" w:beforeAutospacing="0" w:after="0" w:afterAutospacing="0" w:line="276" w:lineRule="auto"/>
        <w:jc w:val="both"/>
        <w:rPr>
          <w:rFonts w:ascii="Book Antiqua" w:hAnsi="Book Antiqua"/>
          <w:b/>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5F1DD3">
      <w:pPr>
        <w:bidi w:val="0"/>
        <w:spacing w:before="120" w:line="276" w:lineRule="auto"/>
        <w:rPr>
          <w:rFonts w:ascii="Book Antiqua" w:hAnsi="Book Antiqua"/>
          <w:b/>
          <w:bCs/>
          <w:caps/>
          <w:color w:val="000000"/>
          <w:spacing w:val="30"/>
          <w:sz w:val="22"/>
          <w:szCs w:val="22"/>
        </w:rPr>
      </w:pPr>
    </w:p>
    <w:p w:rsidR="001F00B2" w:rsidP="001F00B2">
      <w:pPr>
        <w:bidi w:val="0"/>
        <w:spacing w:before="120" w:line="276" w:lineRule="auto"/>
        <w:jc w:val="center"/>
        <w:rPr>
          <w:rFonts w:ascii="Book Antiqua" w:hAnsi="Book Antiqua"/>
          <w:b/>
          <w:bCs/>
          <w:caps/>
          <w:color w:val="000000"/>
          <w:spacing w:val="30"/>
          <w:sz w:val="22"/>
          <w:szCs w:val="22"/>
        </w:rPr>
      </w:pPr>
      <w:r w:rsidRPr="001B41BD" w:rsidR="003175BE">
        <w:rPr>
          <w:rFonts w:ascii="Book Antiqua" w:hAnsi="Book Antiqua"/>
          <w:b/>
          <w:bCs/>
          <w:caps/>
          <w:color w:val="000000"/>
          <w:spacing w:val="30"/>
          <w:sz w:val="22"/>
          <w:szCs w:val="22"/>
        </w:rPr>
        <w:br w:type="page"/>
      </w:r>
    </w:p>
    <w:p w:rsidR="001F00B2" w:rsidRPr="002F3D43" w:rsidP="001F00B2">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b/>
          <w:bCs/>
          <w:caps/>
          <w:spacing w:val="30"/>
          <w:sz w:val="22"/>
          <w:szCs w:val="22"/>
        </w:rPr>
        <w:t>DOLOŽKA ZLUČITEĽNOSTI</w:t>
      </w:r>
    </w:p>
    <w:p w:rsidR="001F00B2" w:rsidRPr="002F3D43" w:rsidP="001F00B2">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b/>
          <w:bCs/>
          <w:sz w:val="22"/>
          <w:szCs w:val="22"/>
        </w:rPr>
        <w:t>návrhu zákona</w:t>
      </w:r>
      <w:r w:rsidRPr="002F3D43">
        <w:rPr>
          <w:rFonts w:ascii="Book Antiqua" w:hAnsi="Book Antiqua"/>
          <w:sz w:val="22"/>
          <w:szCs w:val="22"/>
        </w:rPr>
        <w:t xml:space="preserve"> </w:t>
      </w:r>
      <w:r w:rsidRPr="002F3D43">
        <w:rPr>
          <w:rFonts w:ascii="Book Antiqua" w:hAnsi="Book Antiqua"/>
          <w:b/>
          <w:bCs/>
          <w:sz w:val="22"/>
          <w:szCs w:val="22"/>
        </w:rPr>
        <w:t>s právom Európskej únie</w:t>
      </w:r>
    </w:p>
    <w:p w:rsidR="001F00B2" w:rsidRPr="002F3D43" w:rsidP="001F00B2">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sz w:val="22"/>
          <w:szCs w:val="22"/>
        </w:rPr>
        <w:t> </w:t>
      </w:r>
    </w:p>
    <w:p w:rsidR="001F00B2" w:rsidRPr="002F3D43" w:rsidP="001F00B2">
      <w:pPr>
        <w:pStyle w:val="NormalWeb"/>
        <w:bidi w:val="0"/>
        <w:spacing w:before="120" w:beforeAutospacing="0" w:after="0" w:afterAutospacing="0" w:line="276" w:lineRule="auto"/>
        <w:jc w:val="both"/>
        <w:rPr>
          <w:rFonts w:ascii="Book Antiqua" w:hAnsi="Book Antiqua"/>
          <w:color w:val="FF0000"/>
          <w:sz w:val="22"/>
          <w:szCs w:val="22"/>
        </w:rPr>
      </w:pPr>
      <w:r w:rsidRPr="002F3D43">
        <w:rPr>
          <w:rFonts w:ascii="Book Antiqua" w:hAnsi="Book Antiqua"/>
          <w:b/>
          <w:bCs/>
          <w:sz w:val="22"/>
          <w:szCs w:val="22"/>
        </w:rPr>
        <w:t>1. Navrhovateľ zákona:</w:t>
      </w:r>
      <w:r>
        <w:rPr>
          <w:rFonts w:ascii="Book Antiqua" w:hAnsi="Book Antiqua"/>
          <w:sz w:val="22"/>
          <w:szCs w:val="22"/>
        </w:rPr>
        <w:t xml:space="preserve"> </w:t>
      </w:r>
      <w:r w:rsidR="00844C27">
        <w:rPr>
          <w:rFonts w:ascii="Book Antiqua" w:hAnsi="Book Antiqua"/>
          <w:sz w:val="22"/>
          <w:szCs w:val="22"/>
        </w:rPr>
        <w:t>poslanci</w:t>
      </w:r>
      <w:r w:rsidRPr="001B41BD">
        <w:rPr>
          <w:rFonts w:ascii="Book Antiqua" w:hAnsi="Book Antiqua"/>
          <w:sz w:val="22"/>
          <w:szCs w:val="22"/>
        </w:rPr>
        <w:t xml:space="preserve"> Národnej rady Slovenskej republiky Igor Matovič</w:t>
      </w:r>
      <w:r w:rsidR="00844C27">
        <w:rPr>
          <w:rFonts w:ascii="Book Antiqua" w:hAnsi="Book Antiqua"/>
          <w:sz w:val="22"/>
          <w:szCs w:val="22"/>
        </w:rPr>
        <w:t xml:space="preserve"> a Martin Fecko</w:t>
      </w:r>
    </w:p>
    <w:p w:rsidR="001F00B2" w:rsidRPr="002F3D43" w:rsidP="001F00B2">
      <w:pPr>
        <w:pStyle w:val="NormalWeb"/>
        <w:bidi w:val="0"/>
        <w:spacing w:before="120" w:beforeAutospacing="0" w:after="0" w:afterAutospacing="0" w:line="276" w:lineRule="auto"/>
        <w:jc w:val="both"/>
        <w:rPr>
          <w:rFonts w:ascii="Book Antiqua" w:hAnsi="Book Antiqua"/>
          <w:sz w:val="22"/>
          <w:szCs w:val="22"/>
        </w:rPr>
      </w:pPr>
    </w:p>
    <w:p w:rsidR="001F00B2" w:rsidRPr="002F3D43" w:rsidP="001F00B2">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b/>
          <w:bCs/>
          <w:sz w:val="22"/>
          <w:szCs w:val="22"/>
        </w:rPr>
        <w:t>2. Názov návrhu zákona:</w:t>
      </w:r>
      <w:r w:rsidRPr="002F3D43">
        <w:rPr>
          <w:rFonts w:ascii="Book Antiqua" w:hAnsi="Book Antiqua"/>
          <w:sz w:val="22"/>
          <w:szCs w:val="22"/>
        </w:rPr>
        <w:t xml:space="preserve"> </w:t>
      </w:r>
      <w:r>
        <w:rPr>
          <w:rFonts w:ascii="Book Antiqua" w:hAnsi="Book Antiqua"/>
          <w:sz w:val="22"/>
          <w:szCs w:val="22"/>
        </w:rPr>
        <w:t>n</w:t>
      </w:r>
      <w:r w:rsidRPr="001B41BD">
        <w:rPr>
          <w:rFonts w:ascii="Book Antiqua" w:hAnsi="Book Antiqua"/>
          <w:sz w:val="22"/>
          <w:szCs w:val="22"/>
        </w:rPr>
        <w:t xml:space="preserve">ávrh zákona, ktorým sa dopĺňa </w:t>
      </w:r>
      <w:r>
        <w:rPr>
          <w:rFonts w:ascii="Book Antiqua" w:hAnsi="Book Antiqua"/>
          <w:bCs/>
          <w:iCs/>
          <w:sz w:val="22"/>
          <w:szCs w:val="22"/>
          <w:lang w:eastAsia="cs-CZ"/>
        </w:rPr>
        <w:t xml:space="preserve">zákon </w:t>
      </w:r>
      <w:r w:rsidRPr="001B41BD">
        <w:rPr>
          <w:rFonts w:ascii="Book Antiqua" w:hAnsi="Book Antiqua"/>
          <w:bCs/>
          <w:iCs/>
          <w:sz w:val="22"/>
          <w:szCs w:val="22"/>
          <w:lang w:eastAsia="cs-CZ"/>
        </w:rPr>
        <w:t>č. 300/2005 Z. z. Trestný zákon v znení neskorších predpisov</w:t>
      </w:r>
    </w:p>
    <w:p w:rsidR="001F00B2" w:rsidP="001F00B2">
      <w:pPr>
        <w:bidi w:val="0"/>
        <w:spacing w:before="120" w:line="276" w:lineRule="auto"/>
        <w:jc w:val="both"/>
        <w:rPr>
          <w:rFonts w:ascii="Book Antiqua" w:hAnsi="Book Antiqua"/>
          <w:sz w:val="22"/>
          <w:szCs w:val="22"/>
        </w:rPr>
      </w:pPr>
    </w:p>
    <w:p w:rsidR="001F00B2" w:rsidP="001F00B2">
      <w:pPr>
        <w:pStyle w:val="NormalWeb"/>
        <w:bidi w:val="0"/>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3. Predmet návrhu zákona:</w:t>
      </w:r>
    </w:p>
    <w:p w:rsidR="001F00B2" w:rsidRPr="00BD182C" w:rsidP="001F00B2">
      <w:pPr>
        <w:pStyle w:val="NormalWeb"/>
        <w:numPr>
          <w:numId w:val="1"/>
        </w:numPr>
        <w:bidi w:val="0"/>
        <w:spacing w:before="120" w:beforeAutospacing="0" w:after="0" w:afterAutospacing="0" w:line="276" w:lineRule="auto"/>
        <w:jc w:val="both"/>
        <w:rPr>
          <w:rFonts w:ascii="Book Antiqua" w:hAnsi="Book Antiqua"/>
          <w:bCs/>
          <w:sz w:val="22"/>
          <w:szCs w:val="22"/>
        </w:rPr>
      </w:pPr>
      <w:r w:rsidRPr="00BD182C">
        <w:rPr>
          <w:rFonts w:ascii="Book Antiqua" w:hAnsi="Book Antiqua"/>
          <w:bCs/>
          <w:sz w:val="22"/>
          <w:szCs w:val="22"/>
        </w:rPr>
        <w:t>nie je upravený v primárnom práve Európskej únie,</w:t>
      </w:r>
    </w:p>
    <w:p w:rsidR="001F00B2" w:rsidRPr="00BD182C" w:rsidP="001F00B2">
      <w:pPr>
        <w:pStyle w:val="NormalWeb"/>
        <w:numPr>
          <w:numId w:val="1"/>
        </w:numPr>
        <w:bidi w:val="0"/>
        <w:spacing w:before="120" w:beforeAutospacing="0" w:after="0" w:afterAutospacing="0" w:line="276" w:lineRule="auto"/>
        <w:jc w:val="both"/>
        <w:rPr>
          <w:rFonts w:ascii="Book Antiqua" w:hAnsi="Book Antiqua"/>
          <w:bCs/>
          <w:sz w:val="22"/>
          <w:szCs w:val="22"/>
        </w:rPr>
      </w:pPr>
      <w:r w:rsidRPr="00BD182C">
        <w:rPr>
          <w:rFonts w:ascii="Book Antiqua" w:hAnsi="Book Antiqua"/>
          <w:bCs/>
          <w:sz w:val="22"/>
          <w:szCs w:val="22"/>
        </w:rPr>
        <w:t>nie je upravený v sekundárnom práve Európskej únie,</w:t>
      </w:r>
    </w:p>
    <w:p w:rsidR="001F00B2" w:rsidRPr="00BD182C" w:rsidP="001F00B2">
      <w:pPr>
        <w:pStyle w:val="NormalWeb"/>
        <w:numPr>
          <w:numId w:val="1"/>
        </w:numPr>
        <w:bidi w:val="0"/>
        <w:spacing w:before="120" w:beforeAutospacing="0" w:after="0" w:afterAutospacing="0" w:line="276" w:lineRule="auto"/>
        <w:jc w:val="both"/>
        <w:rPr>
          <w:rFonts w:ascii="Book Antiqua" w:hAnsi="Book Antiqua"/>
          <w:bCs/>
          <w:sz w:val="22"/>
          <w:szCs w:val="22"/>
        </w:rPr>
      </w:pPr>
      <w:r w:rsidRPr="00BD182C">
        <w:rPr>
          <w:rFonts w:ascii="Book Antiqua" w:hAnsi="Book Antiqua"/>
          <w:bCs/>
          <w:sz w:val="22"/>
          <w:szCs w:val="22"/>
        </w:rPr>
        <w:t>nie je obsiahnutý v judikatúre Súdneho dvora Európskej únie.</w:t>
      </w:r>
      <w:r w:rsidRPr="00BD182C">
        <w:rPr>
          <w:rFonts w:ascii="Book Antiqua" w:hAnsi="Book Antiqua"/>
          <w:sz w:val="22"/>
          <w:szCs w:val="22"/>
        </w:rPr>
        <w:t> </w:t>
      </w:r>
    </w:p>
    <w:p w:rsidR="001F00B2" w:rsidRPr="00BD182C" w:rsidP="001F00B2">
      <w:pPr>
        <w:pStyle w:val="NormalWeb"/>
        <w:bidi w:val="0"/>
        <w:spacing w:before="120" w:beforeAutospacing="0" w:after="0" w:afterAutospacing="0" w:line="276" w:lineRule="auto"/>
        <w:jc w:val="both"/>
        <w:rPr>
          <w:rFonts w:ascii="Book Antiqua" w:hAnsi="Book Antiqua"/>
          <w:b/>
          <w:bCs/>
          <w:sz w:val="22"/>
          <w:szCs w:val="22"/>
        </w:rPr>
      </w:pPr>
    </w:p>
    <w:p w:rsidR="001F00B2" w:rsidRPr="00BD182C" w:rsidP="001F00B2">
      <w:pPr>
        <w:pStyle w:val="NormalWeb"/>
        <w:bidi w:val="0"/>
        <w:spacing w:before="120" w:beforeAutospacing="0" w:after="0" w:afterAutospacing="0" w:line="276" w:lineRule="auto"/>
        <w:jc w:val="both"/>
        <w:rPr>
          <w:rFonts w:ascii="Book Antiqua" w:hAnsi="Book Antiqua"/>
          <w:sz w:val="22"/>
          <w:szCs w:val="22"/>
        </w:rPr>
      </w:pPr>
      <w:r w:rsidRPr="00BD182C">
        <w:rPr>
          <w:rFonts w:ascii="Book Antiqua" w:hAnsi="Book Antiqua"/>
          <w:b/>
          <w:bCs/>
          <w:sz w:val="22"/>
          <w:szCs w:val="22"/>
        </w:rPr>
        <w:t>Vzhľadom na to, že predmet návrhu zákona nie je upravený v práve Európskej únie, je bezpredmetné vyjadrovať sa k bodom 4. a 5.</w:t>
      </w:r>
    </w:p>
    <w:p w:rsidR="00EF69AF" w:rsidRPr="001B41BD" w:rsidP="001F00B2">
      <w:pPr>
        <w:bidi w:val="0"/>
        <w:spacing w:before="120" w:line="276" w:lineRule="auto"/>
        <w:jc w:val="both"/>
        <w:rPr>
          <w:rFonts w:ascii="Book Antiqua" w:hAnsi="Book Antiqua"/>
          <w:b/>
          <w:bCs/>
          <w:sz w:val="22"/>
          <w:szCs w:val="22"/>
        </w:rPr>
      </w:pPr>
      <w:r w:rsidRPr="001B41BD">
        <w:rPr>
          <w:rFonts w:ascii="Book Antiqua" w:hAnsi="Book Antiqua"/>
          <w:b/>
          <w:bCs/>
          <w:sz w:val="22"/>
          <w:szCs w:val="22"/>
        </w:rPr>
        <w:tab/>
      </w:r>
    </w:p>
    <w:p w:rsidR="00EF69AF" w:rsidRPr="001B41BD" w:rsidP="00EF69AF">
      <w:pPr>
        <w:bidi w:val="0"/>
        <w:spacing w:before="120" w:line="276" w:lineRule="auto"/>
        <w:ind w:left="360"/>
        <w:jc w:val="both"/>
        <w:rPr>
          <w:rFonts w:ascii="Book Antiqua" w:hAnsi="Book Antiqua"/>
          <w:b/>
          <w:bCs/>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1F00B2" w:rsidP="00844C27">
      <w:pPr>
        <w:bidi w:val="0"/>
        <w:spacing w:before="120" w:line="276" w:lineRule="auto"/>
        <w:rPr>
          <w:rFonts w:ascii="Book Antiqua" w:hAnsi="Book Antiqua"/>
          <w:b/>
          <w:bCs/>
          <w:caps/>
          <w:color w:val="000000"/>
          <w:spacing w:val="30"/>
          <w:sz w:val="22"/>
          <w:szCs w:val="22"/>
        </w:rPr>
      </w:pPr>
    </w:p>
    <w:p w:rsidR="003175BE" w:rsidRPr="001B41BD" w:rsidP="003175BE">
      <w:pPr>
        <w:bidi w:val="0"/>
        <w:spacing w:before="120" w:line="276" w:lineRule="auto"/>
        <w:jc w:val="center"/>
        <w:rPr>
          <w:rFonts w:ascii="Book Antiqua" w:hAnsi="Book Antiqua"/>
          <w:b/>
          <w:bCs/>
          <w:caps/>
          <w:color w:val="000000"/>
          <w:spacing w:val="30"/>
          <w:sz w:val="22"/>
          <w:szCs w:val="22"/>
        </w:rPr>
      </w:pPr>
      <w:r w:rsidRPr="001B41BD">
        <w:rPr>
          <w:rFonts w:ascii="Book Antiqua" w:hAnsi="Book Antiqua"/>
          <w:b/>
          <w:bCs/>
          <w:caps/>
          <w:color w:val="000000"/>
          <w:spacing w:val="30"/>
          <w:sz w:val="22"/>
          <w:szCs w:val="22"/>
        </w:rPr>
        <w:t>Doložka</w:t>
      </w:r>
    </w:p>
    <w:p w:rsidR="003175BE" w:rsidRPr="001B41BD" w:rsidP="007C75EB">
      <w:pPr>
        <w:bidi w:val="0"/>
        <w:spacing w:before="120" w:line="276" w:lineRule="auto"/>
        <w:jc w:val="center"/>
        <w:rPr>
          <w:rFonts w:ascii="Book Antiqua" w:hAnsi="Book Antiqua"/>
          <w:b/>
          <w:bCs/>
          <w:color w:val="000000"/>
          <w:sz w:val="22"/>
          <w:szCs w:val="22"/>
        </w:rPr>
      </w:pPr>
      <w:r w:rsidRPr="001B41BD">
        <w:rPr>
          <w:rFonts w:ascii="Book Antiqua" w:hAnsi="Book Antiqua"/>
          <w:b/>
          <w:bCs/>
          <w:color w:val="000000"/>
          <w:sz w:val="22"/>
          <w:szCs w:val="22"/>
        </w:rPr>
        <w:t>vybraných vplyvov</w:t>
      </w:r>
    </w:p>
    <w:p w:rsidR="003175BE" w:rsidRPr="001B41BD" w:rsidP="003175BE">
      <w:pPr>
        <w:bidi w:val="0"/>
        <w:spacing w:before="120" w:line="276" w:lineRule="auto"/>
        <w:jc w:val="both"/>
        <w:rPr>
          <w:rFonts w:ascii="Book Antiqua" w:hAnsi="Book Antiqua"/>
          <w:color w:val="000000"/>
          <w:sz w:val="22"/>
          <w:szCs w:val="22"/>
        </w:rPr>
      </w:pPr>
    </w:p>
    <w:p w:rsidR="003175BE" w:rsidP="003175BE">
      <w:pPr>
        <w:bidi w:val="0"/>
        <w:spacing w:before="120" w:line="276" w:lineRule="auto"/>
        <w:jc w:val="both"/>
        <w:rPr>
          <w:rFonts w:ascii="Book Antiqua" w:hAnsi="Book Antiqua"/>
          <w:bCs/>
          <w:iCs/>
          <w:sz w:val="22"/>
          <w:szCs w:val="22"/>
          <w:lang w:eastAsia="cs-CZ"/>
        </w:rPr>
      </w:pPr>
      <w:r w:rsidRPr="001B41BD">
        <w:rPr>
          <w:rFonts w:ascii="Book Antiqua" w:hAnsi="Book Antiqua"/>
          <w:b/>
          <w:bCs/>
          <w:color w:val="000000"/>
          <w:sz w:val="22"/>
          <w:szCs w:val="22"/>
        </w:rPr>
        <w:t xml:space="preserve">A.1. Názov materiálu: </w:t>
      </w:r>
      <w:r w:rsidR="00EF69AF">
        <w:rPr>
          <w:rFonts w:ascii="Book Antiqua" w:hAnsi="Book Antiqua"/>
          <w:sz w:val="22"/>
          <w:szCs w:val="22"/>
        </w:rPr>
        <w:t>n</w:t>
      </w:r>
      <w:r w:rsidRPr="001B41BD">
        <w:rPr>
          <w:rFonts w:ascii="Book Antiqua" w:hAnsi="Book Antiqua"/>
          <w:sz w:val="22"/>
          <w:szCs w:val="22"/>
        </w:rPr>
        <w:t xml:space="preserve">ávrh zákona, ktorým sa dopĺňa </w:t>
      </w:r>
      <w:r w:rsidRPr="001B41BD">
        <w:rPr>
          <w:rFonts w:ascii="Book Antiqua" w:hAnsi="Book Antiqua"/>
          <w:bCs/>
          <w:iCs/>
          <w:sz w:val="22"/>
          <w:szCs w:val="22"/>
          <w:lang w:eastAsia="cs-CZ"/>
        </w:rPr>
        <w:t>zákon č. 300/2005 Z. z. Trestný zákon v znení neskorších predpisov</w:t>
      </w:r>
    </w:p>
    <w:p w:rsidR="00EF69AF" w:rsidP="003175BE">
      <w:pPr>
        <w:bidi w:val="0"/>
        <w:spacing w:before="120" w:line="276" w:lineRule="auto"/>
        <w:jc w:val="both"/>
        <w:rPr>
          <w:rFonts w:ascii="Book Antiqua" w:hAnsi="Book Antiqua"/>
          <w:i/>
          <w:iCs/>
          <w:color w:val="000000"/>
          <w:sz w:val="22"/>
          <w:szCs w:val="22"/>
        </w:rPr>
      </w:pPr>
      <w:r w:rsidRPr="00327E6E" w:rsidR="00E00CAD">
        <w:rPr>
          <w:rFonts w:ascii="Book Antiqua" w:hAnsi="Book Antiqua"/>
          <w:b/>
          <w:bCs/>
          <w:color w:val="000000"/>
          <w:sz w:val="22"/>
          <w:szCs w:val="22"/>
        </w:rPr>
        <w:t>Termín začatia a ukončenia PPK:</w:t>
      </w:r>
      <w:r w:rsidRPr="00327E6E" w:rsidR="00E00CAD">
        <w:rPr>
          <w:rFonts w:ascii="Book Antiqua" w:hAnsi="Book Antiqua"/>
          <w:color w:val="000000"/>
          <w:sz w:val="22"/>
          <w:szCs w:val="22"/>
        </w:rPr>
        <w:t xml:space="preserve"> </w:t>
      </w:r>
      <w:r w:rsidRPr="00327E6E" w:rsidR="00E00CAD">
        <w:rPr>
          <w:rFonts w:ascii="Book Antiqua" w:hAnsi="Book Antiqua"/>
          <w:i/>
          <w:iCs/>
          <w:color w:val="000000"/>
          <w:sz w:val="22"/>
          <w:szCs w:val="22"/>
        </w:rPr>
        <w:t>bezpredmetné</w:t>
      </w:r>
    </w:p>
    <w:p w:rsidR="00E00CAD" w:rsidRPr="001B41BD" w:rsidP="003175BE">
      <w:pPr>
        <w:bidi w:val="0"/>
        <w:spacing w:before="120" w:line="276" w:lineRule="auto"/>
        <w:jc w:val="both"/>
        <w:rPr>
          <w:rFonts w:ascii="Book Antiqua" w:hAnsi="Book Antiqua"/>
          <w:b/>
          <w:bCs/>
          <w:color w:val="000000"/>
          <w:sz w:val="22"/>
          <w:szCs w:val="22"/>
        </w:rPr>
      </w:pPr>
    </w:p>
    <w:p w:rsidR="003175BE" w:rsidRPr="001B41BD" w:rsidP="003175BE">
      <w:pPr>
        <w:bidi w:val="0"/>
        <w:spacing w:before="120" w:line="276" w:lineRule="auto"/>
        <w:jc w:val="both"/>
        <w:rPr>
          <w:rFonts w:ascii="Book Antiqua" w:hAnsi="Book Antiqua"/>
          <w:b/>
          <w:bCs/>
          <w:color w:val="000000"/>
          <w:sz w:val="22"/>
          <w:szCs w:val="22"/>
        </w:rPr>
      </w:pPr>
      <w:r w:rsidRPr="001B41BD">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1"/>
        <w:gridCol w:w="1197"/>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EF69AF">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bl>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w:t>
      </w:r>
    </w:p>
    <w:p w:rsidR="003175BE" w:rsidRPr="00EF69AF" w:rsidP="003175BE">
      <w:pPr>
        <w:bidi w:val="0"/>
        <w:spacing w:before="120" w:line="276" w:lineRule="auto"/>
        <w:jc w:val="both"/>
        <w:rPr>
          <w:rFonts w:ascii="Book Antiqua" w:hAnsi="Book Antiqua"/>
          <w:b/>
          <w:bCs/>
          <w:color w:val="000000"/>
          <w:sz w:val="22"/>
          <w:szCs w:val="22"/>
        </w:rPr>
      </w:pPr>
      <w:r w:rsidR="00EF69AF">
        <w:rPr>
          <w:rFonts w:ascii="Book Antiqua" w:hAnsi="Book Antiqua"/>
          <w:b/>
          <w:bCs/>
          <w:color w:val="000000"/>
          <w:sz w:val="22"/>
          <w:szCs w:val="22"/>
        </w:rPr>
        <w:t>A.3. Poznámky</w:t>
      </w:r>
    </w:p>
    <w:p w:rsidR="003175BE" w:rsidRPr="001B41BD" w:rsidP="003175BE">
      <w:pPr>
        <w:bidi w:val="0"/>
        <w:spacing w:before="120" w:line="276" w:lineRule="auto"/>
        <w:jc w:val="both"/>
        <w:rPr>
          <w:rFonts w:ascii="Book Antiqua" w:hAnsi="Book Antiqua"/>
          <w:i/>
          <w:sz w:val="22"/>
          <w:szCs w:val="22"/>
        </w:rPr>
      </w:pPr>
      <w:r w:rsidRPr="001B41BD">
        <w:rPr>
          <w:rFonts w:ascii="Book Antiqua" w:hAnsi="Book Antiqua"/>
          <w:i/>
          <w:iCs/>
          <w:color w:val="000000"/>
          <w:sz w:val="22"/>
          <w:szCs w:val="22"/>
        </w:rPr>
        <w:t>Keďže novelou zákona</w:t>
      </w:r>
      <w:r w:rsidRPr="001B41BD">
        <w:rPr>
          <w:rFonts w:ascii="Book Antiqua" w:hAnsi="Book Antiqua"/>
          <w:sz w:val="22"/>
          <w:szCs w:val="22"/>
        </w:rPr>
        <w:t xml:space="preserve">, </w:t>
      </w:r>
      <w:r w:rsidRPr="001B41BD">
        <w:rPr>
          <w:rFonts w:ascii="Book Antiqua" w:hAnsi="Book Antiqua"/>
          <w:i/>
          <w:sz w:val="22"/>
          <w:szCs w:val="22"/>
        </w:rPr>
        <w:t xml:space="preserve">ktorou sa dopĺňa </w:t>
      </w:r>
      <w:r w:rsidRPr="001B41BD">
        <w:rPr>
          <w:rFonts w:ascii="Book Antiqua" w:hAnsi="Book Antiqua"/>
          <w:bCs/>
          <w:i/>
          <w:iCs/>
          <w:sz w:val="22"/>
          <w:szCs w:val="22"/>
          <w:lang w:eastAsia="cs-CZ"/>
        </w:rPr>
        <w:t>zákon č. 300/2005 Z. z. Trestný zákon v znení neskorších predpisov</w:t>
      </w:r>
      <w:r w:rsidRPr="001B41BD">
        <w:rPr>
          <w:rFonts w:ascii="Book Antiqua" w:hAnsi="Book Antiqua"/>
          <w:i/>
          <w:sz w:val="22"/>
          <w:szCs w:val="22"/>
        </w:rPr>
        <w:t xml:space="preserve"> dôjde k posilneniu právnej istoty medzi </w:t>
      </w:r>
      <w:r w:rsidRPr="001B41BD" w:rsidR="007C75EB">
        <w:rPr>
          <w:rFonts w:ascii="Book Antiqua" w:hAnsi="Book Antiqua"/>
          <w:i/>
          <w:sz w:val="22"/>
          <w:szCs w:val="22"/>
        </w:rPr>
        <w:t>fyzickými osobami, ktoré podnikajú na základe živnostenského oprávnenia</w:t>
      </w:r>
      <w:r w:rsidRPr="001B41BD" w:rsidR="007C75EB">
        <w:rPr>
          <w:rFonts w:ascii="Book Antiqua" w:hAnsi="Book Antiqua"/>
          <w:sz w:val="22"/>
          <w:szCs w:val="22"/>
        </w:rPr>
        <w:t xml:space="preserve">, </w:t>
      </w:r>
      <w:r w:rsidRPr="001B41BD">
        <w:rPr>
          <w:rFonts w:ascii="Book Antiqua" w:hAnsi="Book Antiqua"/>
          <w:i/>
          <w:sz w:val="22"/>
          <w:szCs w:val="22"/>
        </w:rPr>
        <w:t xml:space="preserve">predpokladá sa </w:t>
      </w:r>
      <w:r w:rsidR="00EF69AF">
        <w:rPr>
          <w:rFonts w:ascii="Book Antiqua" w:hAnsi="Book Antiqua"/>
          <w:i/>
          <w:sz w:val="22"/>
          <w:szCs w:val="22"/>
        </w:rPr>
        <w:t xml:space="preserve">celkové zlepšenie </w:t>
      </w:r>
      <w:r w:rsidRPr="001B41BD">
        <w:rPr>
          <w:rFonts w:ascii="Book Antiqua" w:hAnsi="Book Antiqua"/>
          <w:i/>
          <w:sz w:val="22"/>
          <w:szCs w:val="22"/>
        </w:rPr>
        <w:t>podnikateľského prostredia. Rovnako sa od návrhu očakáva očistenie podnikateľského prostredia od nepoctivých podnikateľov a súčasnej aj na</w:t>
      </w:r>
      <w:r w:rsidR="00EF69AF">
        <w:rPr>
          <w:rFonts w:ascii="Book Antiqua" w:hAnsi="Book Antiqua"/>
          <w:i/>
          <w:sz w:val="22"/>
          <w:szCs w:val="22"/>
        </w:rPr>
        <w:t>štartovanie hospodárskeho rastu, čo by malo mať pozitívny vplyv na hospodárenie obyvateľstva.</w:t>
      </w:r>
    </w:p>
    <w:p w:rsidR="003175BE" w:rsidRPr="001B41BD" w:rsidP="003175BE">
      <w:pPr>
        <w:bidi w:val="0"/>
        <w:spacing w:before="120" w:line="276" w:lineRule="auto"/>
        <w:jc w:val="both"/>
        <w:rPr>
          <w:rFonts w:ascii="Book Antiqua" w:hAnsi="Book Antiqua"/>
          <w:b/>
          <w:bCs/>
          <w:color w:val="000000"/>
          <w:sz w:val="22"/>
          <w:szCs w:val="22"/>
        </w:rPr>
      </w:pPr>
    </w:p>
    <w:p w:rsidR="003175BE" w:rsidRPr="00EF69AF" w:rsidP="003175BE">
      <w:pPr>
        <w:bidi w:val="0"/>
        <w:spacing w:before="120" w:line="276" w:lineRule="auto"/>
        <w:jc w:val="both"/>
        <w:rPr>
          <w:rFonts w:ascii="Book Antiqua" w:hAnsi="Book Antiqua"/>
          <w:b/>
          <w:bCs/>
          <w:color w:val="000000"/>
          <w:sz w:val="22"/>
          <w:szCs w:val="22"/>
        </w:rPr>
      </w:pPr>
      <w:r w:rsidR="00EF69AF">
        <w:rPr>
          <w:rFonts w:ascii="Book Antiqua" w:hAnsi="Book Antiqua"/>
          <w:b/>
          <w:bCs/>
          <w:color w:val="000000"/>
          <w:sz w:val="22"/>
          <w:szCs w:val="22"/>
        </w:rPr>
        <w:t>A.4. Alternatívne riešenia</w:t>
      </w:r>
    </w:p>
    <w:p w:rsidR="003175BE" w:rsidRPr="001B41BD" w:rsidP="003175BE">
      <w:pPr>
        <w:bidi w:val="0"/>
        <w:spacing w:before="120" w:line="276" w:lineRule="auto"/>
        <w:jc w:val="both"/>
        <w:rPr>
          <w:rFonts w:ascii="Book Antiqua" w:hAnsi="Book Antiqua"/>
          <w:b/>
          <w:bCs/>
          <w:i/>
          <w:color w:val="000000"/>
          <w:sz w:val="22"/>
          <w:szCs w:val="22"/>
        </w:rPr>
      </w:pPr>
      <w:r w:rsidR="00EF69AF">
        <w:rPr>
          <w:rFonts w:ascii="Book Antiqua" w:hAnsi="Book Antiqua"/>
          <w:i/>
          <w:color w:val="000000"/>
          <w:sz w:val="22"/>
          <w:szCs w:val="22"/>
        </w:rPr>
        <w:t>b</w:t>
      </w:r>
      <w:r w:rsidRPr="001B41BD">
        <w:rPr>
          <w:rFonts w:ascii="Book Antiqua" w:hAnsi="Book Antiqua"/>
          <w:i/>
          <w:color w:val="000000"/>
          <w:sz w:val="22"/>
          <w:szCs w:val="22"/>
        </w:rPr>
        <w:t>ezpredmetné </w:t>
      </w:r>
    </w:p>
    <w:p w:rsidR="003175BE" w:rsidRPr="001B41BD" w:rsidP="003175BE">
      <w:pPr>
        <w:bidi w:val="0"/>
        <w:spacing w:before="120" w:line="276" w:lineRule="auto"/>
        <w:jc w:val="both"/>
        <w:rPr>
          <w:rFonts w:ascii="Book Antiqua" w:hAnsi="Book Antiqua"/>
          <w:b/>
          <w:bCs/>
          <w:color w:val="000000"/>
          <w:sz w:val="22"/>
          <w:szCs w:val="22"/>
        </w:rPr>
      </w:pPr>
    </w:p>
    <w:p w:rsidR="003175BE" w:rsidRPr="001B41BD" w:rsidP="003175BE">
      <w:pPr>
        <w:pStyle w:val="NormalWeb"/>
        <w:bidi w:val="0"/>
        <w:spacing w:before="120" w:beforeAutospacing="0" w:after="0" w:afterAutospacing="0" w:line="276" w:lineRule="auto"/>
        <w:ind w:left="567" w:hanging="567"/>
        <w:jc w:val="both"/>
        <w:rPr>
          <w:rFonts w:ascii="Book Antiqua" w:hAnsi="Book Antiqua"/>
          <w:sz w:val="22"/>
          <w:szCs w:val="22"/>
        </w:rPr>
      </w:pPr>
      <w:r w:rsidRPr="001B41BD">
        <w:rPr>
          <w:rFonts w:ascii="Book Antiqua" w:hAnsi="Book Antiqua"/>
          <w:b/>
          <w:bCs/>
          <w:sz w:val="22"/>
          <w:szCs w:val="22"/>
        </w:rPr>
        <w:t xml:space="preserve">A.5. </w:t>
        <w:tab/>
        <w:t>Stanovisko gestorov</w:t>
      </w:r>
    </w:p>
    <w:p w:rsidR="003175BE" w:rsidRPr="00E00CAD" w:rsidP="00E00CAD">
      <w:pPr>
        <w:pStyle w:val="NormalWeb"/>
        <w:bidi w:val="0"/>
        <w:spacing w:before="120" w:beforeAutospacing="0" w:after="0" w:afterAutospacing="0" w:line="276" w:lineRule="auto"/>
        <w:jc w:val="both"/>
        <w:rPr>
          <w:rFonts w:ascii="Book Antiqua" w:hAnsi="Book Antiqua"/>
          <w:sz w:val="22"/>
          <w:szCs w:val="22"/>
        </w:rPr>
      </w:pPr>
      <w:r w:rsidRPr="001B41BD">
        <w:rPr>
          <w:rFonts w:ascii="Book Antiqua" w:hAnsi="Book Antiqua"/>
          <w:i/>
          <w:iCs/>
          <w:color w:val="000000"/>
          <w:sz w:val="22"/>
          <w:szCs w:val="22"/>
        </w:rPr>
        <w:t>Návrh zákona bol zaslaný na vyjadrenie Ministerstvu financií SR a stanovisko tohto ministerstva tvorí súčasť predkladaného materiálu.</w:t>
      </w:r>
    </w:p>
    <w:p w:rsidR="00932C01" w:rsidRPr="001B41BD">
      <w:pPr>
        <w:bidi w:val="0"/>
        <w:rPr>
          <w:rFonts w:ascii="Book Antiqua" w:hAnsi="Book Antiqua"/>
          <w:sz w:val="22"/>
          <w:szCs w:val="22"/>
        </w:rPr>
      </w:pPr>
    </w:p>
    <w:sectPr w:rsidSect="003175B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 Antiqua">
    <w:panose1 w:val="02040602050305030304"/>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FE1"/>
    <w:multiLevelType w:val="hybridMultilevel"/>
    <w:tmpl w:val="75304BB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B1D2BB3"/>
    <w:multiLevelType w:val="hybridMultilevel"/>
    <w:tmpl w:val="715EBC10"/>
    <w:lvl w:ilvl="0">
      <w:start w:val="1"/>
      <w:numFmt w:val="decimal"/>
      <w:lvlText w:val="%1."/>
      <w:lvlJc w:val="left"/>
      <w:pPr>
        <w:ind w:left="1068" w:hanging="360"/>
      </w:pPr>
      <w:rPr>
        <w:rFonts w:ascii="Book Antiqua" w:eastAsia="Times New Roman" w:hAnsi="Book Antiqua"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3175BE"/>
    <w:rsid w:val="00064CF3"/>
    <w:rsid w:val="001B41BD"/>
    <w:rsid w:val="001F00B2"/>
    <w:rsid w:val="00286619"/>
    <w:rsid w:val="002F3D43"/>
    <w:rsid w:val="003175BE"/>
    <w:rsid w:val="00327E6E"/>
    <w:rsid w:val="005F1DD3"/>
    <w:rsid w:val="007C75EB"/>
    <w:rsid w:val="00844C27"/>
    <w:rsid w:val="00932C01"/>
    <w:rsid w:val="00A37520"/>
    <w:rsid w:val="00AC0FA2"/>
    <w:rsid w:val="00B43E18"/>
    <w:rsid w:val="00BD182C"/>
    <w:rsid w:val="00C13D09"/>
    <w:rsid w:val="00E00CAD"/>
    <w:rsid w:val="00EF69A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B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175BE"/>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3175BE"/>
    <w:rPr>
      <w:rFonts w:ascii="Cambria" w:hAnsi="Cambria" w:cs="Cambria"/>
      <w:b/>
      <w:kern w:val="32"/>
      <w:sz w:val="32"/>
      <w:lang w:val="x-none" w:eastAsia="sk-SK"/>
    </w:rPr>
  </w:style>
  <w:style w:type="paragraph" w:styleId="NormalWeb">
    <w:name w:val="Normal (Web)"/>
    <w:basedOn w:val="Normal"/>
    <w:uiPriority w:val="99"/>
    <w:rsid w:val="003175BE"/>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Pages>
  <Words>1938</Words>
  <Characters>11047</Characters>
  <Application>Microsoft Office Word</Application>
  <DocSecurity>0</DocSecurity>
  <Lines>0</Lines>
  <Paragraphs>0</Paragraphs>
  <ScaleCrop>false</ScaleCrop>
  <Company>Hewlett-Packard Company</Company>
  <LinksUpToDate>false</LinksUpToDate>
  <CharactersWithSpaces>12960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dcterms:created xsi:type="dcterms:W3CDTF">2014-04-25T15:03:00Z</dcterms:created>
  <dcterms:modified xsi:type="dcterms:W3CDTF">2014-04-25T15:03:00Z</dcterms:modified>
</cp:coreProperties>
</file>