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2BD6" w:rsidRPr="00973525" w:rsidP="00D72BD6">
      <w:pPr>
        <w:bidi w:val="0"/>
        <w:jc w:val="center"/>
        <w:rPr>
          <w:rFonts w:ascii="Times New Roman" w:hAnsi="Times New Roman"/>
          <w:b/>
          <w:bCs/>
        </w:rPr>
      </w:pPr>
      <w:r w:rsidRPr="00973525">
        <w:rPr>
          <w:rFonts w:ascii="Times New Roman" w:hAnsi="Times New Roman"/>
          <w:b/>
          <w:bCs/>
        </w:rPr>
        <w:t>Dôvodová správa</w:t>
      </w:r>
    </w:p>
    <w:p w:rsidR="00D72BD6" w:rsidRPr="00973525" w:rsidP="00D72BD6">
      <w:pPr>
        <w:bidi w:val="0"/>
        <w:jc w:val="both"/>
        <w:rPr>
          <w:rFonts w:ascii="Times New Roman" w:hAnsi="Times New Roman"/>
          <w:b/>
          <w:bCs/>
        </w:rPr>
      </w:pPr>
    </w:p>
    <w:p w:rsidR="00D72BD6" w:rsidRPr="00973525" w:rsidP="00D72BD6">
      <w:pPr>
        <w:bidi w:val="0"/>
        <w:jc w:val="center"/>
        <w:rPr>
          <w:rFonts w:ascii="Times New Roman" w:hAnsi="Times New Roman"/>
          <w:b/>
          <w:bCs/>
        </w:rPr>
      </w:pPr>
      <w:r w:rsidRPr="00973525">
        <w:rPr>
          <w:rFonts w:ascii="Times New Roman" w:hAnsi="Times New Roman"/>
          <w:b/>
          <w:bCs/>
        </w:rPr>
        <w:t>I. Všeobecná časť</w:t>
      </w:r>
    </w:p>
    <w:p w:rsidR="00D72BD6" w:rsidRPr="00973525" w:rsidP="00D72BD6">
      <w:pPr>
        <w:bidi w:val="0"/>
        <w:jc w:val="both"/>
        <w:rPr>
          <w:rFonts w:ascii="Times New Roman" w:hAnsi="Times New Roman"/>
          <w:b/>
          <w:bCs/>
        </w:rPr>
      </w:pPr>
    </w:p>
    <w:p w:rsidR="00242C43" w:rsidRPr="00DA37ED" w:rsidP="00242C43">
      <w:pPr>
        <w:bidi w:val="0"/>
        <w:jc w:val="both"/>
        <w:rPr>
          <w:rFonts w:ascii="Times New Roman" w:hAnsi="Times New Roman"/>
        </w:rPr>
      </w:pPr>
      <w:r w:rsidR="003F4565">
        <w:rPr>
          <w:rFonts w:ascii="Times New Roman" w:hAnsi="Times New Roman"/>
        </w:rPr>
        <w:tab/>
      </w:r>
      <w:r w:rsidRPr="00242C43" w:rsidR="003F4565">
        <w:rPr>
          <w:rFonts w:ascii="Times New Roman" w:hAnsi="Times New Roman"/>
          <w:bCs/>
        </w:rPr>
        <w:t xml:space="preserve">Ministerstvo financií Slovenskej republiky predkladá </w:t>
      </w:r>
      <w:r w:rsidRPr="00242C43">
        <w:rPr>
          <w:rFonts w:ascii="Times New Roman" w:hAnsi="Times New Roman"/>
          <w:bCs/>
        </w:rPr>
        <w:t>z vlastnej iniciatívy</w:t>
      </w:r>
      <w:r>
        <w:rPr>
          <w:rFonts w:ascii="Times New Roman" w:hAnsi="Times New Roman"/>
          <w:b/>
          <w:bCs/>
        </w:rPr>
        <w:t xml:space="preserve"> </w:t>
      </w:r>
      <w:r w:rsidRPr="00242C43">
        <w:rPr>
          <w:rFonts w:ascii="Times New Roman" w:hAnsi="Times New Roman"/>
          <w:bCs/>
        </w:rPr>
        <w:t>n</w:t>
      </w:r>
      <w:r w:rsidRPr="00B378AC">
        <w:rPr>
          <w:rFonts w:ascii="Times New Roman" w:hAnsi="Times New Roman"/>
        </w:rPr>
        <w:t xml:space="preserve">ávrh zákona, </w:t>
      </w:r>
      <w:r>
        <w:rPr>
          <w:rFonts w:ascii="Times New Roman" w:hAnsi="Times New Roman"/>
        </w:rPr>
        <w:t xml:space="preserve">ktorým sa mení a dopĺňa zákon č. 652/2004 Z. z. o orgánoch štátnej správy v colníctve a o zmene a doplnení niektorých zákonov v znení neskorších predpisov </w:t>
      </w:r>
      <w:r w:rsidRPr="00DA37ED" w:rsidR="00DA37ED">
        <w:rPr>
          <w:rFonts w:ascii="Times New Roman" w:hAnsi="Times New Roman"/>
        </w:rPr>
        <w:t>a ktorým sa mení zákon č. 199/2004 Z. z. Colný zákon a o zmene a doplnení niektorých zákonov v znení neskorších predpisov</w:t>
      </w:r>
      <w:r w:rsidR="00DA37ED">
        <w:rPr>
          <w:rFonts w:ascii="Times New Roman" w:hAnsi="Times New Roman"/>
        </w:rPr>
        <w:t>.</w:t>
      </w:r>
    </w:p>
    <w:p w:rsidR="003F4565" w:rsidP="003F4565">
      <w:pPr>
        <w:pStyle w:val="Title"/>
        <w:bidi w:val="0"/>
        <w:jc w:val="both"/>
        <w:rPr>
          <w:rFonts w:ascii="Times New Roman" w:hAnsi="Times New Roman"/>
          <w:b w:val="0"/>
          <w:bCs w:val="0"/>
        </w:rPr>
      </w:pPr>
    </w:p>
    <w:p w:rsidR="006624D8" w:rsidP="006624D8">
      <w:pPr>
        <w:pStyle w:val="Title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Zákon č. 652/2004 Z. z. upravuje problematiku postavenia, organizácie, právomoci a pôsobnosti </w:t>
      </w:r>
      <w:r w:rsidR="00242C43">
        <w:rPr>
          <w:rFonts w:ascii="Times New Roman" w:hAnsi="Times New Roman"/>
          <w:b w:val="0"/>
          <w:bCs w:val="0"/>
        </w:rPr>
        <w:t>finančnej</w:t>
      </w:r>
      <w:r>
        <w:rPr>
          <w:rFonts w:ascii="Times New Roman" w:hAnsi="Times New Roman"/>
          <w:b w:val="0"/>
          <w:bCs w:val="0"/>
        </w:rPr>
        <w:t xml:space="preserve"> správy a Ministerstva financií Slovenskej republiky v colnej oblasti, ako aj povinnosti, oprávnenia a prostriedky colníka. Zákon nadobudol účinnosť 1. januára 2005 a bol viackrát novelizovaný.</w:t>
      </w:r>
    </w:p>
    <w:p w:rsidR="00DB4ED1" w:rsidP="003F4565">
      <w:pPr>
        <w:pStyle w:val="Title"/>
        <w:bidi w:val="0"/>
        <w:jc w:val="both"/>
        <w:rPr>
          <w:rFonts w:ascii="Times New Roman" w:hAnsi="Times New Roman"/>
          <w:b w:val="0"/>
          <w:bCs w:val="0"/>
        </w:rPr>
      </w:pPr>
    </w:p>
    <w:p w:rsidR="006F1E25" w:rsidP="006F1E25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Navrhovanou novelou zákona sa </w:t>
      </w:r>
      <w:r w:rsidR="00242C43">
        <w:rPr>
          <w:rFonts w:ascii="Times New Roman" w:hAnsi="Times New Roman"/>
        </w:rPr>
        <w:t>ustanovuje nová kompetencia finančnej správy v oblasti ochrany</w:t>
      </w:r>
      <w:r w:rsidR="00320E47">
        <w:rPr>
          <w:rFonts w:ascii="Times New Roman" w:hAnsi="Times New Roman"/>
        </w:rPr>
        <w:t xml:space="preserve"> </w:t>
      </w:r>
      <w:r w:rsidRPr="005D7F72" w:rsidR="00CD7326">
        <w:rPr>
          <w:rFonts w:ascii="Times New Roman" w:hAnsi="Times New Roman"/>
        </w:rPr>
        <w:t>určených</w:t>
      </w:r>
      <w:r w:rsidR="00242C43">
        <w:rPr>
          <w:rFonts w:ascii="Times New Roman" w:hAnsi="Times New Roman"/>
        </w:rPr>
        <w:t xml:space="preserve"> objektov orgánov štátnej správy v</w:t>
      </w:r>
      <w:r w:rsidR="00997F40">
        <w:rPr>
          <w:rFonts w:ascii="Times New Roman" w:hAnsi="Times New Roman"/>
        </w:rPr>
        <w:t> </w:t>
      </w:r>
      <w:r w:rsidR="00242C43">
        <w:rPr>
          <w:rFonts w:ascii="Times New Roman" w:hAnsi="Times New Roman"/>
        </w:rPr>
        <w:t>colníctve</w:t>
      </w:r>
      <w:r w:rsidR="00997F40">
        <w:rPr>
          <w:rFonts w:ascii="Times New Roman" w:hAnsi="Times New Roman"/>
        </w:rPr>
        <w:t xml:space="preserve">, ustanovujú sa nové </w:t>
      </w:r>
      <w:r w:rsidR="001F38ED">
        <w:rPr>
          <w:rFonts w:ascii="Times New Roman" w:hAnsi="Times New Roman"/>
        </w:rPr>
        <w:t>oprávnenia colníka pri zabezpečovaní ochrany takýchto strážených objektov</w:t>
      </w:r>
      <w:r w:rsidR="00C740F4">
        <w:rPr>
          <w:rFonts w:ascii="Times New Roman" w:hAnsi="Times New Roman"/>
        </w:rPr>
        <w:t xml:space="preserve"> a upravujú sa </w:t>
      </w:r>
      <w:r w:rsidR="00B75214">
        <w:rPr>
          <w:rFonts w:ascii="Times New Roman" w:hAnsi="Times New Roman"/>
        </w:rPr>
        <w:t xml:space="preserve">viaceré </w:t>
      </w:r>
      <w:r w:rsidR="00C740F4">
        <w:rPr>
          <w:rFonts w:ascii="Times New Roman" w:hAnsi="Times New Roman"/>
        </w:rPr>
        <w:t>s tým súvisiace oprávnenia colníka</w:t>
      </w:r>
      <w:r w:rsidR="001F38ED">
        <w:rPr>
          <w:rFonts w:ascii="Times New Roman" w:hAnsi="Times New Roman"/>
        </w:rPr>
        <w:t>.</w:t>
      </w:r>
      <w:r w:rsidR="00D67E4E">
        <w:rPr>
          <w:rFonts w:ascii="Times New Roman" w:hAnsi="Times New Roman"/>
        </w:rPr>
        <w:t xml:space="preserve"> </w:t>
      </w:r>
    </w:p>
    <w:p w:rsidR="006F1E25" w:rsidP="006F1E25">
      <w:pPr>
        <w:pStyle w:val="Title"/>
        <w:bidi w:val="0"/>
        <w:jc w:val="both"/>
        <w:rPr>
          <w:rFonts w:ascii="Times New Roman" w:hAnsi="Times New Roman"/>
          <w:b w:val="0"/>
          <w:bCs w:val="0"/>
        </w:rPr>
      </w:pPr>
    </w:p>
    <w:p w:rsidR="007750EB" w:rsidP="007750EB">
      <w:pPr>
        <w:pStyle w:val="Title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ab/>
        <w:t>Na základe uznesenia vlády Slovenskej republiky č. 227/2013 zo dňa 15. 5. 2013 (úloha B.31.) k materiálu „</w:t>
      </w:r>
      <w:r w:rsidRPr="007750EB">
        <w:rPr>
          <w:rFonts w:ascii="Times New Roman" w:hAnsi="Times New Roman"/>
          <w:b w:val="0"/>
          <w:bCs w:val="0"/>
        </w:rPr>
        <w:t>Opatrenia v hospodárskej politike na podporu hospodárskeho rastu</w:t>
      </w:r>
      <w:r>
        <w:rPr>
          <w:rFonts w:ascii="Times New Roman" w:hAnsi="Times New Roman"/>
          <w:b w:val="0"/>
          <w:bCs w:val="0"/>
        </w:rPr>
        <w:t xml:space="preserve">“ sa </w:t>
      </w:r>
      <w:r w:rsidRPr="00242C43">
        <w:rPr>
          <w:rFonts w:ascii="Times New Roman" w:hAnsi="Times New Roman"/>
          <w:b w:val="0"/>
          <w:bCs w:val="0"/>
        </w:rPr>
        <w:t xml:space="preserve">novelizuje </w:t>
      </w:r>
      <w:r>
        <w:rPr>
          <w:rFonts w:ascii="Times New Roman" w:hAnsi="Times New Roman"/>
          <w:b w:val="0"/>
          <w:bCs w:val="0"/>
        </w:rPr>
        <w:t xml:space="preserve">aj </w:t>
      </w:r>
      <w:r w:rsidRPr="00242C43">
        <w:rPr>
          <w:rFonts w:ascii="Times New Roman" w:hAnsi="Times New Roman"/>
          <w:b w:val="0"/>
          <w:bCs w:val="0"/>
        </w:rPr>
        <w:t>zákon č. 199/2004 Z. z. Colný zákon a o zmene a doplnení niektorých zákonov v znení neskorších predpisov</w:t>
      </w:r>
      <w:r>
        <w:rPr>
          <w:rFonts w:ascii="Times New Roman" w:hAnsi="Times New Roman"/>
          <w:b w:val="0"/>
          <w:bCs w:val="0"/>
        </w:rPr>
        <w:t>.</w:t>
      </w:r>
      <w:r w:rsidR="006F1E25">
        <w:rPr>
          <w:rFonts w:ascii="Times New Roman" w:hAnsi="Times New Roman"/>
          <w:b w:val="0"/>
          <w:bCs w:val="0"/>
        </w:rPr>
        <w:tab/>
      </w:r>
    </w:p>
    <w:p w:rsidR="007750EB" w:rsidP="007750EB">
      <w:pPr>
        <w:pStyle w:val="Title"/>
        <w:bidi w:val="0"/>
        <w:jc w:val="both"/>
        <w:rPr>
          <w:rFonts w:ascii="Times New Roman" w:hAnsi="Times New Roman"/>
          <w:b w:val="0"/>
          <w:bCs w:val="0"/>
        </w:rPr>
      </w:pPr>
    </w:p>
    <w:p w:rsidR="00004C3A" w:rsidP="00004C3A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Vplyvy návrhu zákona na rozpočet verejnej správy, podnikateľské prostredie, sociálne vplyvy, vplyvy na životné prostredie a informatizáciu spoločnosti sú uvedené v doložke vybraných vplyvov.</w:t>
      </w:r>
    </w:p>
    <w:p w:rsidR="00004C3A" w:rsidP="00004C3A">
      <w:pPr>
        <w:bidi w:val="0"/>
        <w:ind w:firstLine="708"/>
        <w:jc w:val="both"/>
        <w:rPr>
          <w:rFonts w:ascii="Times New Roman" w:hAnsi="Times New Roman"/>
        </w:rPr>
      </w:pPr>
    </w:p>
    <w:p w:rsidR="00004C3A" w:rsidP="00004C3A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je v súlade s Ústavou Slovenskej republiky, inými zákonmi a všeobecne záväznými právnymi predpismi, </w:t>
      </w:r>
      <w:r w:rsidR="008852DE">
        <w:rPr>
          <w:rFonts w:ascii="Times New Roman" w:hAnsi="Times New Roman"/>
        </w:rPr>
        <w:t xml:space="preserve">právnymi aktmi Európskej únie, </w:t>
      </w:r>
      <w:r>
        <w:rPr>
          <w:rFonts w:ascii="Times New Roman" w:hAnsi="Times New Roman"/>
        </w:rPr>
        <w:t>ako aj s medzinárodnými zmluvami, ktorými je Slovenská republika viazaná.</w:t>
      </w:r>
    </w:p>
    <w:p w:rsidR="00004C3A" w:rsidP="00BA743C">
      <w:pPr>
        <w:bidi w:val="0"/>
        <w:ind w:firstLine="708"/>
        <w:jc w:val="both"/>
        <w:rPr>
          <w:rFonts w:ascii="Times New Roman" w:hAnsi="Times New Roman"/>
        </w:rPr>
      </w:pPr>
    </w:p>
    <w:p w:rsidR="00D72BD6" w:rsidP="00D72BD6">
      <w:pPr>
        <w:bidi w:val="0"/>
        <w:jc w:val="both"/>
        <w:rPr>
          <w:rFonts w:ascii="Times New Roman" w:hAnsi="Times New Roman"/>
        </w:rPr>
      </w:pPr>
      <w:r w:rsidRPr="00973525">
        <w:rPr>
          <w:rFonts w:ascii="Times New Roman" w:hAnsi="Times New Roman"/>
        </w:rPr>
        <w:tab/>
        <w:t>Úč</w:t>
      </w:r>
      <w:r w:rsidR="00F73CEA">
        <w:rPr>
          <w:rFonts w:ascii="Times New Roman" w:hAnsi="Times New Roman"/>
        </w:rPr>
        <w:t xml:space="preserve">innosť zákona sa navrhuje od </w:t>
      </w:r>
      <w:r w:rsidRPr="000907AF" w:rsidR="00641518">
        <w:rPr>
          <w:rFonts w:ascii="Times New Roman" w:hAnsi="Times New Roman"/>
        </w:rPr>
        <w:t xml:space="preserve">1. </w:t>
      </w:r>
      <w:r w:rsidR="00E301E0">
        <w:rPr>
          <w:rFonts w:ascii="Times New Roman" w:hAnsi="Times New Roman"/>
        </w:rPr>
        <w:t xml:space="preserve">augusta </w:t>
      </w:r>
      <w:r w:rsidRPr="000907AF">
        <w:rPr>
          <w:rFonts w:ascii="Times New Roman" w:hAnsi="Times New Roman"/>
        </w:rPr>
        <w:t>20</w:t>
      </w:r>
      <w:r w:rsidR="000D225E">
        <w:rPr>
          <w:rFonts w:ascii="Times New Roman" w:hAnsi="Times New Roman"/>
        </w:rPr>
        <w:t>1</w:t>
      </w:r>
      <w:r w:rsidR="00E301E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</w:t>
      </w:r>
    </w:p>
    <w:p w:rsidR="006F1E25" w:rsidP="00D72BD6">
      <w:pPr>
        <w:bidi w:val="0"/>
        <w:jc w:val="both"/>
        <w:rPr>
          <w:rFonts w:ascii="Times New Roman" w:hAnsi="Times New Roman"/>
        </w:rPr>
      </w:pPr>
    </w:p>
    <w:p w:rsidR="006F1E25" w:rsidP="00D72BD6">
      <w:pPr>
        <w:bidi w:val="0"/>
        <w:jc w:val="both"/>
        <w:rPr>
          <w:rFonts w:ascii="Times New Roman" w:hAnsi="Times New Roman"/>
        </w:rPr>
      </w:pPr>
    </w:p>
    <w:p w:rsidR="006F1E25" w:rsidP="00D72BD6">
      <w:pPr>
        <w:bidi w:val="0"/>
        <w:jc w:val="both"/>
        <w:rPr>
          <w:rFonts w:ascii="Times New Roman" w:hAnsi="Times New Roman"/>
        </w:rPr>
      </w:pPr>
    </w:p>
    <w:p w:rsidR="006F1E25" w:rsidP="00D72BD6">
      <w:pPr>
        <w:bidi w:val="0"/>
        <w:jc w:val="both"/>
        <w:rPr>
          <w:rFonts w:ascii="Times New Roman" w:hAnsi="Times New Roman"/>
        </w:rPr>
      </w:pPr>
    </w:p>
    <w:p w:rsidR="006F1E25" w:rsidP="00D72BD6">
      <w:pPr>
        <w:bidi w:val="0"/>
        <w:jc w:val="both"/>
        <w:rPr>
          <w:rFonts w:ascii="Times New Roman" w:hAnsi="Times New Roman"/>
        </w:rPr>
      </w:pPr>
    </w:p>
    <w:p w:rsidR="006F1E25" w:rsidP="00D72BD6">
      <w:pPr>
        <w:bidi w:val="0"/>
        <w:jc w:val="both"/>
        <w:rPr>
          <w:rFonts w:ascii="Times New Roman" w:hAnsi="Times New Roman"/>
        </w:rPr>
      </w:pPr>
    </w:p>
    <w:p w:rsidR="006F1E25" w:rsidP="00D72BD6">
      <w:pPr>
        <w:bidi w:val="0"/>
        <w:jc w:val="both"/>
        <w:rPr>
          <w:rFonts w:ascii="Times New Roman" w:hAnsi="Times New Roman"/>
        </w:rPr>
      </w:pPr>
    </w:p>
    <w:p w:rsidR="006F1E25" w:rsidP="00D72BD6">
      <w:pPr>
        <w:bidi w:val="0"/>
        <w:jc w:val="both"/>
        <w:rPr>
          <w:rFonts w:ascii="Times New Roman" w:hAnsi="Times New Roman"/>
        </w:rPr>
      </w:pPr>
    </w:p>
    <w:p w:rsidR="006F1E25" w:rsidP="00D72BD6">
      <w:pPr>
        <w:bidi w:val="0"/>
        <w:jc w:val="both"/>
        <w:rPr>
          <w:rFonts w:ascii="Times New Roman" w:hAnsi="Times New Roman"/>
        </w:rPr>
      </w:pPr>
    </w:p>
    <w:p w:rsidR="00E301E0" w:rsidP="00D72BD6">
      <w:pPr>
        <w:bidi w:val="0"/>
        <w:jc w:val="both"/>
        <w:rPr>
          <w:rFonts w:ascii="Times New Roman" w:hAnsi="Times New Roman"/>
        </w:rPr>
      </w:pPr>
    </w:p>
    <w:p w:rsidR="00E301E0" w:rsidP="00D72BD6">
      <w:pPr>
        <w:bidi w:val="0"/>
        <w:jc w:val="both"/>
        <w:rPr>
          <w:rFonts w:ascii="Times New Roman" w:hAnsi="Times New Roman"/>
        </w:rPr>
      </w:pPr>
    </w:p>
    <w:p w:rsidR="00AF6BFE" w:rsidP="00D72BD6">
      <w:pPr>
        <w:bidi w:val="0"/>
        <w:jc w:val="both"/>
        <w:rPr>
          <w:rFonts w:ascii="Times New Roman" w:hAnsi="Times New Roman"/>
        </w:rPr>
      </w:pPr>
    </w:p>
    <w:p w:rsidR="00AF6BFE" w:rsidP="00D72BD6">
      <w:pPr>
        <w:bidi w:val="0"/>
        <w:jc w:val="both"/>
        <w:rPr>
          <w:rFonts w:ascii="Times New Roman" w:hAnsi="Times New Roman"/>
        </w:rPr>
      </w:pPr>
    </w:p>
    <w:p w:rsidR="00AF6BFE" w:rsidP="00D72BD6">
      <w:pPr>
        <w:bidi w:val="0"/>
        <w:jc w:val="both"/>
        <w:rPr>
          <w:rFonts w:ascii="Times New Roman" w:hAnsi="Times New Roman"/>
        </w:rPr>
      </w:pPr>
    </w:p>
    <w:p w:rsidR="00E301E0" w:rsidP="00D72BD6">
      <w:pPr>
        <w:bidi w:val="0"/>
        <w:jc w:val="both"/>
        <w:rPr>
          <w:rFonts w:ascii="Times New Roman" w:hAnsi="Times New Roman"/>
        </w:rPr>
      </w:pPr>
    </w:p>
    <w:p w:rsidR="00E813EB" w:rsidP="00D72BD6">
      <w:pPr>
        <w:bidi w:val="0"/>
        <w:jc w:val="both"/>
        <w:rPr>
          <w:rFonts w:ascii="Times New Roman" w:hAnsi="Times New Roman"/>
        </w:rPr>
      </w:pPr>
    </w:p>
    <w:p w:rsidR="00004C3A" w:rsidRPr="00FF6A4D" w:rsidP="00004C3A">
      <w:pPr>
        <w:bidi w:val="0"/>
        <w:ind w:right="-108"/>
        <w:jc w:val="center"/>
        <w:rPr>
          <w:rFonts w:ascii="Times New Roman" w:hAnsi="Times New Roman"/>
          <w:b/>
          <w:bCs/>
        </w:rPr>
      </w:pPr>
      <w:r w:rsidRPr="00FF6A4D">
        <w:rPr>
          <w:rFonts w:ascii="Times New Roman" w:hAnsi="Times New Roman"/>
          <w:b/>
          <w:bCs/>
        </w:rPr>
        <w:t>Doložka vybraných vplyvov</w:t>
      </w:r>
    </w:p>
    <w:p w:rsidR="00004C3A" w:rsidP="00004C3A">
      <w:pPr>
        <w:bidi w:val="0"/>
        <w:rPr>
          <w:rFonts w:ascii="Times New Roman" w:hAnsi="Times New Roman"/>
          <w:b/>
          <w:bCs/>
        </w:rPr>
      </w:pPr>
    </w:p>
    <w:p w:rsidR="00004C3A" w:rsidP="00004C3A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A.1. Názov materiálu:</w:t>
      </w:r>
    </w:p>
    <w:p w:rsidR="00004C3A" w:rsidP="00DA37ED">
      <w:pPr>
        <w:bidi w:val="0"/>
        <w:jc w:val="both"/>
        <w:rPr>
          <w:rFonts w:ascii="Times New Roman" w:hAnsi="Times New Roman"/>
          <w:bCs/>
        </w:rPr>
      </w:pPr>
      <w:r w:rsidRPr="00B378AC">
        <w:rPr>
          <w:rFonts w:ascii="Times New Roman" w:hAnsi="Times New Roman"/>
        </w:rPr>
        <w:t xml:space="preserve">Návrh zákona, </w:t>
      </w:r>
      <w:r w:rsidR="00BE3D9B">
        <w:rPr>
          <w:rFonts w:ascii="Times New Roman" w:hAnsi="Times New Roman"/>
        </w:rPr>
        <w:t xml:space="preserve">ktorým sa mení a dopĺňa zákon č. 652/2004 Z. z. o orgánoch štátnej správy v colníctve a o zmene a doplnení niektorých zákonov v znení neskorších predpisov </w:t>
      </w:r>
      <w:r w:rsidRPr="00DA37ED" w:rsidR="00DA37ED">
        <w:rPr>
          <w:rFonts w:ascii="Times New Roman" w:hAnsi="Times New Roman"/>
        </w:rPr>
        <w:t>a ktorým sa mení zákon č. 199/2004 Z. z. Colný zákon a o zmene a doplnení niektorých zákonov v znení neskorších predpisov</w:t>
      </w:r>
      <w:r w:rsidRPr="00DA37ED" w:rsidR="00DA37ED">
        <w:rPr>
          <w:rFonts w:ascii="Times New Roman" w:hAnsi="Times New Roman"/>
          <w:bCs/>
        </w:rPr>
        <w:t>.</w:t>
      </w:r>
      <w:r w:rsidRPr="00DA37ED">
        <w:rPr>
          <w:rFonts w:ascii="Times New Roman" w:hAnsi="Times New Roman"/>
          <w:bCs/>
        </w:rPr>
        <w:t xml:space="preserve">      </w:t>
      </w:r>
    </w:p>
    <w:p w:rsidR="00DA37ED" w:rsidRPr="00DA37ED" w:rsidP="00DA37ED">
      <w:pPr>
        <w:bidi w:val="0"/>
        <w:jc w:val="both"/>
        <w:rPr>
          <w:rFonts w:ascii="Times New Roman" w:hAnsi="Times New Roman"/>
          <w:bCs/>
        </w:rPr>
      </w:pPr>
    </w:p>
    <w:p w:rsidR="00004C3A" w:rsidP="00004C3A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Termín začatia a ukončenia PPK: </w:t>
      </w:r>
    </w:p>
    <w:p w:rsidR="00004C3A" w:rsidP="00004C3A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</w:t>
      </w:r>
      <w:r w:rsidRPr="00B378AC">
        <w:rPr>
          <w:rFonts w:ascii="Times New Roman" w:hAnsi="Times New Roman"/>
        </w:rPr>
        <w:t>be</w:t>
      </w:r>
      <w:r>
        <w:rPr>
          <w:rFonts w:ascii="Times New Roman" w:hAnsi="Times New Roman"/>
        </w:rPr>
        <w:t>zpredmetné</w:t>
      </w:r>
    </w:p>
    <w:p w:rsidR="00004C3A" w:rsidP="00004C3A">
      <w:pPr>
        <w:bidi w:val="0"/>
        <w:rPr>
          <w:rFonts w:ascii="Times New Roman" w:hAnsi="Times New Roman"/>
          <w:b/>
          <w:bCs/>
        </w:rPr>
      </w:pPr>
    </w:p>
    <w:p w:rsidR="00004C3A" w:rsidP="00004C3A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A.2. Vplyvy:</w:t>
      </w:r>
    </w:p>
    <w:p w:rsidR="00004C3A" w:rsidP="00004C3A">
      <w:pPr>
        <w:bidi w:val="0"/>
        <w:rPr>
          <w:rFonts w:ascii="Times New Roman" w:hAnsi="Times New Roman"/>
        </w:rPr>
      </w:pPr>
    </w:p>
    <w:tbl>
      <w:tblPr>
        <w:tblStyle w:val="TableNormal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5148"/>
        <w:gridCol w:w="1440"/>
        <w:gridCol w:w="1260"/>
        <w:gridCol w:w="1260"/>
      </w:tblGrid>
      <w:tr>
        <w:tblPrEx>
          <w:tblW w:w="9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P="0068070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04C3A" w:rsidP="006807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04C3A" w:rsidP="006807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04C3A" w:rsidP="006807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08" w:type="dxa"/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B333D4" w:rsidP="0068070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33D4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B333D4" w:rsidP="006807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B333D4" w:rsidP="006807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49564C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B333D4" w:rsidP="006807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08" w:type="dxa"/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P="0068070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33D4">
              <w:rPr>
                <w:rFonts w:ascii="Times New Roman" w:hAnsi="Times New Roman"/>
              </w:rPr>
              <w:t>2. Vplyvy na podnikateľské prostredie</w:t>
            </w:r>
          </w:p>
          <w:p w:rsidR="00004C3A" w:rsidRPr="00B333D4" w:rsidP="0068070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33D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B333D4">
              <w:rPr>
                <w:rFonts w:ascii="Times New Roman" w:hAnsi="Times New Roman"/>
              </w:rPr>
              <w:t>dochádza k zvýšeniu regulačného zaťaženia?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B333D4" w:rsidP="006807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B333D4" w:rsidP="006807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3D4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B333D4" w:rsidP="006807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08" w:type="dxa"/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B333D4" w:rsidP="0068070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33D4">
              <w:rPr>
                <w:rFonts w:ascii="Times New Roman" w:hAnsi="Times New Roman"/>
              </w:rPr>
              <w:t xml:space="preserve">3. Sociálne vplyvy </w:t>
            </w:r>
          </w:p>
          <w:p w:rsidR="00004C3A" w:rsidRPr="00B333D4" w:rsidP="0068070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33D4">
              <w:rPr>
                <w:rFonts w:ascii="Times New Roman" w:hAnsi="Times New Roman"/>
              </w:rPr>
              <w:t>- vplyvy na hospodárenie obyvateľstva,</w:t>
            </w:r>
          </w:p>
          <w:p w:rsidR="00004C3A" w:rsidRPr="00B333D4" w:rsidP="0068070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33D4">
              <w:rPr>
                <w:rFonts w:ascii="Times New Roman" w:hAnsi="Times New Roman"/>
              </w:rPr>
              <w:t>- sociálnu exklúziu,</w:t>
            </w:r>
          </w:p>
          <w:p w:rsidR="00004C3A" w:rsidRPr="00B333D4" w:rsidP="00680702">
            <w:pPr>
              <w:bidi w:val="0"/>
              <w:spacing w:after="0" w:line="240" w:lineRule="auto"/>
              <w:ind w:left="170" w:hanging="170"/>
              <w:jc w:val="both"/>
              <w:rPr>
                <w:rFonts w:ascii="Times New Roman" w:hAnsi="Times New Roman"/>
              </w:rPr>
            </w:pPr>
            <w:r w:rsidRPr="00B333D4"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B333D4" w:rsidP="006807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B333D4" w:rsidP="006807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3D4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B333D4" w:rsidP="006807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08" w:type="dxa"/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B333D4" w:rsidP="0068070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33D4">
              <w:rPr>
                <w:rFonts w:ascii="Times New Roman" w:hAnsi="Times New Roman"/>
                <w:lang w:val="pt-BR"/>
              </w:rPr>
              <w:t>4. Vplyvy na životné prostredie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B333D4" w:rsidP="006807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B333D4" w:rsidP="006807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B333D4" w:rsidP="006807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08" w:type="dxa"/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B333D4" w:rsidP="0068070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pt-BR"/>
              </w:rPr>
            </w:pPr>
            <w:r w:rsidRPr="00B333D4">
              <w:rPr>
                <w:rFonts w:ascii="Times New Roman" w:hAnsi="Times New Roman"/>
                <w:lang w:val="pt-BR"/>
              </w:rPr>
              <w:t>5. Vplyvy na informatizáciu spoločnosti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B333D4" w:rsidP="006807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B333D4" w:rsidP="006807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3D4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B333D4" w:rsidP="006807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04C3A" w:rsidP="00004C3A">
      <w:pPr>
        <w:pStyle w:val="BodyText"/>
        <w:bidi w:val="0"/>
        <w:spacing w:after="0"/>
        <w:jc w:val="both"/>
        <w:rPr>
          <w:rFonts w:ascii="Times New Roman" w:hAnsi="Times New Roman"/>
          <w:b/>
          <w:bCs/>
        </w:rPr>
      </w:pPr>
    </w:p>
    <w:p w:rsidR="00004C3A" w:rsidRPr="00A16C02" w:rsidP="00004C3A">
      <w:pPr>
        <w:pStyle w:val="BodyText"/>
        <w:bidi w:val="0"/>
        <w:spacing w:after="0"/>
        <w:jc w:val="both"/>
        <w:rPr>
          <w:rFonts w:ascii="Times New Roman" w:hAnsi="Times New Roman"/>
          <w:b/>
          <w:bCs/>
        </w:rPr>
      </w:pPr>
    </w:p>
    <w:p w:rsidR="00004C3A" w:rsidRPr="00A16C02" w:rsidP="00004C3A">
      <w:pPr>
        <w:pStyle w:val="BodyText"/>
        <w:bidi w:val="0"/>
        <w:spacing w:after="0"/>
        <w:jc w:val="both"/>
        <w:rPr>
          <w:rFonts w:ascii="Times New Roman" w:hAnsi="Times New Roman"/>
          <w:b/>
          <w:bCs/>
        </w:rPr>
      </w:pPr>
      <w:r w:rsidRPr="00A16C02">
        <w:rPr>
          <w:rFonts w:ascii="Times New Roman" w:hAnsi="Times New Roman"/>
          <w:b/>
          <w:bCs/>
        </w:rPr>
        <w:t>A.3. Poznámky</w:t>
      </w:r>
    </w:p>
    <w:p w:rsidR="00DA37ED" w:rsidP="00004C3A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254032" w:rsidP="00004C3A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004C3A" w:rsidRPr="00B70F76" w:rsidP="00004C3A">
      <w:pPr>
        <w:pStyle w:val="BodyText"/>
        <w:bidi w:val="0"/>
        <w:spacing w:after="0"/>
        <w:jc w:val="both"/>
        <w:rPr>
          <w:rFonts w:ascii="Times New Roman" w:hAnsi="Times New Roman"/>
          <w:b/>
          <w:bCs/>
        </w:rPr>
      </w:pPr>
      <w:r w:rsidRPr="00B70F76">
        <w:rPr>
          <w:rFonts w:ascii="Times New Roman" w:hAnsi="Times New Roman"/>
          <w:b/>
          <w:bCs/>
        </w:rPr>
        <w:t xml:space="preserve">A.4. Alternatívne riešenia </w:t>
      </w:r>
    </w:p>
    <w:p w:rsidR="00004C3A" w:rsidP="00004C3A">
      <w:pPr>
        <w:pStyle w:val="BodyText"/>
        <w:bidi w:val="0"/>
        <w:spacing w:after="0"/>
        <w:jc w:val="both"/>
        <w:rPr>
          <w:rFonts w:ascii="Times New Roman" w:hAnsi="Times New Roman"/>
        </w:rPr>
      </w:pPr>
      <w:r w:rsidRPr="00B70F76">
        <w:rPr>
          <w:rFonts w:ascii="Times New Roman" w:hAnsi="Times New Roman"/>
        </w:rPr>
        <w:t>Bezpredmetné</w:t>
      </w:r>
    </w:p>
    <w:p w:rsidR="00004C3A" w:rsidP="00004C3A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004C3A" w:rsidP="00004C3A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004C3A" w:rsidRPr="00004C3A" w:rsidP="00004C3A">
      <w:pPr>
        <w:pStyle w:val="BodyText"/>
        <w:bidi w:val="0"/>
        <w:spacing w:after="0"/>
        <w:jc w:val="both"/>
        <w:rPr>
          <w:rFonts w:ascii="Times New Roman" w:hAnsi="Times New Roman"/>
        </w:rPr>
      </w:pPr>
      <w:r w:rsidRPr="00A16C02">
        <w:rPr>
          <w:rFonts w:ascii="Times New Roman" w:hAnsi="Times New Roman"/>
          <w:b/>
          <w:bCs/>
        </w:rPr>
        <w:t xml:space="preserve">A.5. Stanovisko gestorov </w:t>
      </w:r>
    </w:p>
    <w:p w:rsidR="00004C3A" w:rsidP="00004C3A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</w:rPr>
      </w:pPr>
    </w:p>
    <w:p w:rsidR="00004C3A" w:rsidP="00004C3A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</w:rPr>
      </w:pPr>
    </w:p>
    <w:p w:rsidR="00004C3A" w:rsidP="00004C3A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</w:rPr>
      </w:pPr>
    </w:p>
    <w:p w:rsidR="00004C3A" w:rsidP="00004C3A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</w:rPr>
      </w:pPr>
    </w:p>
    <w:p w:rsidR="00004C3A" w:rsidP="00004C3A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</w:rPr>
      </w:pPr>
    </w:p>
    <w:p w:rsidR="00004C3A" w:rsidP="00004C3A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</w:rPr>
      </w:pPr>
    </w:p>
    <w:p w:rsidR="00DA37ED" w:rsidP="00004C3A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</w:rPr>
      </w:pPr>
    </w:p>
    <w:p w:rsidR="00004C3A" w:rsidP="00004C3A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</w:rPr>
      </w:pPr>
    </w:p>
    <w:p w:rsidR="00004C3A" w:rsidP="00004C3A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</w:rPr>
      </w:pPr>
    </w:p>
    <w:p w:rsidR="00004C3A" w:rsidP="00004C3A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</w:rPr>
      </w:pPr>
    </w:p>
    <w:p w:rsidR="00CD6DF7" w:rsidP="00004C3A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</w:rPr>
      </w:pPr>
    </w:p>
    <w:p w:rsidR="00EE20B0" w:rsidP="00004C3A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</w:rPr>
      </w:pPr>
    </w:p>
    <w:p w:rsidR="00EE20B0" w:rsidP="00004C3A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</w:rPr>
      </w:pPr>
    </w:p>
    <w:p w:rsidR="00BE3D9B" w:rsidP="00004C3A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</w:rPr>
      </w:pPr>
    </w:p>
    <w:p w:rsidR="00EF79EB" w:rsidRPr="00703E59" w:rsidP="00EF79EB">
      <w:pPr>
        <w:pStyle w:val="Title"/>
        <w:bidi w:val="0"/>
        <w:rPr>
          <w:rFonts w:ascii="Times New Roman" w:hAnsi="Times New Roman"/>
        </w:rPr>
      </w:pPr>
      <w:r w:rsidRPr="00703E59">
        <w:rPr>
          <w:rFonts w:ascii="Times New Roman" w:hAnsi="Times New Roman"/>
        </w:rPr>
        <w:t>DOLOŽKA ZLUČITEĽNOSTI</w:t>
      </w:r>
    </w:p>
    <w:p w:rsidR="00EF79EB" w:rsidRPr="00703E59" w:rsidP="00EF79EB">
      <w:pPr>
        <w:pStyle w:val="Zkladntext"/>
        <w:pBdr>
          <w:bottom w:val="single" w:sz="4" w:space="2" w:color="auto"/>
        </w:pBd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 w:rsidRPr="00703E59">
        <w:rPr>
          <w:rFonts w:ascii="Times New Roman" w:hAnsi="Times New Roman"/>
          <w:b/>
          <w:color w:val="auto"/>
        </w:rPr>
        <w:t>návrhu zákona, ktorým sa mení a dopĺňa zákon č. 652/2004 Z. z.  o orgánoch štátnej správy v colníctve a o zmene a doplnení niektorých zákonov v znení neskorších predpisov a ktorým sa mení zákon č. 199/2004 Z. z. Colný zákon a o zmene a doplnení niektorých zákonov v znení neskorších predpisov s právom Európskej únie</w:t>
      </w:r>
    </w:p>
    <w:p w:rsidR="00EF79EB" w:rsidRPr="00703E59" w:rsidP="00EF79EB">
      <w:pPr>
        <w:pStyle w:val="Zkladntext0"/>
        <w:bidi w:val="0"/>
        <w:spacing w:before="360"/>
        <w:ind w:left="360" w:hanging="36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03E59">
        <w:rPr>
          <w:rFonts w:ascii="Times New Roman" w:hAnsi="Times New Roman"/>
          <w:b/>
          <w:bCs/>
          <w:color w:val="auto"/>
          <w:sz w:val="24"/>
          <w:szCs w:val="24"/>
        </w:rPr>
        <w:t>1.</w:t>
        <w:tab/>
        <w:t>Predkladateľ zákona:</w:t>
      </w:r>
    </w:p>
    <w:p w:rsidR="00EF79EB" w:rsidRPr="00703E59" w:rsidP="00EF79EB">
      <w:pPr>
        <w:pStyle w:val="Zkladntext0"/>
        <w:bidi w:val="0"/>
        <w:spacing w:before="120"/>
        <w:ind w:firstLine="357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03E59">
        <w:rPr>
          <w:rFonts w:ascii="Times New Roman" w:hAnsi="Times New Roman"/>
          <w:color w:val="auto"/>
          <w:sz w:val="24"/>
          <w:szCs w:val="24"/>
        </w:rPr>
        <w:t>Vláda Slovenskej republiky.</w:t>
      </w:r>
    </w:p>
    <w:p w:rsidR="00EF79EB" w:rsidRPr="00703E59" w:rsidP="00EF79EB">
      <w:pPr>
        <w:pStyle w:val="Zkladntext0"/>
        <w:numPr>
          <w:numId w:val="15"/>
        </w:numPr>
        <w:bidi w:val="0"/>
        <w:spacing w:before="120" w:after="120"/>
        <w:ind w:left="357" w:hanging="357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03E59">
        <w:rPr>
          <w:rFonts w:ascii="Times New Roman" w:hAnsi="Times New Roman"/>
          <w:b/>
          <w:bCs/>
          <w:color w:val="auto"/>
          <w:sz w:val="24"/>
          <w:szCs w:val="24"/>
        </w:rPr>
        <w:t xml:space="preserve">Názov návrhu zákona: </w:t>
      </w:r>
    </w:p>
    <w:p w:rsidR="00EF79EB" w:rsidRPr="00703E59" w:rsidP="00EF79EB">
      <w:pPr>
        <w:autoSpaceDE w:val="0"/>
        <w:autoSpaceDN w:val="0"/>
        <w:bidi w:val="0"/>
        <w:adjustRightInd w:val="0"/>
        <w:spacing w:after="120"/>
        <w:ind w:left="397"/>
        <w:jc w:val="both"/>
        <w:rPr>
          <w:rFonts w:ascii="Times New Roman" w:hAnsi="Times New Roman"/>
        </w:rPr>
      </w:pPr>
      <w:r w:rsidRPr="00703E59">
        <w:rPr>
          <w:rFonts w:ascii="Times New Roman" w:hAnsi="Times New Roman"/>
        </w:rPr>
        <w:t>Návrh zákona, ktorým sa mení a dopĺňa zákon č. 652/2004 Z. z.  o orgánoch štátnej správy v colníctve a o zmene a doplnení niektorých zákonov v znení neskorších predpisov a ktorým sa mení zákon č. 199/2004 Z.</w:t>
      </w:r>
      <w:r w:rsidRPr="00703E59" w:rsidR="00EE20B0">
        <w:rPr>
          <w:rFonts w:ascii="Times New Roman" w:hAnsi="Times New Roman"/>
        </w:rPr>
        <w:t xml:space="preserve"> </w:t>
      </w:r>
      <w:r w:rsidRPr="00703E59">
        <w:rPr>
          <w:rFonts w:ascii="Times New Roman" w:hAnsi="Times New Roman"/>
        </w:rPr>
        <w:t>z. Colný zákon a o zmene a doplnení niektorých zákonov v znení neskorších predpisov.</w:t>
      </w:r>
    </w:p>
    <w:p w:rsidR="00EF79EB" w:rsidRPr="00703E59" w:rsidP="00207723">
      <w:pPr>
        <w:numPr>
          <w:numId w:val="15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703E59">
        <w:rPr>
          <w:rFonts w:ascii="Times New Roman" w:hAnsi="Times New Roman"/>
          <w:b/>
          <w:bCs/>
        </w:rPr>
        <w:t xml:space="preserve">Problematika návrhu zákona: </w:t>
      </w:r>
    </w:p>
    <w:p w:rsidR="00EF79EB" w:rsidRPr="00703E59" w:rsidP="00207723">
      <w:pPr>
        <w:pStyle w:val="BodyText"/>
        <w:numPr>
          <w:ilvl w:val="1"/>
          <w:numId w:val="15"/>
        </w:numPr>
        <w:bidi w:val="0"/>
        <w:rPr>
          <w:rFonts w:ascii="Times New Roman" w:hAnsi="Times New Roman"/>
        </w:rPr>
      </w:pPr>
      <w:r w:rsidRPr="00703E59">
        <w:rPr>
          <w:rFonts w:ascii="Times New Roman" w:hAnsi="Times New Roman"/>
        </w:rPr>
        <w:t>je upravená v práve Európskej únie:</w:t>
      </w:r>
    </w:p>
    <w:p w:rsidR="00EF79EB" w:rsidRPr="00703E59" w:rsidP="00EF79EB">
      <w:pPr>
        <w:pStyle w:val="BodyTextIndent"/>
        <w:bidi w:val="0"/>
        <w:rPr>
          <w:rFonts w:ascii="Times New Roman" w:hAnsi="Times New Roman"/>
          <w:b/>
          <w:bCs/>
          <w:iCs/>
        </w:rPr>
      </w:pPr>
      <w:r w:rsidRPr="00703E59">
        <w:rPr>
          <w:rFonts w:ascii="Times New Roman" w:hAnsi="Times New Roman"/>
          <w:b/>
          <w:bCs/>
          <w:iCs/>
        </w:rPr>
        <w:t xml:space="preserve">   Primárne právo:</w:t>
      </w:r>
    </w:p>
    <w:p w:rsidR="00EF79EB" w:rsidRPr="00703E59" w:rsidP="00EF79EB">
      <w:pPr>
        <w:pStyle w:val="BodyTextIndent"/>
        <w:numPr>
          <w:numId w:val="5"/>
        </w:numPr>
        <w:autoSpaceDE w:val="0"/>
        <w:autoSpaceDN w:val="0"/>
        <w:bidi w:val="0"/>
        <w:adjustRightInd w:val="0"/>
        <w:ind w:left="896" w:hanging="357"/>
        <w:jc w:val="both"/>
        <w:rPr>
          <w:rStyle w:val="Emphasis"/>
          <w:rFonts w:ascii="Times New Roman" w:hAnsi="Times New Roman"/>
          <w:i w:val="0"/>
          <w:iCs w:val="0"/>
        </w:rPr>
      </w:pPr>
      <w:r w:rsidRPr="00703E59">
        <w:rPr>
          <w:rStyle w:val="Emphasis"/>
          <w:rFonts w:ascii="Times New Roman" w:hAnsi="Times New Roman"/>
          <w:i w:val="0"/>
          <w:iCs w:val="0"/>
        </w:rPr>
        <w:t xml:space="preserve">čl. 3 ods. 1 písm. a), čl. 28 až 37 </w:t>
      </w:r>
      <w:r w:rsidRPr="00703E59">
        <w:rPr>
          <w:rFonts w:ascii="Times New Roman" w:hAnsi="Times New Roman"/>
        </w:rPr>
        <w:t>Zmluvy o fungovaní Európskej únie,</w:t>
      </w:r>
    </w:p>
    <w:p w:rsidR="00EF79EB" w:rsidRPr="00703E59" w:rsidP="00EF79EB">
      <w:pPr>
        <w:autoSpaceDE w:val="0"/>
        <w:autoSpaceDN w:val="0"/>
        <w:bidi w:val="0"/>
        <w:spacing w:after="120"/>
        <w:ind w:left="425"/>
        <w:jc w:val="both"/>
        <w:rPr>
          <w:rFonts w:ascii="Times New Roman" w:hAnsi="Times New Roman"/>
          <w:bCs/>
          <w:iCs/>
        </w:rPr>
      </w:pPr>
      <w:r w:rsidRPr="00703E59">
        <w:rPr>
          <w:rFonts w:ascii="Times New Roman" w:hAnsi="Times New Roman"/>
          <w:b/>
          <w:bCs/>
          <w:iCs/>
        </w:rPr>
        <w:t>Sekundárne právo</w:t>
      </w:r>
      <w:r w:rsidRPr="00703E59">
        <w:rPr>
          <w:rFonts w:ascii="Times New Roman" w:hAnsi="Times New Roman"/>
          <w:b/>
          <w:bCs/>
          <w:i/>
          <w:iCs/>
        </w:rPr>
        <w:t xml:space="preserve"> </w:t>
      </w:r>
      <w:r w:rsidRPr="00703E59">
        <w:rPr>
          <w:rFonts w:ascii="Times New Roman" w:hAnsi="Times New Roman"/>
          <w:bCs/>
          <w:iCs/>
        </w:rPr>
        <w:t>(</w:t>
      </w:r>
      <w:r w:rsidRPr="00703E59">
        <w:rPr>
          <w:rFonts w:ascii="Times New Roman" w:hAnsi="Times New Roman"/>
        </w:rPr>
        <w:t>prijaté pred nadobudnutím platnosti Lisabonskej zmluvy, ktorou sa mení a dopĺňa Zmluva o Európskej únie a Zmluva o Európskom spoločenstve  - do 30. novembra 2009)</w:t>
      </w:r>
      <w:r w:rsidRPr="00703E59">
        <w:rPr>
          <w:rFonts w:ascii="Times New Roman" w:hAnsi="Times New Roman"/>
          <w:bCs/>
          <w:iCs/>
        </w:rPr>
        <w:t>:</w:t>
      </w:r>
    </w:p>
    <w:p w:rsidR="00EF79EB" w:rsidRPr="00703E59" w:rsidP="00EF79EB">
      <w:pPr>
        <w:pStyle w:val="BodyTextIndent"/>
        <w:numPr>
          <w:numId w:val="5"/>
        </w:numPr>
        <w:autoSpaceDE w:val="0"/>
        <w:autoSpaceDN w:val="0"/>
        <w:bidi w:val="0"/>
        <w:adjustRightInd w:val="0"/>
        <w:spacing w:line="276" w:lineRule="auto"/>
        <w:ind w:left="896" w:hanging="357"/>
        <w:jc w:val="both"/>
        <w:rPr>
          <w:rFonts w:ascii="Times New Roman" w:hAnsi="Times New Roman"/>
          <w:i/>
        </w:rPr>
      </w:pPr>
      <w:r w:rsidRPr="00703E59">
        <w:rPr>
          <w:rFonts w:ascii="Times New Roman" w:hAnsi="Times New Roman"/>
          <w:bCs/>
        </w:rPr>
        <w:t>nariadenie Komisie (EHS) č. </w:t>
      </w:r>
      <w:r w:rsidRPr="00703E59">
        <w:rPr>
          <w:rFonts w:ascii="Times New Roman" w:hAnsi="Times New Roman"/>
          <w:bCs/>
          <w:u w:val="single"/>
        </w:rPr>
        <w:t>2454/93</w:t>
      </w:r>
      <w:r w:rsidRPr="00703E59">
        <w:rPr>
          <w:rFonts w:ascii="Times New Roman" w:hAnsi="Times New Roman"/>
          <w:bCs/>
        </w:rPr>
        <w:t xml:space="preserve"> z 2. júla 1993, ktorým sa vykonáva nariadenie Rady (EHS) č. 2913/92, ktorým sa ustanovuje Colný kódex spoločenstva (Mimoriadne vydanie Ú. v. EÚ kap. 2/zv. 6) v platnom znení,</w:t>
      </w:r>
    </w:p>
    <w:p w:rsidR="00EF79EB" w:rsidRPr="00703E59" w:rsidP="00EF79EB">
      <w:pPr>
        <w:pStyle w:val="BodyTextIndent"/>
        <w:numPr>
          <w:numId w:val="5"/>
        </w:numPr>
        <w:autoSpaceDE w:val="0"/>
        <w:autoSpaceDN w:val="0"/>
        <w:bidi w:val="0"/>
        <w:adjustRightInd w:val="0"/>
        <w:ind w:left="896" w:hanging="357"/>
        <w:jc w:val="both"/>
        <w:rPr>
          <w:rFonts w:ascii="Times New Roman" w:hAnsi="Times New Roman"/>
          <w:i/>
        </w:rPr>
      </w:pPr>
      <w:r w:rsidRPr="00703E59">
        <w:rPr>
          <w:rFonts w:ascii="Times New Roman" w:hAnsi="Times New Roman"/>
          <w:bCs/>
        </w:rPr>
        <w:t>nariadenie Rady (EHS) č. </w:t>
      </w:r>
      <w:r w:rsidRPr="00703E59">
        <w:rPr>
          <w:rFonts w:ascii="Times New Roman" w:hAnsi="Times New Roman"/>
          <w:bCs/>
          <w:u w:val="single"/>
        </w:rPr>
        <w:t>2913/92</w:t>
      </w:r>
      <w:r w:rsidRPr="00703E59">
        <w:rPr>
          <w:rFonts w:ascii="Times New Roman" w:hAnsi="Times New Roman"/>
          <w:bCs/>
        </w:rPr>
        <w:t xml:space="preserve"> z  12. októbra 1992, ktorým sa ustanovuje Colný kódex Spoločenstva (Mimoriadne vydanie Ú. v. EÚ kap. 2/zv. 4) v platnom znení.</w:t>
      </w:r>
    </w:p>
    <w:p w:rsidR="00EF79EB" w:rsidRPr="00703E59" w:rsidP="00207723">
      <w:pPr>
        <w:pStyle w:val="BodyText"/>
        <w:numPr>
          <w:ilvl w:val="1"/>
          <w:numId w:val="15"/>
        </w:numPr>
        <w:bidi w:val="0"/>
        <w:jc w:val="both"/>
        <w:rPr>
          <w:rFonts w:ascii="Times New Roman" w:hAnsi="Times New Roman"/>
        </w:rPr>
      </w:pPr>
      <w:r w:rsidRPr="00703E59">
        <w:rPr>
          <w:rFonts w:ascii="Times New Roman" w:hAnsi="Times New Roman"/>
        </w:rPr>
        <w:t>je obsiahnutá v judikatúre Súdneho dvora Európskej únie:</w:t>
      </w:r>
    </w:p>
    <w:p w:rsidR="00EF79EB" w:rsidRPr="00703E59" w:rsidP="00EF79EB">
      <w:pPr>
        <w:pStyle w:val="BodyText"/>
        <w:numPr>
          <w:numId w:val="5"/>
        </w:numPr>
        <w:bidi w:val="0"/>
        <w:ind w:left="896" w:hanging="357"/>
        <w:jc w:val="both"/>
        <w:rPr>
          <w:rFonts w:ascii="Times New Roman" w:hAnsi="Times New Roman"/>
        </w:rPr>
      </w:pPr>
      <w:r w:rsidRPr="00703E59">
        <w:rPr>
          <w:rFonts w:ascii="Times New Roman" w:hAnsi="Times New Roman"/>
        </w:rPr>
        <w:t>rozhodnutie Súdneho dvora vo veci C - 272/03, Hauptzollamt Neubrandenburg v. Jens Christian Siig,</w:t>
      </w:r>
      <w:r w:rsidR="00964479">
        <w:rPr>
          <w:rFonts w:ascii="Times New Roman" w:hAnsi="Times New Roman"/>
        </w:rPr>
        <w:t xml:space="preserve"> </w:t>
      </w:r>
      <w:r w:rsidRPr="00703E59">
        <w:rPr>
          <w:rFonts w:ascii="Times New Roman" w:hAnsi="Times New Roman"/>
        </w:rPr>
        <w:t>[2004],</w:t>
      </w:r>
    </w:p>
    <w:p w:rsidR="00EF79EB" w:rsidRPr="00703E59" w:rsidP="00EF79EB">
      <w:pPr>
        <w:pStyle w:val="BodyText"/>
        <w:numPr>
          <w:numId w:val="5"/>
        </w:numPr>
        <w:bidi w:val="0"/>
        <w:ind w:left="896" w:hanging="357"/>
        <w:jc w:val="both"/>
        <w:rPr>
          <w:rFonts w:ascii="Times New Roman" w:hAnsi="Times New Roman"/>
        </w:rPr>
      </w:pPr>
      <w:r w:rsidRPr="00703E59">
        <w:rPr>
          <w:rFonts w:ascii="Times New Roman" w:hAnsi="Times New Roman"/>
        </w:rPr>
        <w:t>rozhodnutie Súdneho dvora vo veci  C - 459/07, Veli Elshani v. proti Hauptzollamt Linz, [2009],</w:t>
      </w:r>
    </w:p>
    <w:p w:rsidR="00EF79EB" w:rsidRPr="00703E59" w:rsidP="00EF79EB">
      <w:pPr>
        <w:pStyle w:val="BodyText"/>
        <w:numPr>
          <w:numId w:val="5"/>
        </w:numPr>
        <w:bidi w:val="0"/>
        <w:ind w:left="896" w:hanging="357"/>
        <w:jc w:val="both"/>
        <w:rPr>
          <w:rFonts w:ascii="Times New Roman" w:hAnsi="Times New Roman"/>
        </w:rPr>
      </w:pPr>
      <w:r w:rsidRPr="00703E59">
        <w:rPr>
          <w:rFonts w:ascii="Times New Roman" w:hAnsi="Times New Roman"/>
        </w:rPr>
        <w:t xml:space="preserve">rozhodnutie Súdneho dvora vo veci C </w:t>
      </w:r>
      <w:r w:rsidRPr="00703E59">
        <w:rPr>
          <w:rFonts w:ascii="Times New Roman" w:hAnsi="Times New Roman"/>
        </w:rPr>
        <w:noBreakHyphen/>
        <w:t xml:space="preserve"> 546/09, Aurubis Balgaria AD v. Nachalnik na Mitnitsa Stolichna, [2011]</w:t>
      </w:r>
      <w:r w:rsidRPr="00703E59">
        <w:rPr>
          <w:rStyle w:val="Emphasis"/>
          <w:rFonts w:ascii="Times New Roman" w:hAnsi="Times New Roman"/>
          <w:i w:val="0"/>
          <w:iCs w:val="0"/>
        </w:rPr>
        <w:t>.</w:t>
      </w:r>
    </w:p>
    <w:p w:rsidR="00EF79EB" w:rsidRPr="00703E59" w:rsidP="00207723">
      <w:pPr>
        <w:numPr>
          <w:numId w:val="15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703E59">
        <w:rPr>
          <w:rFonts w:ascii="Times New Roman" w:hAnsi="Times New Roman"/>
          <w:b/>
          <w:bCs/>
        </w:rPr>
        <w:t>Záväzky Slovenskej republiky vo vzťahu k Európskej únii:</w:t>
      </w:r>
    </w:p>
    <w:p w:rsidR="00EF79EB" w:rsidRPr="00703E59" w:rsidP="00207723">
      <w:pPr>
        <w:pStyle w:val="BodyText"/>
        <w:numPr>
          <w:ilvl w:val="1"/>
          <w:numId w:val="15"/>
        </w:num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703E59">
        <w:rPr>
          <w:rFonts w:ascii="Times New Roman" w:hAnsi="Times New Roman"/>
        </w:rPr>
        <w:t>Lehota na prebratie smernice alebo lehota na implementáciu nariadenia alebo rozhodnutia: bezpredmetné.</w:t>
      </w:r>
    </w:p>
    <w:p w:rsidR="00EF79EB" w:rsidRPr="00703E59" w:rsidP="00207723">
      <w:pPr>
        <w:pStyle w:val="BodyText"/>
        <w:numPr>
          <w:ilvl w:val="1"/>
          <w:numId w:val="15"/>
        </w:num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703E59">
        <w:rPr>
          <w:rFonts w:ascii="Times New Roman" w:hAnsi="Times New Roman"/>
        </w:rPr>
        <w:t>Lehota na prebratie smernice alebo rámcového rozhodnutia podľa určenia gestorských ústredných orgánov štátnej správy zodpovedných za prebratie smerníc a vypracovanie tabuliek zhody k návrhom všeobecne záväzných právnych predpisov: bezpredmetné.</w:t>
      </w:r>
    </w:p>
    <w:p w:rsidR="00EF79EB" w:rsidRPr="00703E59" w:rsidP="00207723">
      <w:pPr>
        <w:pStyle w:val="BodyText"/>
        <w:numPr>
          <w:ilvl w:val="1"/>
          <w:numId w:val="15"/>
        </w:num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703E59">
        <w:rPr>
          <w:rFonts w:ascii="Times New Roman" w:hAnsi="Times New Roman"/>
        </w:rPr>
        <w:t>Proti SR nebolo začaté konanie podľa čl. 258 až 260 Zmluvy o fungovaní Európskej únie.</w:t>
      </w:r>
    </w:p>
    <w:p w:rsidR="00EF79EB" w:rsidRPr="00703E59" w:rsidP="00207723">
      <w:pPr>
        <w:pStyle w:val="BodyText"/>
        <w:numPr>
          <w:ilvl w:val="1"/>
          <w:numId w:val="15"/>
        </w:num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703E59">
        <w:rPr>
          <w:rFonts w:ascii="Times New Roman" w:hAnsi="Times New Roman"/>
        </w:rPr>
        <w:t>Bezpredmetné.</w:t>
      </w:r>
    </w:p>
    <w:p w:rsidR="00EF79EB" w:rsidRPr="00703E59" w:rsidP="00EF79EB">
      <w:pPr>
        <w:pStyle w:val="BodyTextIndent"/>
        <w:autoSpaceDE w:val="0"/>
        <w:autoSpaceDN w:val="0"/>
        <w:bidi w:val="0"/>
        <w:adjustRightInd w:val="0"/>
        <w:ind w:hanging="357"/>
        <w:rPr>
          <w:rFonts w:ascii="Times New Roman" w:hAnsi="Times New Roman"/>
        </w:rPr>
      </w:pPr>
    </w:p>
    <w:p w:rsidR="00EF79EB" w:rsidRPr="00703E59" w:rsidP="00207723">
      <w:pPr>
        <w:numPr>
          <w:numId w:val="15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703E59">
        <w:rPr>
          <w:rFonts w:ascii="Times New Roman" w:hAnsi="Times New Roman"/>
          <w:b/>
          <w:bCs/>
        </w:rPr>
        <w:t>Stupeň zlučiteľnosti návrhu zákona s právom Európskej únie:</w:t>
      </w:r>
    </w:p>
    <w:p w:rsidR="00EF79EB" w:rsidRPr="00703E59" w:rsidP="00EF79EB">
      <w:pPr>
        <w:bidi w:val="0"/>
        <w:spacing w:after="120"/>
        <w:ind w:left="357"/>
        <w:jc w:val="both"/>
        <w:rPr>
          <w:rFonts w:ascii="Times New Roman" w:hAnsi="Times New Roman"/>
        </w:rPr>
      </w:pPr>
      <w:r w:rsidRPr="00703E59">
        <w:rPr>
          <w:rFonts w:ascii="Times New Roman" w:hAnsi="Times New Roman"/>
        </w:rPr>
        <w:t xml:space="preserve"> Úplný.</w:t>
      </w:r>
    </w:p>
    <w:p w:rsidR="00EF79EB" w:rsidRPr="00703E59" w:rsidP="00207723">
      <w:pPr>
        <w:numPr>
          <w:numId w:val="15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703E59">
        <w:rPr>
          <w:rFonts w:ascii="Times New Roman" w:hAnsi="Times New Roman"/>
          <w:b/>
          <w:bCs/>
        </w:rPr>
        <w:t xml:space="preserve">Gestor a spolupracujúce rezorty: </w:t>
      </w:r>
    </w:p>
    <w:p w:rsidR="00EF79EB" w:rsidRPr="00703E59" w:rsidP="00EF79EB">
      <w:pPr>
        <w:bidi w:val="0"/>
        <w:spacing w:after="120"/>
        <w:ind w:left="360"/>
        <w:jc w:val="both"/>
        <w:rPr>
          <w:rFonts w:ascii="Times New Roman" w:hAnsi="Times New Roman"/>
        </w:rPr>
      </w:pPr>
      <w:r w:rsidRPr="00703E59">
        <w:rPr>
          <w:rFonts w:ascii="Times New Roman" w:hAnsi="Times New Roman"/>
        </w:rPr>
        <w:t xml:space="preserve"> Ministerstvo financií Slovenskej republiky.</w:t>
      </w:r>
    </w:p>
    <w:p w:rsidR="00EF79EB" w:rsidRPr="00703E59" w:rsidP="00EF79EB">
      <w:pPr>
        <w:bidi w:val="0"/>
        <w:spacing w:after="120"/>
        <w:ind w:left="425"/>
        <w:jc w:val="both"/>
        <w:rPr>
          <w:rFonts w:ascii="Times New Roman" w:hAnsi="Times New Roman"/>
        </w:rPr>
      </w:pPr>
    </w:p>
    <w:p w:rsidR="000D0641" w:rsidRPr="00703E59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0D0641" w:rsidRPr="00703E59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0D0641" w:rsidRP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0D0641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0D0641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0D0641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97160E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1F38ED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703E59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703E59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EF79EB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0D0641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</w:p>
    <w:p w:rsidR="00D72BD6" w:rsidRPr="00222F63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/>
          <w:bCs/>
        </w:rPr>
      </w:pPr>
      <w:r w:rsidRPr="00222F63">
        <w:rPr>
          <w:rFonts w:ascii="Times New Roman" w:hAnsi="Times New Roman"/>
          <w:b/>
          <w:bCs/>
        </w:rPr>
        <w:t>II. Osobitná časť</w:t>
      </w:r>
    </w:p>
    <w:p w:rsidR="00D72BD6" w:rsidRPr="007B3CBA" w:rsidP="00D72BD6">
      <w:pPr>
        <w:pStyle w:val="BodyText2"/>
        <w:bidi w:val="0"/>
        <w:spacing w:after="0"/>
        <w:ind w:left="0"/>
        <w:jc w:val="center"/>
        <w:rPr>
          <w:rFonts w:ascii="Times New Roman" w:hAnsi="Times New Roman"/>
          <w:bCs/>
        </w:rPr>
      </w:pPr>
    </w:p>
    <w:p w:rsidR="00D72BD6" w:rsidRPr="007B3CBA" w:rsidP="00D72BD6">
      <w:pPr>
        <w:autoSpaceDE w:val="0"/>
        <w:autoSpaceDN w:val="0"/>
        <w:bidi w:val="0"/>
        <w:adjustRightInd w:val="0"/>
        <w:rPr>
          <w:rFonts w:ascii="Times New Roman" w:hAnsi="Times New Roman"/>
          <w:b/>
          <w:bCs/>
          <w:color w:val="231F20"/>
        </w:rPr>
      </w:pPr>
      <w:r w:rsidRPr="007B3CBA">
        <w:rPr>
          <w:rFonts w:ascii="Times New Roman" w:hAnsi="Times New Roman"/>
          <w:b/>
          <w:bCs/>
          <w:color w:val="231F20"/>
        </w:rPr>
        <w:t>K čl. I</w:t>
      </w:r>
    </w:p>
    <w:p w:rsidR="0097160E" w:rsidRPr="007B3CBA" w:rsidP="0097160E">
      <w:pPr>
        <w:bidi w:val="0"/>
        <w:jc w:val="both"/>
        <w:rPr>
          <w:rFonts w:ascii="Times New Roman" w:hAnsi="Times New Roman"/>
          <w:color w:val="231F20"/>
        </w:rPr>
      </w:pPr>
      <w:r w:rsidRPr="007B3CBA">
        <w:rPr>
          <w:rFonts w:ascii="Times New Roman" w:hAnsi="Times New Roman"/>
          <w:color w:val="231F20"/>
          <w:u w:val="single"/>
        </w:rPr>
        <w:t>K</w:t>
      </w:r>
      <w:r w:rsidR="004429C3">
        <w:rPr>
          <w:rFonts w:ascii="Times New Roman" w:hAnsi="Times New Roman"/>
          <w:color w:val="231F20"/>
          <w:u w:val="single"/>
        </w:rPr>
        <w:t> </w:t>
      </w:r>
      <w:r w:rsidRPr="007B3CBA">
        <w:rPr>
          <w:rFonts w:ascii="Times New Roman" w:hAnsi="Times New Roman"/>
          <w:color w:val="231F20"/>
          <w:u w:val="single"/>
        </w:rPr>
        <w:t>bod</w:t>
      </w:r>
      <w:r w:rsidR="004429C3">
        <w:rPr>
          <w:rFonts w:ascii="Times New Roman" w:hAnsi="Times New Roman"/>
          <w:color w:val="231F20"/>
          <w:u w:val="single"/>
        </w:rPr>
        <w:t xml:space="preserve">om </w:t>
      </w:r>
      <w:r>
        <w:rPr>
          <w:rFonts w:ascii="Times New Roman" w:hAnsi="Times New Roman"/>
          <w:color w:val="231F20"/>
          <w:u w:val="single"/>
        </w:rPr>
        <w:t>1</w:t>
      </w:r>
      <w:r w:rsidR="004429C3">
        <w:rPr>
          <w:rFonts w:ascii="Times New Roman" w:hAnsi="Times New Roman"/>
          <w:color w:val="231F20"/>
          <w:u w:val="single"/>
        </w:rPr>
        <w:t xml:space="preserve"> a 2</w:t>
      </w:r>
    </w:p>
    <w:p w:rsidR="0097160E" w:rsidRPr="007B3CBA" w:rsidP="0097160E">
      <w:pPr>
        <w:bidi w:val="0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>Legislatívno-technick</w:t>
      </w:r>
      <w:r w:rsidR="004429C3">
        <w:rPr>
          <w:rFonts w:ascii="Times New Roman" w:hAnsi="Times New Roman"/>
          <w:color w:val="231F20"/>
        </w:rPr>
        <w:t>é</w:t>
      </w:r>
      <w:r>
        <w:rPr>
          <w:rFonts w:ascii="Times New Roman" w:hAnsi="Times New Roman"/>
          <w:color w:val="231F20"/>
        </w:rPr>
        <w:t xml:space="preserve"> úprav</w:t>
      </w:r>
      <w:r w:rsidR="004429C3"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</w:rPr>
        <w:t xml:space="preserve"> súvisiac</w:t>
      </w:r>
      <w:r w:rsidR="004429C3"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</w:rPr>
        <w:t xml:space="preserve"> s bodom </w:t>
      </w:r>
      <w:r w:rsidR="004429C3">
        <w:rPr>
          <w:rFonts w:ascii="Times New Roman" w:hAnsi="Times New Roman"/>
          <w:color w:val="231F20"/>
        </w:rPr>
        <w:t>3</w:t>
      </w:r>
      <w:r w:rsidR="0049564C">
        <w:rPr>
          <w:rFonts w:ascii="Times New Roman" w:hAnsi="Times New Roman"/>
          <w:color w:val="231F20"/>
        </w:rPr>
        <w:t>.</w:t>
      </w:r>
    </w:p>
    <w:p w:rsidR="0097160E" w:rsidP="00DB046F">
      <w:pPr>
        <w:bidi w:val="0"/>
        <w:jc w:val="both"/>
        <w:rPr>
          <w:rFonts w:ascii="Times New Roman" w:hAnsi="Times New Roman"/>
          <w:color w:val="231F20"/>
          <w:u w:val="single"/>
        </w:rPr>
      </w:pPr>
    </w:p>
    <w:p w:rsidR="00DB046F" w:rsidRPr="007B3CBA" w:rsidP="00DB046F">
      <w:pPr>
        <w:bidi w:val="0"/>
        <w:jc w:val="both"/>
        <w:rPr>
          <w:rFonts w:ascii="Times New Roman" w:hAnsi="Times New Roman"/>
          <w:color w:val="231F20"/>
        </w:rPr>
      </w:pPr>
      <w:r w:rsidRPr="007B3CBA">
        <w:rPr>
          <w:rFonts w:ascii="Times New Roman" w:hAnsi="Times New Roman"/>
          <w:color w:val="231F20"/>
          <w:u w:val="single"/>
        </w:rPr>
        <w:t>K bod</w:t>
      </w:r>
      <w:r w:rsidR="004429C3">
        <w:rPr>
          <w:rFonts w:ascii="Times New Roman" w:hAnsi="Times New Roman"/>
          <w:color w:val="231F20"/>
          <w:u w:val="single"/>
        </w:rPr>
        <w:t>om</w:t>
      </w:r>
      <w:r w:rsidRPr="007B3CBA">
        <w:rPr>
          <w:rFonts w:ascii="Times New Roman" w:hAnsi="Times New Roman"/>
          <w:color w:val="231F20"/>
          <w:u w:val="single"/>
        </w:rPr>
        <w:t xml:space="preserve"> </w:t>
      </w:r>
      <w:r w:rsidR="004429C3">
        <w:rPr>
          <w:rFonts w:ascii="Times New Roman" w:hAnsi="Times New Roman"/>
          <w:color w:val="231F20"/>
          <w:u w:val="single"/>
        </w:rPr>
        <w:t>3 a 4</w:t>
      </w:r>
    </w:p>
    <w:p w:rsidR="00DB046F" w:rsidRPr="00CD7326" w:rsidP="0097160E">
      <w:pPr>
        <w:bidi w:val="0"/>
        <w:jc w:val="both"/>
        <w:rPr>
          <w:rFonts w:ascii="Times New Roman" w:hAnsi="Times New Roman"/>
          <w:b/>
        </w:rPr>
      </w:pPr>
      <w:r w:rsidR="00E813EB">
        <w:rPr>
          <w:rFonts w:ascii="Times New Roman" w:hAnsi="Times New Roman"/>
          <w:color w:val="231F20"/>
        </w:rPr>
        <w:t>Ustanovuje sa nová úloha finančnej správy,</w:t>
      </w:r>
      <w:r w:rsidR="0097160E">
        <w:rPr>
          <w:rFonts w:ascii="Times New Roman" w:hAnsi="Times New Roman"/>
          <w:color w:val="231F20"/>
        </w:rPr>
        <w:t xml:space="preserve"> ktorú budú vykonávať colníci a </w:t>
      </w:r>
      <w:r w:rsidR="00E813EB">
        <w:rPr>
          <w:rFonts w:ascii="Times New Roman" w:hAnsi="Times New Roman"/>
          <w:color w:val="231F20"/>
        </w:rPr>
        <w:t>ktorá spočíva v</w:t>
      </w:r>
      <w:r w:rsidR="0097160E">
        <w:rPr>
          <w:rFonts w:ascii="Times New Roman" w:hAnsi="Times New Roman"/>
          <w:color w:val="231F20"/>
        </w:rPr>
        <w:t> </w:t>
      </w:r>
      <w:r w:rsidR="00E813EB">
        <w:rPr>
          <w:rFonts w:ascii="Times New Roman" w:hAnsi="Times New Roman"/>
          <w:color w:val="231F20"/>
        </w:rPr>
        <w:t>zabezpeč</w:t>
      </w:r>
      <w:r w:rsidR="0097160E">
        <w:rPr>
          <w:rFonts w:ascii="Times New Roman" w:hAnsi="Times New Roman"/>
          <w:color w:val="231F20"/>
        </w:rPr>
        <w:t xml:space="preserve">ovaní </w:t>
      </w:r>
      <w:r w:rsidR="00E813EB">
        <w:rPr>
          <w:rFonts w:ascii="Times New Roman" w:hAnsi="Times New Roman"/>
          <w:color w:val="231F20"/>
        </w:rPr>
        <w:t>ochrany objektov</w:t>
      </w:r>
      <w:r w:rsidR="0097160E">
        <w:rPr>
          <w:rFonts w:ascii="Times New Roman" w:hAnsi="Times New Roman"/>
          <w:color w:val="231F20"/>
        </w:rPr>
        <w:t xml:space="preserve"> </w:t>
      </w:r>
      <w:r w:rsidR="00E813EB">
        <w:rPr>
          <w:rFonts w:ascii="Times New Roman" w:hAnsi="Times New Roman"/>
          <w:color w:val="231F20"/>
        </w:rPr>
        <w:t xml:space="preserve">Ministerstva financií SR, Finančného riaditeľstva SR, </w:t>
      </w:r>
      <w:r w:rsidRPr="0097160E" w:rsidR="00E813EB">
        <w:rPr>
          <w:rFonts w:ascii="Times New Roman" w:hAnsi="Times New Roman"/>
        </w:rPr>
        <w:t>Kriminálneho úradu finančnej správy a</w:t>
      </w:r>
      <w:r w:rsidRPr="0097160E" w:rsidR="004E3B3E">
        <w:rPr>
          <w:rFonts w:ascii="Times New Roman" w:hAnsi="Times New Roman"/>
        </w:rPr>
        <w:t> colných úradov</w:t>
      </w:r>
      <w:r w:rsidRPr="0097160E" w:rsidR="0097160E">
        <w:rPr>
          <w:rFonts w:ascii="Times New Roman" w:hAnsi="Times New Roman"/>
        </w:rPr>
        <w:t xml:space="preserve"> a poriadku v</w:t>
      </w:r>
      <w:r w:rsidR="0097160E">
        <w:rPr>
          <w:rFonts w:ascii="Times New Roman" w:hAnsi="Times New Roman"/>
        </w:rPr>
        <w:t> </w:t>
      </w:r>
      <w:r w:rsidRPr="0097160E" w:rsidR="0097160E">
        <w:rPr>
          <w:rFonts w:ascii="Times New Roman" w:hAnsi="Times New Roman"/>
        </w:rPr>
        <w:t>nich</w:t>
      </w:r>
      <w:r w:rsidR="0097160E">
        <w:rPr>
          <w:rFonts w:ascii="Times New Roman" w:hAnsi="Times New Roman"/>
        </w:rPr>
        <w:t xml:space="preserve">. </w:t>
      </w:r>
      <w:r w:rsidRPr="005D7F72" w:rsidR="00CD7326">
        <w:rPr>
          <w:rFonts w:ascii="Times New Roman" w:hAnsi="Times New Roman"/>
        </w:rPr>
        <w:t xml:space="preserve">Účelom </w:t>
      </w:r>
      <w:r w:rsidR="00B75214">
        <w:rPr>
          <w:rFonts w:ascii="Times New Roman" w:hAnsi="Times New Roman"/>
        </w:rPr>
        <w:t xml:space="preserve">navrhovanej úpravy </w:t>
      </w:r>
      <w:r w:rsidRPr="005D7F72" w:rsidR="00CD7326">
        <w:rPr>
          <w:rFonts w:ascii="Times New Roman" w:hAnsi="Times New Roman"/>
        </w:rPr>
        <w:t xml:space="preserve">je </w:t>
      </w:r>
      <w:r w:rsidR="00B75214">
        <w:rPr>
          <w:rFonts w:ascii="Times New Roman" w:hAnsi="Times New Roman"/>
        </w:rPr>
        <w:t xml:space="preserve">vytvorenie legislatívneho rámca, na základe ktorého by colníci mohli zabezpečovať </w:t>
      </w:r>
      <w:r w:rsidRPr="005D7F72" w:rsidR="00CD7326">
        <w:rPr>
          <w:rFonts w:ascii="Times New Roman" w:hAnsi="Times New Roman"/>
        </w:rPr>
        <w:t>ochran</w:t>
      </w:r>
      <w:r w:rsidR="00B75214">
        <w:rPr>
          <w:rFonts w:ascii="Times New Roman" w:hAnsi="Times New Roman"/>
        </w:rPr>
        <w:t>u</w:t>
      </w:r>
      <w:r w:rsidRPr="005D7F72" w:rsidR="00CD7326">
        <w:rPr>
          <w:rFonts w:ascii="Times New Roman" w:hAnsi="Times New Roman"/>
        </w:rPr>
        <w:t xml:space="preserve"> ministerstva financií a</w:t>
      </w:r>
      <w:r w:rsidRPr="00FA7578" w:rsidR="00AF720E">
        <w:rPr>
          <w:rFonts w:ascii="Times New Roman" w:hAnsi="Times New Roman"/>
        </w:rPr>
        <w:t> </w:t>
      </w:r>
      <w:r w:rsidRPr="005D7F72" w:rsidR="00AF720E">
        <w:rPr>
          <w:rFonts w:ascii="Times New Roman" w:hAnsi="Times New Roman"/>
        </w:rPr>
        <w:t>tých objektov orgánov štátnej správy v</w:t>
      </w:r>
      <w:r w:rsidRPr="00FA7578" w:rsidR="00AF720E">
        <w:rPr>
          <w:rFonts w:ascii="Times New Roman" w:hAnsi="Times New Roman"/>
        </w:rPr>
        <w:t> </w:t>
      </w:r>
      <w:r w:rsidRPr="005D7F72" w:rsidR="00AF720E">
        <w:rPr>
          <w:rFonts w:ascii="Times New Roman" w:hAnsi="Times New Roman"/>
        </w:rPr>
        <w:t>colníctve, v</w:t>
      </w:r>
      <w:r w:rsidRPr="00FA7578" w:rsidR="00AF720E">
        <w:rPr>
          <w:rFonts w:ascii="Times New Roman" w:hAnsi="Times New Roman"/>
        </w:rPr>
        <w:t> </w:t>
      </w:r>
      <w:r w:rsidRPr="005D7F72" w:rsidR="00AF720E">
        <w:rPr>
          <w:rFonts w:ascii="Times New Roman" w:hAnsi="Times New Roman"/>
        </w:rPr>
        <w:t xml:space="preserve">ktorých </w:t>
      </w:r>
      <w:r w:rsidR="00FA7578">
        <w:rPr>
          <w:rFonts w:ascii="Times New Roman" w:hAnsi="Times New Roman"/>
        </w:rPr>
        <w:t>sú colníci aj v súčasnosti permanentne prítomní (tzv. stála služba), čím sa optimálne a efektívne využijú v</w:t>
      </w:r>
      <w:r w:rsidRPr="005D7F72" w:rsidR="00AF720E">
        <w:rPr>
          <w:rFonts w:ascii="Times New Roman" w:hAnsi="Times New Roman"/>
        </w:rPr>
        <w:t>lastn</w:t>
      </w:r>
      <w:r w:rsidR="00FA7578">
        <w:rPr>
          <w:rFonts w:ascii="Times New Roman" w:hAnsi="Times New Roman"/>
        </w:rPr>
        <w:t>é</w:t>
      </w:r>
      <w:r w:rsidRPr="005D7F72" w:rsidR="00AF720E">
        <w:rPr>
          <w:rFonts w:ascii="Times New Roman" w:hAnsi="Times New Roman"/>
        </w:rPr>
        <w:t xml:space="preserve"> personáln</w:t>
      </w:r>
      <w:r w:rsidR="00FA7578">
        <w:rPr>
          <w:rFonts w:ascii="Times New Roman" w:hAnsi="Times New Roman"/>
        </w:rPr>
        <w:t>e</w:t>
      </w:r>
      <w:r w:rsidRPr="005D7F72" w:rsidR="00AF720E">
        <w:rPr>
          <w:rFonts w:ascii="Times New Roman" w:hAnsi="Times New Roman"/>
        </w:rPr>
        <w:t xml:space="preserve"> kapac</w:t>
      </w:r>
      <w:r w:rsidR="00FA7578">
        <w:rPr>
          <w:rFonts w:ascii="Times New Roman" w:hAnsi="Times New Roman"/>
        </w:rPr>
        <w:t>ity</w:t>
      </w:r>
      <w:r w:rsidRPr="005D7F72" w:rsidR="00AF720E">
        <w:rPr>
          <w:rFonts w:ascii="Times New Roman" w:hAnsi="Times New Roman"/>
        </w:rPr>
        <w:t xml:space="preserve"> finančnej správy</w:t>
      </w:r>
      <w:r w:rsidRPr="005D7F72" w:rsidR="00CD7326">
        <w:rPr>
          <w:rFonts w:ascii="Times New Roman" w:hAnsi="Times New Roman"/>
        </w:rPr>
        <w:t>.</w:t>
      </w:r>
      <w:r w:rsidRPr="00B75214" w:rsidR="00B75214">
        <w:rPr>
          <w:rFonts w:ascii="Times New Roman" w:hAnsi="Times New Roman"/>
        </w:rPr>
        <w:t xml:space="preserve"> </w:t>
      </w:r>
      <w:r w:rsidR="00B75214">
        <w:rPr>
          <w:rFonts w:ascii="Times New Roman" w:hAnsi="Times New Roman"/>
        </w:rPr>
        <w:t>O</w:t>
      </w:r>
      <w:r w:rsidRPr="0097160E" w:rsidR="00B75214">
        <w:rPr>
          <w:rFonts w:ascii="Times New Roman" w:hAnsi="Times New Roman"/>
        </w:rPr>
        <w:t xml:space="preserve">chrana objektov sa </w:t>
      </w:r>
      <w:r w:rsidR="00B75214">
        <w:rPr>
          <w:rFonts w:ascii="Times New Roman" w:hAnsi="Times New Roman"/>
        </w:rPr>
        <w:t xml:space="preserve">tak </w:t>
      </w:r>
      <w:r w:rsidRPr="0097160E" w:rsidR="00B75214">
        <w:rPr>
          <w:rFonts w:ascii="Times New Roman" w:hAnsi="Times New Roman"/>
        </w:rPr>
        <w:t>dotkne vybraného počtu objektov</w:t>
      </w:r>
      <w:r w:rsidR="00B75214">
        <w:rPr>
          <w:rFonts w:ascii="Times New Roman" w:hAnsi="Times New Roman"/>
        </w:rPr>
        <w:t>, zoznam ktorých určí minister financií Slovenskej republiky.</w:t>
      </w:r>
    </w:p>
    <w:p w:rsidR="00EE20B0" w:rsidP="0097160E">
      <w:pPr>
        <w:bidi w:val="0"/>
        <w:jc w:val="both"/>
        <w:rPr>
          <w:rFonts w:ascii="Times New Roman" w:hAnsi="Times New Roman"/>
        </w:rPr>
      </w:pPr>
    </w:p>
    <w:p w:rsidR="00EE20B0" w:rsidRPr="007B3CBA" w:rsidP="00EE20B0">
      <w:pPr>
        <w:bidi w:val="0"/>
        <w:jc w:val="both"/>
        <w:rPr>
          <w:rFonts w:ascii="Times New Roman" w:hAnsi="Times New Roman"/>
          <w:color w:val="231F20"/>
        </w:rPr>
      </w:pPr>
      <w:r w:rsidRPr="007B3CBA">
        <w:rPr>
          <w:rFonts w:ascii="Times New Roman" w:hAnsi="Times New Roman"/>
          <w:color w:val="231F20"/>
          <w:u w:val="single"/>
        </w:rPr>
        <w:t xml:space="preserve">K bodu </w:t>
      </w:r>
      <w:r w:rsidR="00A50446">
        <w:rPr>
          <w:rFonts w:ascii="Times New Roman" w:hAnsi="Times New Roman"/>
          <w:color w:val="231F20"/>
          <w:u w:val="single"/>
        </w:rPr>
        <w:t>5</w:t>
      </w:r>
    </w:p>
    <w:p w:rsidR="00EE20B0" w:rsidRPr="007B3CBA" w:rsidP="00EE20B0">
      <w:pPr>
        <w:bidi w:val="0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>Legislatívno-technická úprava súvisiaca s bodom 4.</w:t>
      </w:r>
    </w:p>
    <w:p w:rsidR="00DA37ED" w:rsidP="00DB046F">
      <w:pPr>
        <w:bidi w:val="0"/>
        <w:jc w:val="both"/>
        <w:rPr>
          <w:rFonts w:ascii="Times New Roman" w:hAnsi="Times New Roman"/>
          <w:color w:val="231F20"/>
        </w:rPr>
      </w:pPr>
    </w:p>
    <w:p w:rsidR="009B213E" w:rsidRPr="007B3CBA" w:rsidP="009B213E">
      <w:pPr>
        <w:bidi w:val="0"/>
        <w:jc w:val="both"/>
        <w:rPr>
          <w:rFonts w:ascii="Times New Roman" w:hAnsi="Times New Roman"/>
          <w:color w:val="231F20"/>
        </w:rPr>
      </w:pPr>
      <w:r w:rsidRPr="007B3CBA">
        <w:rPr>
          <w:rFonts w:ascii="Times New Roman" w:hAnsi="Times New Roman"/>
          <w:color w:val="231F20"/>
          <w:u w:val="single"/>
        </w:rPr>
        <w:t xml:space="preserve">K bodu </w:t>
      </w:r>
      <w:r w:rsidR="00A50446">
        <w:rPr>
          <w:rFonts w:ascii="Times New Roman" w:hAnsi="Times New Roman"/>
          <w:color w:val="231F20"/>
          <w:u w:val="single"/>
        </w:rPr>
        <w:t>6</w:t>
      </w:r>
    </w:p>
    <w:p w:rsidR="00676F4D" w:rsidRPr="005D7F72" w:rsidP="00676F4D">
      <w:pPr>
        <w:bidi w:val="0"/>
        <w:jc w:val="both"/>
        <w:rPr>
          <w:rFonts w:ascii="Times New Roman" w:hAnsi="Times New Roman"/>
          <w:color w:val="231F20"/>
        </w:rPr>
      </w:pPr>
      <w:r w:rsidRPr="005D7F72">
        <w:rPr>
          <w:rFonts w:ascii="Times New Roman" w:hAnsi="Times New Roman"/>
          <w:color w:val="231F20"/>
        </w:rPr>
        <w:t xml:space="preserve">Formálna úprava názvu ústredného orgánu štátnej správy.  </w:t>
      </w:r>
    </w:p>
    <w:p w:rsidR="00EE20B0" w:rsidRPr="005D7F72" w:rsidP="005B0D8D">
      <w:pPr>
        <w:bidi w:val="0"/>
        <w:jc w:val="both"/>
        <w:rPr>
          <w:rFonts w:ascii="Times New Roman" w:hAnsi="Times New Roman"/>
          <w:b/>
          <w:color w:val="231F20"/>
        </w:rPr>
      </w:pPr>
    </w:p>
    <w:p w:rsidR="00EE20B0" w:rsidRPr="007B3CBA" w:rsidP="00EE20B0">
      <w:pPr>
        <w:bidi w:val="0"/>
        <w:jc w:val="both"/>
        <w:rPr>
          <w:rFonts w:ascii="Times New Roman" w:hAnsi="Times New Roman"/>
          <w:color w:val="231F20"/>
        </w:rPr>
      </w:pPr>
      <w:r w:rsidRPr="007B3CBA">
        <w:rPr>
          <w:rFonts w:ascii="Times New Roman" w:hAnsi="Times New Roman"/>
          <w:color w:val="231F20"/>
          <w:u w:val="single"/>
        </w:rPr>
        <w:t xml:space="preserve">K bodu </w:t>
      </w:r>
      <w:r w:rsidR="00A50446">
        <w:rPr>
          <w:rFonts w:ascii="Times New Roman" w:hAnsi="Times New Roman"/>
          <w:color w:val="231F20"/>
          <w:u w:val="single"/>
        </w:rPr>
        <w:t>7</w:t>
      </w:r>
    </w:p>
    <w:p w:rsidR="00EE20B0" w:rsidRPr="007B3CBA" w:rsidP="00EE20B0">
      <w:pPr>
        <w:bidi w:val="0"/>
        <w:jc w:val="both"/>
        <w:rPr>
          <w:rFonts w:ascii="Times New Roman" w:hAnsi="Times New Roman"/>
          <w:color w:val="231F20"/>
        </w:rPr>
      </w:pPr>
      <w:r w:rsidR="009E32A5">
        <w:rPr>
          <w:rFonts w:ascii="Times New Roman" w:hAnsi="Times New Roman"/>
          <w:color w:val="231F20"/>
        </w:rPr>
        <w:t>Bližšie sa identifikuje konkrétny orgán štátnej správy, ktorý má poskytnúť náhradu.</w:t>
      </w:r>
    </w:p>
    <w:p w:rsidR="00EE20B0" w:rsidRPr="003B1976" w:rsidP="005B0D8D">
      <w:pPr>
        <w:bidi w:val="0"/>
        <w:jc w:val="both"/>
        <w:rPr>
          <w:rFonts w:ascii="Times New Roman" w:hAnsi="Times New Roman"/>
          <w:color w:val="231F20"/>
        </w:rPr>
      </w:pPr>
    </w:p>
    <w:p w:rsidR="00C740F4" w:rsidRPr="007B3CBA" w:rsidP="00C740F4">
      <w:pPr>
        <w:bidi w:val="0"/>
        <w:jc w:val="both"/>
        <w:rPr>
          <w:rFonts w:ascii="Times New Roman" w:hAnsi="Times New Roman"/>
          <w:color w:val="231F20"/>
          <w:u w:val="single"/>
        </w:rPr>
      </w:pPr>
      <w:r>
        <w:rPr>
          <w:rFonts w:ascii="Times New Roman" w:hAnsi="Times New Roman"/>
          <w:color w:val="231F20"/>
          <w:u w:val="single"/>
        </w:rPr>
        <w:t>K</w:t>
      </w:r>
      <w:r w:rsidRPr="007B3CBA">
        <w:rPr>
          <w:rFonts w:ascii="Times New Roman" w:hAnsi="Times New Roman"/>
          <w:color w:val="231F20"/>
          <w:u w:val="single"/>
        </w:rPr>
        <w:t xml:space="preserve"> bodu </w:t>
      </w:r>
      <w:r w:rsidR="00A50446">
        <w:rPr>
          <w:rFonts w:ascii="Times New Roman" w:hAnsi="Times New Roman"/>
          <w:color w:val="231F20"/>
          <w:u w:val="single"/>
        </w:rPr>
        <w:t>8</w:t>
      </w:r>
    </w:p>
    <w:p w:rsidR="00C740F4" w:rsidP="00D72BD6">
      <w:pPr>
        <w:bidi w:val="0"/>
        <w:jc w:val="both"/>
        <w:rPr>
          <w:rFonts w:ascii="Times New Roman" w:hAnsi="Times New Roman"/>
          <w:color w:val="231F20"/>
        </w:rPr>
      </w:pPr>
      <w:r w:rsidR="00DF5981">
        <w:rPr>
          <w:rFonts w:ascii="Times New Roman" w:hAnsi="Times New Roman"/>
          <w:color w:val="231F20"/>
        </w:rPr>
        <w:t>V súvislosti so zakotvením novej úlohy v bode 3 - strážiť objekty a poriadok v nich - sa u</w:t>
      </w:r>
      <w:r>
        <w:rPr>
          <w:rFonts w:ascii="Times New Roman" w:hAnsi="Times New Roman"/>
          <w:color w:val="231F20"/>
        </w:rPr>
        <w:t xml:space="preserve">stanovuje nová situácia, v ktorej je colník oprávnený zaistiť osobu. </w:t>
      </w:r>
    </w:p>
    <w:p w:rsidR="00C740F4" w:rsidRPr="007B3CBA" w:rsidP="00D72BD6">
      <w:pPr>
        <w:bidi w:val="0"/>
        <w:jc w:val="both"/>
        <w:rPr>
          <w:rFonts w:ascii="Times New Roman" w:hAnsi="Times New Roman"/>
          <w:color w:val="231F20"/>
        </w:rPr>
      </w:pPr>
    </w:p>
    <w:p w:rsidR="00622752" w:rsidRPr="007B3CBA" w:rsidP="00622752">
      <w:pPr>
        <w:bidi w:val="0"/>
        <w:jc w:val="both"/>
        <w:rPr>
          <w:rFonts w:ascii="Times New Roman" w:hAnsi="Times New Roman"/>
          <w:color w:val="231F20"/>
          <w:u w:val="single"/>
        </w:rPr>
      </w:pPr>
      <w:r>
        <w:rPr>
          <w:rFonts w:ascii="Times New Roman" w:hAnsi="Times New Roman"/>
          <w:color w:val="231F20"/>
          <w:u w:val="single"/>
        </w:rPr>
        <w:t>K</w:t>
      </w:r>
      <w:r w:rsidRPr="007B3CBA">
        <w:rPr>
          <w:rFonts w:ascii="Times New Roman" w:hAnsi="Times New Roman"/>
          <w:color w:val="231F20"/>
          <w:u w:val="single"/>
        </w:rPr>
        <w:t xml:space="preserve"> bodu </w:t>
      </w:r>
      <w:r w:rsidR="00A50446">
        <w:rPr>
          <w:rFonts w:ascii="Times New Roman" w:hAnsi="Times New Roman"/>
          <w:color w:val="231F20"/>
          <w:u w:val="single"/>
        </w:rPr>
        <w:t>9</w:t>
      </w:r>
    </w:p>
    <w:p w:rsidR="00622752" w:rsidP="00D72BD6">
      <w:pPr>
        <w:bidi w:val="0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 xml:space="preserve">Navrhuje sa z dôvodu, že je potrebné pri každom služobnom zákroku preveriť osobu, voči ktorej je služobný zákrok vykonaný, či nemá pri sebe zbraň. Doterajšia úprava umožňovala takúto kontrolu len pri predvedenej alebo zaistenej osobe. </w:t>
      </w:r>
    </w:p>
    <w:p w:rsidR="00622752" w:rsidP="00D72BD6">
      <w:pPr>
        <w:bidi w:val="0"/>
        <w:jc w:val="both"/>
        <w:rPr>
          <w:rFonts w:ascii="Times New Roman" w:hAnsi="Times New Roman"/>
          <w:color w:val="231F20"/>
          <w:u w:val="single"/>
        </w:rPr>
      </w:pPr>
    </w:p>
    <w:p w:rsidR="003A038D" w:rsidRPr="007B3CBA" w:rsidP="00D72BD6">
      <w:pPr>
        <w:bidi w:val="0"/>
        <w:jc w:val="both"/>
        <w:rPr>
          <w:rFonts w:ascii="Times New Roman" w:hAnsi="Times New Roman"/>
          <w:color w:val="231F20"/>
          <w:u w:val="single"/>
        </w:rPr>
      </w:pPr>
      <w:r w:rsidR="009B213E">
        <w:rPr>
          <w:rFonts w:ascii="Times New Roman" w:hAnsi="Times New Roman"/>
          <w:color w:val="231F20"/>
          <w:u w:val="single"/>
        </w:rPr>
        <w:t>K</w:t>
      </w:r>
      <w:r w:rsidRPr="007B3CBA" w:rsidR="00455DAB">
        <w:rPr>
          <w:rFonts w:ascii="Times New Roman" w:hAnsi="Times New Roman"/>
          <w:color w:val="231F20"/>
          <w:u w:val="single"/>
        </w:rPr>
        <w:t> bod</w:t>
      </w:r>
      <w:r w:rsidRPr="007B3CBA" w:rsidR="00106C88">
        <w:rPr>
          <w:rFonts w:ascii="Times New Roman" w:hAnsi="Times New Roman"/>
          <w:color w:val="231F20"/>
          <w:u w:val="single"/>
        </w:rPr>
        <w:t xml:space="preserve">u </w:t>
      </w:r>
      <w:r w:rsidR="00A50446">
        <w:rPr>
          <w:rFonts w:ascii="Times New Roman" w:hAnsi="Times New Roman"/>
          <w:color w:val="231F20"/>
          <w:u w:val="single"/>
        </w:rPr>
        <w:t>10</w:t>
      </w:r>
    </w:p>
    <w:p w:rsidR="008057F7" w:rsidRPr="007B3CBA" w:rsidP="008057F7">
      <w:pPr>
        <w:bidi w:val="0"/>
        <w:jc w:val="both"/>
        <w:rPr>
          <w:rFonts w:ascii="Times New Roman" w:hAnsi="Times New Roman"/>
          <w:color w:val="231F20"/>
        </w:rPr>
      </w:pPr>
      <w:r w:rsidR="00D33CB9">
        <w:rPr>
          <w:rFonts w:ascii="Times New Roman" w:hAnsi="Times New Roman"/>
          <w:color w:val="231F20"/>
        </w:rPr>
        <w:t>Navrhovaná úprava n</w:t>
      </w:r>
      <w:r w:rsidR="0097160E">
        <w:rPr>
          <w:rFonts w:ascii="Times New Roman" w:hAnsi="Times New Roman"/>
          <w:color w:val="231F20"/>
        </w:rPr>
        <w:t>adväz</w:t>
      </w:r>
      <w:r w:rsidR="00D33CB9">
        <w:rPr>
          <w:rFonts w:ascii="Times New Roman" w:hAnsi="Times New Roman"/>
          <w:color w:val="231F20"/>
        </w:rPr>
        <w:t>uje</w:t>
      </w:r>
      <w:r w:rsidR="0097160E">
        <w:rPr>
          <w:rFonts w:ascii="Times New Roman" w:hAnsi="Times New Roman"/>
          <w:color w:val="231F20"/>
        </w:rPr>
        <w:t xml:space="preserve"> na úpravu v bode </w:t>
      </w:r>
      <w:r w:rsidR="004429C3">
        <w:rPr>
          <w:rFonts w:ascii="Times New Roman" w:hAnsi="Times New Roman"/>
          <w:color w:val="231F20"/>
        </w:rPr>
        <w:t>3</w:t>
      </w:r>
      <w:r w:rsidR="0049564C">
        <w:rPr>
          <w:rFonts w:ascii="Times New Roman" w:hAnsi="Times New Roman"/>
          <w:color w:val="231F20"/>
        </w:rPr>
        <w:t xml:space="preserve">. Oprávnenia </w:t>
      </w:r>
      <w:r w:rsidR="00D33CB9">
        <w:rPr>
          <w:rFonts w:ascii="Times New Roman" w:hAnsi="Times New Roman"/>
          <w:color w:val="231F20"/>
        </w:rPr>
        <w:t xml:space="preserve">colníka na zabránenie násilnému vstupu nepovolaných osôb </w:t>
      </w:r>
      <w:r w:rsidR="0049564C">
        <w:rPr>
          <w:rFonts w:ascii="Times New Roman" w:hAnsi="Times New Roman"/>
          <w:color w:val="231F20"/>
        </w:rPr>
        <w:t xml:space="preserve">je potrebné </w:t>
      </w:r>
      <w:r w:rsidR="00D33CB9">
        <w:rPr>
          <w:rFonts w:ascii="Times New Roman" w:hAnsi="Times New Roman"/>
          <w:color w:val="231F20"/>
        </w:rPr>
        <w:t xml:space="preserve">rozšíriť </w:t>
      </w:r>
      <w:r w:rsidR="00022D41">
        <w:rPr>
          <w:rFonts w:ascii="Times New Roman" w:hAnsi="Times New Roman"/>
          <w:color w:val="231F20"/>
        </w:rPr>
        <w:t xml:space="preserve">vo vzťahu k </w:t>
      </w:r>
      <w:r w:rsidR="00C740F4">
        <w:rPr>
          <w:rFonts w:ascii="Times New Roman" w:hAnsi="Times New Roman"/>
          <w:color w:val="231F20"/>
        </w:rPr>
        <w:t>strážený</w:t>
      </w:r>
      <w:r w:rsidR="00022D41">
        <w:rPr>
          <w:rFonts w:ascii="Times New Roman" w:hAnsi="Times New Roman"/>
          <w:color w:val="231F20"/>
        </w:rPr>
        <w:t>m</w:t>
      </w:r>
      <w:r w:rsidR="00C740F4">
        <w:rPr>
          <w:rFonts w:ascii="Times New Roman" w:hAnsi="Times New Roman"/>
          <w:color w:val="231F20"/>
        </w:rPr>
        <w:t xml:space="preserve"> objekt</w:t>
      </w:r>
      <w:r w:rsidR="00022D41">
        <w:rPr>
          <w:rFonts w:ascii="Times New Roman" w:hAnsi="Times New Roman"/>
          <w:color w:val="231F20"/>
        </w:rPr>
        <w:t>om</w:t>
      </w:r>
      <w:r w:rsidR="00C740F4">
        <w:rPr>
          <w:rFonts w:ascii="Times New Roman" w:hAnsi="Times New Roman"/>
          <w:color w:val="231F20"/>
        </w:rPr>
        <w:t xml:space="preserve"> </w:t>
      </w:r>
      <w:r w:rsidR="00022D41">
        <w:rPr>
          <w:rFonts w:ascii="Times New Roman" w:hAnsi="Times New Roman"/>
          <w:color w:val="231F20"/>
        </w:rPr>
        <w:t>a iným</w:t>
      </w:r>
      <w:r w:rsidR="004429C3">
        <w:rPr>
          <w:rFonts w:ascii="Times New Roman" w:hAnsi="Times New Roman"/>
          <w:color w:val="231F20"/>
        </w:rPr>
        <w:t xml:space="preserve"> objekt</w:t>
      </w:r>
      <w:r w:rsidR="00022D41">
        <w:rPr>
          <w:rFonts w:ascii="Times New Roman" w:hAnsi="Times New Roman"/>
          <w:color w:val="231F20"/>
        </w:rPr>
        <w:t>om</w:t>
      </w:r>
      <w:r w:rsidR="004429C3">
        <w:rPr>
          <w:rFonts w:ascii="Times New Roman" w:hAnsi="Times New Roman"/>
          <w:color w:val="231F20"/>
        </w:rPr>
        <w:t xml:space="preserve">, do ktorých je vstup zakázaný. </w:t>
      </w:r>
      <w:r w:rsidR="00D33CB9">
        <w:rPr>
          <w:rFonts w:ascii="Times New Roman" w:hAnsi="Times New Roman"/>
          <w:color w:val="231F20"/>
        </w:rPr>
        <w:t xml:space="preserve"> </w:t>
      </w:r>
      <w:r w:rsidR="005B0D8D">
        <w:rPr>
          <w:rFonts w:ascii="Times New Roman" w:hAnsi="Times New Roman"/>
          <w:color w:val="231F20"/>
        </w:rPr>
        <w:t xml:space="preserve"> </w:t>
      </w:r>
    </w:p>
    <w:p w:rsidR="00A0375E" w:rsidRPr="007B3CBA" w:rsidP="00587BAB">
      <w:pPr>
        <w:bidi w:val="0"/>
        <w:jc w:val="both"/>
        <w:rPr>
          <w:rFonts w:ascii="Times New Roman" w:hAnsi="Times New Roman"/>
          <w:color w:val="231F20"/>
        </w:rPr>
      </w:pPr>
    </w:p>
    <w:p w:rsidR="008C492A" w:rsidRPr="007B3CBA" w:rsidP="008C492A">
      <w:pPr>
        <w:bidi w:val="0"/>
        <w:jc w:val="both"/>
        <w:rPr>
          <w:rFonts w:ascii="Times New Roman" w:hAnsi="Times New Roman"/>
          <w:color w:val="231F20"/>
          <w:u w:val="single"/>
        </w:rPr>
      </w:pPr>
      <w:r w:rsidRPr="007B3CBA">
        <w:rPr>
          <w:rFonts w:ascii="Times New Roman" w:hAnsi="Times New Roman"/>
          <w:color w:val="231F20"/>
          <w:u w:val="single"/>
        </w:rPr>
        <w:t>K bod</w:t>
      </w:r>
      <w:r w:rsidR="00D33CB9">
        <w:rPr>
          <w:rFonts w:ascii="Times New Roman" w:hAnsi="Times New Roman"/>
          <w:color w:val="231F20"/>
          <w:u w:val="single"/>
        </w:rPr>
        <w:t>om</w:t>
      </w:r>
      <w:r w:rsidRPr="007B3CBA" w:rsidR="00E12761">
        <w:rPr>
          <w:rFonts w:ascii="Times New Roman" w:hAnsi="Times New Roman"/>
          <w:color w:val="231F20"/>
          <w:u w:val="single"/>
        </w:rPr>
        <w:t xml:space="preserve"> </w:t>
      </w:r>
      <w:r w:rsidR="00A50446">
        <w:rPr>
          <w:rFonts w:ascii="Times New Roman" w:hAnsi="Times New Roman"/>
          <w:color w:val="231F20"/>
          <w:u w:val="single"/>
        </w:rPr>
        <w:t>11</w:t>
      </w:r>
      <w:r w:rsidR="00622752">
        <w:rPr>
          <w:rFonts w:ascii="Times New Roman" w:hAnsi="Times New Roman"/>
          <w:color w:val="231F20"/>
          <w:u w:val="single"/>
        </w:rPr>
        <w:t xml:space="preserve"> a </w:t>
      </w:r>
      <w:r w:rsidR="00A50446">
        <w:rPr>
          <w:rFonts w:ascii="Times New Roman" w:hAnsi="Times New Roman"/>
          <w:color w:val="231F20"/>
          <w:u w:val="single"/>
        </w:rPr>
        <w:t>12</w:t>
      </w:r>
    </w:p>
    <w:p w:rsidR="00D33CB9" w:rsidP="005B0D8D">
      <w:pPr>
        <w:bidi w:val="0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 xml:space="preserve">Ide o legislatívno-technické úpravy súvisiace s bodom </w:t>
      </w:r>
      <w:r w:rsidR="004429C3">
        <w:rPr>
          <w:rFonts w:ascii="Times New Roman" w:hAnsi="Times New Roman"/>
          <w:color w:val="231F20"/>
        </w:rPr>
        <w:t>1</w:t>
      </w:r>
      <w:r w:rsidR="005E0CC3">
        <w:rPr>
          <w:rFonts w:ascii="Times New Roman" w:hAnsi="Times New Roman"/>
          <w:color w:val="231F20"/>
        </w:rPr>
        <w:t>3</w:t>
      </w:r>
      <w:r>
        <w:rPr>
          <w:rFonts w:ascii="Times New Roman" w:hAnsi="Times New Roman"/>
          <w:color w:val="231F20"/>
        </w:rPr>
        <w:t>.</w:t>
      </w:r>
    </w:p>
    <w:p w:rsidR="00D33CB9" w:rsidP="005B0D8D">
      <w:pPr>
        <w:bidi w:val="0"/>
        <w:jc w:val="both"/>
        <w:rPr>
          <w:rFonts w:ascii="Times New Roman" w:hAnsi="Times New Roman"/>
          <w:color w:val="231F20"/>
        </w:rPr>
      </w:pPr>
    </w:p>
    <w:p w:rsidR="00E12761" w:rsidP="00E12761">
      <w:pPr>
        <w:bidi w:val="0"/>
        <w:jc w:val="both"/>
        <w:rPr>
          <w:rFonts w:ascii="Times New Roman" w:hAnsi="Times New Roman"/>
          <w:color w:val="231F20"/>
          <w:u w:val="single"/>
        </w:rPr>
      </w:pPr>
      <w:r w:rsidR="00D33CB9">
        <w:rPr>
          <w:rFonts w:ascii="Times New Roman" w:hAnsi="Times New Roman"/>
          <w:color w:val="231F20"/>
          <w:u w:val="single"/>
        </w:rPr>
        <w:t>K</w:t>
      </w:r>
      <w:r w:rsidRPr="007B3CBA">
        <w:rPr>
          <w:rFonts w:ascii="Times New Roman" w:hAnsi="Times New Roman"/>
          <w:color w:val="231F20"/>
          <w:u w:val="single"/>
        </w:rPr>
        <w:t xml:space="preserve"> bodu </w:t>
      </w:r>
      <w:r w:rsidR="00A50446">
        <w:rPr>
          <w:rFonts w:ascii="Times New Roman" w:hAnsi="Times New Roman"/>
          <w:color w:val="231F20"/>
          <w:u w:val="single"/>
        </w:rPr>
        <w:t>13</w:t>
      </w:r>
    </w:p>
    <w:p w:rsidR="00D33CB9" w:rsidP="00D33CB9">
      <w:pPr>
        <w:bidi w:val="0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 xml:space="preserve">V nadväznosti na úpravu obsiahnutú v bode </w:t>
      </w:r>
      <w:r w:rsidR="004429C3">
        <w:rPr>
          <w:rFonts w:ascii="Times New Roman" w:hAnsi="Times New Roman"/>
          <w:color w:val="231F20"/>
        </w:rPr>
        <w:t>3</w:t>
      </w:r>
      <w:r>
        <w:rPr>
          <w:rFonts w:ascii="Times New Roman" w:hAnsi="Times New Roman"/>
          <w:color w:val="231F20"/>
        </w:rPr>
        <w:t xml:space="preserve"> sa rozširuje oprávnenie colníka použiť technické prostriedky na zabránenie odchodu dopravného prostriedku a na násilné zastavenie dopravného prostriedku aj o prípady, keď sa vodič pokúsi o násilné vniknutie do objektov </w:t>
      </w:r>
      <w:r w:rsidR="0049564C">
        <w:rPr>
          <w:rFonts w:ascii="Times New Roman" w:hAnsi="Times New Roman"/>
          <w:color w:val="231F20"/>
        </w:rPr>
        <w:t>strážených</w:t>
      </w:r>
      <w:r>
        <w:rPr>
          <w:rFonts w:ascii="Times New Roman" w:hAnsi="Times New Roman"/>
          <w:color w:val="231F20"/>
        </w:rPr>
        <w:t xml:space="preserve"> colníkmi</w:t>
      </w:r>
      <w:r w:rsidR="004429C3">
        <w:rPr>
          <w:rFonts w:ascii="Times New Roman" w:hAnsi="Times New Roman"/>
          <w:color w:val="231F20"/>
        </w:rPr>
        <w:t xml:space="preserve">, objektov finančnej správy alebo </w:t>
      </w:r>
      <w:r w:rsidR="006D1C7F">
        <w:rPr>
          <w:rFonts w:ascii="Times New Roman" w:hAnsi="Times New Roman"/>
          <w:color w:val="231F20"/>
        </w:rPr>
        <w:t xml:space="preserve">do </w:t>
      </w:r>
      <w:r w:rsidR="004429C3">
        <w:rPr>
          <w:rFonts w:ascii="Times New Roman" w:hAnsi="Times New Roman"/>
          <w:color w:val="231F20"/>
        </w:rPr>
        <w:t>objektov</w:t>
      </w:r>
      <w:r>
        <w:rPr>
          <w:rFonts w:ascii="Times New Roman" w:hAnsi="Times New Roman"/>
          <w:color w:val="231F20"/>
        </w:rPr>
        <w:t xml:space="preserve"> alebo na miesta, kde je vstup zakázaný. </w:t>
      </w:r>
    </w:p>
    <w:p w:rsidR="00D33CB9" w:rsidP="00D33CB9">
      <w:pPr>
        <w:bidi w:val="0"/>
        <w:jc w:val="both"/>
        <w:rPr>
          <w:rFonts w:ascii="Times New Roman" w:hAnsi="Times New Roman"/>
          <w:color w:val="231F20"/>
        </w:rPr>
      </w:pPr>
    </w:p>
    <w:p w:rsidR="00D33CB9" w:rsidP="00D33CB9">
      <w:pPr>
        <w:bidi w:val="0"/>
        <w:jc w:val="both"/>
        <w:rPr>
          <w:rFonts w:ascii="Times New Roman" w:hAnsi="Times New Roman"/>
          <w:color w:val="231F20"/>
          <w:u w:val="single"/>
        </w:rPr>
      </w:pPr>
      <w:r w:rsidRPr="00D33CB9">
        <w:rPr>
          <w:rFonts w:ascii="Times New Roman" w:hAnsi="Times New Roman"/>
          <w:color w:val="231F20"/>
          <w:u w:val="single"/>
        </w:rPr>
        <w:t>K</w:t>
      </w:r>
      <w:r>
        <w:rPr>
          <w:rFonts w:ascii="Times New Roman" w:hAnsi="Times New Roman"/>
          <w:color w:val="231F20"/>
          <w:u w:val="single"/>
        </w:rPr>
        <w:t> </w:t>
      </w:r>
      <w:r w:rsidRPr="00D33CB9">
        <w:rPr>
          <w:rFonts w:ascii="Times New Roman" w:hAnsi="Times New Roman"/>
          <w:color w:val="231F20"/>
          <w:u w:val="single"/>
        </w:rPr>
        <w:t>bod</w:t>
      </w:r>
      <w:r>
        <w:rPr>
          <w:rFonts w:ascii="Times New Roman" w:hAnsi="Times New Roman"/>
          <w:color w:val="231F20"/>
          <w:u w:val="single"/>
        </w:rPr>
        <w:t xml:space="preserve">om </w:t>
      </w:r>
      <w:r w:rsidR="004429C3">
        <w:rPr>
          <w:rFonts w:ascii="Times New Roman" w:hAnsi="Times New Roman"/>
          <w:color w:val="231F20"/>
          <w:u w:val="single"/>
        </w:rPr>
        <w:t>1</w:t>
      </w:r>
      <w:r w:rsidR="00A50446">
        <w:rPr>
          <w:rFonts w:ascii="Times New Roman" w:hAnsi="Times New Roman"/>
          <w:color w:val="231F20"/>
          <w:u w:val="single"/>
        </w:rPr>
        <w:t>4</w:t>
      </w:r>
      <w:r w:rsidR="00622752">
        <w:rPr>
          <w:rFonts w:ascii="Times New Roman" w:hAnsi="Times New Roman"/>
          <w:color w:val="231F20"/>
          <w:u w:val="single"/>
        </w:rPr>
        <w:t xml:space="preserve"> a 1</w:t>
      </w:r>
      <w:r w:rsidR="00A50446">
        <w:rPr>
          <w:rFonts w:ascii="Times New Roman" w:hAnsi="Times New Roman"/>
          <w:color w:val="231F20"/>
          <w:u w:val="single"/>
        </w:rPr>
        <w:t>5</w:t>
      </w:r>
    </w:p>
    <w:p w:rsidR="00F62045" w:rsidP="00F73A76">
      <w:pPr>
        <w:bidi w:val="0"/>
        <w:jc w:val="both"/>
        <w:rPr>
          <w:rFonts w:ascii="Times New Roman" w:hAnsi="Times New Roman"/>
          <w:color w:val="231F20"/>
        </w:rPr>
      </w:pPr>
      <w:r w:rsidR="00F73A76">
        <w:rPr>
          <w:rFonts w:ascii="Times New Roman" w:hAnsi="Times New Roman"/>
          <w:color w:val="231F20"/>
        </w:rPr>
        <w:t xml:space="preserve">Navrhovaná úprava nadväzuje na úpravu v bode </w:t>
      </w:r>
      <w:r w:rsidR="004429C3">
        <w:rPr>
          <w:rFonts w:ascii="Times New Roman" w:hAnsi="Times New Roman"/>
          <w:color w:val="231F20"/>
        </w:rPr>
        <w:t>3</w:t>
      </w:r>
      <w:r w:rsidR="0049564C">
        <w:rPr>
          <w:rFonts w:ascii="Times New Roman" w:hAnsi="Times New Roman"/>
          <w:color w:val="231F20"/>
        </w:rPr>
        <w:t xml:space="preserve">. </w:t>
      </w:r>
      <w:r w:rsidR="00C740F4">
        <w:rPr>
          <w:rFonts w:ascii="Times New Roman" w:hAnsi="Times New Roman"/>
          <w:color w:val="231F20"/>
        </w:rPr>
        <w:t xml:space="preserve">Rozširuje sa okruh situácií, v ktorých colník môže použiť </w:t>
      </w:r>
      <w:r w:rsidR="00B75214">
        <w:rPr>
          <w:rFonts w:ascii="Times New Roman" w:hAnsi="Times New Roman"/>
          <w:color w:val="231F20"/>
        </w:rPr>
        <w:t>zbraň alebo hrozbu jej použitia, resp. varovný výstrel.</w:t>
      </w:r>
      <w:r w:rsidR="004429C3">
        <w:rPr>
          <w:rFonts w:ascii="Times New Roman" w:hAnsi="Times New Roman"/>
          <w:color w:val="231F20"/>
        </w:rPr>
        <w:t xml:space="preserve"> </w:t>
      </w:r>
      <w:r w:rsidR="0049564C">
        <w:rPr>
          <w:rFonts w:ascii="Times New Roman" w:hAnsi="Times New Roman"/>
          <w:color w:val="231F20"/>
        </w:rPr>
        <w:t xml:space="preserve"> </w:t>
      </w:r>
    </w:p>
    <w:p w:rsidR="0049564C" w:rsidP="00F73A76">
      <w:pPr>
        <w:bidi w:val="0"/>
        <w:jc w:val="both"/>
        <w:rPr>
          <w:rFonts w:ascii="Times New Roman" w:hAnsi="Times New Roman"/>
          <w:color w:val="231F20"/>
        </w:rPr>
      </w:pPr>
    </w:p>
    <w:p w:rsidR="00F73A76" w:rsidRPr="00F62045" w:rsidP="00F73A76">
      <w:pPr>
        <w:bidi w:val="0"/>
        <w:jc w:val="both"/>
        <w:rPr>
          <w:rFonts w:ascii="Times New Roman" w:hAnsi="Times New Roman"/>
          <w:color w:val="231F20"/>
          <w:u w:val="single"/>
        </w:rPr>
      </w:pPr>
      <w:r w:rsidRPr="00F62045" w:rsidR="00F62045">
        <w:rPr>
          <w:rFonts w:ascii="Times New Roman" w:hAnsi="Times New Roman"/>
          <w:color w:val="231F20"/>
          <w:u w:val="single"/>
        </w:rPr>
        <w:t>K bodu 1</w:t>
      </w:r>
      <w:r w:rsidR="00A50446">
        <w:rPr>
          <w:rFonts w:ascii="Times New Roman" w:hAnsi="Times New Roman"/>
          <w:color w:val="231F20"/>
          <w:u w:val="single"/>
        </w:rPr>
        <w:t>6</w:t>
      </w:r>
      <w:r w:rsidRPr="00F62045">
        <w:rPr>
          <w:rFonts w:ascii="Times New Roman" w:hAnsi="Times New Roman"/>
          <w:color w:val="231F20"/>
          <w:u w:val="single"/>
        </w:rPr>
        <w:t xml:space="preserve">   </w:t>
      </w:r>
    </w:p>
    <w:p w:rsidR="00F73A76" w:rsidP="00F73A76">
      <w:pPr>
        <w:bidi w:val="0"/>
        <w:jc w:val="both"/>
        <w:rPr>
          <w:rFonts w:ascii="Times New Roman" w:hAnsi="Times New Roman"/>
          <w:color w:val="231F20"/>
        </w:rPr>
      </w:pPr>
      <w:r w:rsidR="00C740F4">
        <w:rPr>
          <w:rFonts w:ascii="Times New Roman" w:hAnsi="Times New Roman"/>
          <w:color w:val="231F20"/>
        </w:rPr>
        <w:t>Z</w:t>
      </w:r>
      <w:r w:rsidR="00F62045">
        <w:rPr>
          <w:rFonts w:ascii="Times New Roman" w:hAnsi="Times New Roman"/>
          <w:color w:val="231F20"/>
        </w:rPr>
        <w:t>akotv</w:t>
      </w:r>
      <w:r w:rsidR="00C740F4">
        <w:rPr>
          <w:rFonts w:ascii="Times New Roman" w:hAnsi="Times New Roman"/>
          <w:color w:val="231F20"/>
        </w:rPr>
        <w:t xml:space="preserve">ujú sa </w:t>
      </w:r>
      <w:r w:rsidR="00F62045">
        <w:rPr>
          <w:rFonts w:ascii="Times New Roman" w:hAnsi="Times New Roman"/>
          <w:color w:val="231F20"/>
        </w:rPr>
        <w:t>oprávnenia colníkov</w:t>
      </w:r>
      <w:r w:rsidR="009165FB">
        <w:rPr>
          <w:rFonts w:ascii="Times New Roman" w:hAnsi="Times New Roman"/>
          <w:color w:val="231F20"/>
        </w:rPr>
        <w:t xml:space="preserve"> súvisiace so zabezpečovaním ochrany strážených objektov</w:t>
      </w:r>
      <w:r w:rsidR="00167900">
        <w:rPr>
          <w:rFonts w:ascii="Times New Roman" w:hAnsi="Times New Roman"/>
          <w:color w:val="231F20"/>
        </w:rPr>
        <w:t>, ako je preverovanie oprávnenosti vstupu osôb do strážených objektov, kontrola týchto osôb, aby sa zistilo, či nemajú pri sebe zbraň alebo inú nedovolenú vec</w:t>
      </w:r>
      <w:r w:rsidR="00C740F4">
        <w:rPr>
          <w:rFonts w:ascii="Times New Roman" w:hAnsi="Times New Roman"/>
          <w:color w:val="231F20"/>
        </w:rPr>
        <w:t>. U</w:t>
      </w:r>
      <w:r w:rsidR="00167900">
        <w:rPr>
          <w:rFonts w:ascii="Times New Roman" w:hAnsi="Times New Roman"/>
          <w:color w:val="231F20"/>
        </w:rPr>
        <w:t xml:space="preserve">stanovujú </w:t>
      </w:r>
      <w:r w:rsidR="00C740F4">
        <w:rPr>
          <w:rFonts w:ascii="Times New Roman" w:hAnsi="Times New Roman"/>
          <w:color w:val="231F20"/>
        </w:rPr>
        <w:t xml:space="preserve">sa </w:t>
      </w:r>
      <w:r w:rsidR="00167900">
        <w:rPr>
          <w:rFonts w:ascii="Times New Roman" w:hAnsi="Times New Roman"/>
          <w:color w:val="231F20"/>
        </w:rPr>
        <w:t>podmienky na odňatie zbran</w:t>
      </w:r>
      <w:r w:rsidR="00D432A4">
        <w:rPr>
          <w:rFonts w:ascii="Times New Roman" w:hAnsi="Times New Roman"/>
          <w:color w:val="231F20"/>
        </w:rPr>
        <w:t>e</w:t>
      </w:r>
      <w:r w:rsidR="00167900">
        <w:rPr>
          <w:rFonts w:ascii="Times New Roman" w:hAnsi="Times New Roman"/>
          <w:color w:val="231F20"/>
        </w:rPr>
        <w:t xml:space="preserve"> alebo inej nedovolenej veci</w:t>
      </w:r>
      <w:r w:rsidR="00622752">
        <w:rPr>
          <w:rFonts w:ascii="Times New Roman" w:hAnsi="Times New Roman"/>
          <w:color w:val="231F20"/>
        </w:rPr>
        <w:t xml:space="preserve">, resp. dôvody, prečo nebude možné odňatú zbraň vrátiť (napr. absencia zbrojného preukazu). </w:t>
      </w:r>
      <w:r w:rsidR="00D432A4">
        <w:rPr>
          <w:rFonts w:ascii="Times New Roman" w:hAnsi="Times New Roman"/>
          <w:color w:val="231F20"/>
        </w:rPr>
        <w:t>Us</w:t>
      </w:r>
      <w:r w:rsidR="00774F52">
        <w:rPr>
          <w:rFonts w:ascii="Times New Roman" w:hAnsi="Times New Roman"/>
          <w:color w:val="231F20"/>
        </w:rPr>
        <w:t xml:space="preserve">tanovuje </w:t>
      </w:r>
      <w:r w:rsidR="00D432A4">
        <w:rPr>
          <w:rFonts w:ascii="Times New Roman" w:hAnsi="Times New Roman"/>
          <w:color w:val="231F20"/>
        </w:rPr>
        <w:t xml:space="preserve">sa </w:t>
      </w:r>
      <w:r w:rsidR="00774F52">
        <w:rPr>
          <w:rFonts w:ascii="Times New Roman" w:hAnsi="Times New Roman"/>
          <w:color w:val="231F20"/>
        </w:rPr>
        <w:t>výnimka na oprávnen</w:t>
      </w:r>
      <w:r w:rsidR="009165FB">
        <w:rPr>
          <w:rFonts w:ascii="Times New Roman" w:hAnsi="Times New Roman"/>
          <w:color w:val="231F20"/>
        </w:rPr>
        <w:t xml:space="preserve">ie colníka umožniť vstup </w:t>
      </w:r>
      <w:r w:rsidR="00774F52">
        <w:rPr>
          <w:rFonts w:ascii="Times New Roman" w:hAnsi="Times New Roman"/>
          <w:color w:val="231F20"/>
        </w:rPr>
        <w:t>do strážených objektov so zbraňou</w:t>
      </w:r>
      <w:r w:rsidR="009165FB">
        <w:rPr>
          <w:rFonts w:ascii="Times New Roman" w:hAnsi="Times New Roman"/>
          <w:color w:val="231F20"/>
        </w:rPr>
        <w:t xml:space="preserve"> pre vybrané kategórie osôb. </w:t>
      </w:r>
      <w:r w:rsidR="00167900">
        <w:rPr>
          <w:rFonts w:ascii="Times New Roman" w:hAnsi="Times New Roman"/>
          <w:color w:val="231F20"/>
        </w:rPr>
        <w:t xml:space="preserve"> </w:t>
      </w:r>
    </w:p>
    <w:p w:rsidR="00D432A4" w:rsidP="00F73A76">
      <w:pPr>
        <w:bidi w:val="0"/>
        <w:jc w:val="both"/>
        <w:rPr>
          <w:rFonts w:ascii="Times New Roman" w:hAnsi="Times New Roman"/>
          <w:color w:val="231F20"/>
        </w:rPr>
      </w:pPr>
    </w:p>
    <w:p w:rsidR="00D432A4" w:rsidP="00F73A76">
      <w:pPr>
        <w:bidi w:val="0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>Navrhuje sa, aby boli colníci oprávnení kontrolovať aj dopravné prostriedky, ktoré vchádzajú, resp. vychádzajú zo stráženého objektu.</w:t>
      </w:r>
    </w:p>
    <w:p w:rsidR="00D432A4" w:rsidP="00F73A76">
      <w:pPr>
        <w:bidi w:val="0"/>
        <w:jc w:val="both"/>
        <w:rPr>
          <w:rFonts w:ascii="Times New Roman" w:hAnsi="Times New Roman"/>
          <w:color w:val="231F20"/>
        </w:rPr>
      </w:pPr>
    </w:p>
    <w:p w:rsidR="00A41E9E" w:rsidP="00F73A76">
      <w:pPr>
        <w:bidi w:val="0"/>
        <w:jc w:val="both"/>
        <w:rPr>
          <w:rFonts w:ascii="Times New Roman" w:hAnsi="Times New Roman"/>
          <w:color w:val="231F20"/>
        </w:rPr>
      </w:pPr>
      <w:r w:rsidR="00D432A4">
        <w:rPr>
          <w:rFonts w:ascii="Times New Roman" w:hAnsi="Times New Roman"/>
          <w:color w:val="231F20"/>
        </w:rPr>
        <w:t>V prípade protiprávneho konania osoby, ktorá sa nachádza v stráženom objekte, bude colník oprávnený vykonať služobný zákrok s použitím donucovacích prostriedkov</w:t>
      </w:r>
      <w:r w:rsidR="0049564C">
        <w:rPr>
          <w:rFonts w:ascii="Times New Roman" w:hAnsi="Times New Roman"/>
          <w:color w:val="231F20"/>
        </w:rPr>
        <w:t xml:space="preserve">; </w:t>
      </w:r>
      <w:r>
        <w:rPr>
          <w:rFonts w:ascii="Times New Roman" w:hAnsi="Times New Roman"/>
          <w:color w:val="231F20"/>
        </w:rPr>
        <w:t>navrhované znenie upravuje podrobnosti o ďalšom postupe colníka.</w:t>
      </w:r>
    </w:p>
    <w:p w:rsidR="00A41E9E" w:rsidP="00F73A76">
      <w:pPr>
        <w:bidi w:val="0"/>
        <w:jc w:val="both"/>
        <w:rPr>
          <w:rFonts w:ascii="Times New Roman" w:hAnsi="Times New Roman"/>
          <w:color w:val="231F20"/>
        </w:rPr>
      </w:pPr>
    </w:p>
    <w:p w:rsidR="00FA291B" w:rsidRPr="007B3CBA" w:rsidP="00D72BD6">
      <w:pPr>
        <w:bidi w:val="0"/>
        <w:jc w:val="both"/>
        <w:rPr>
          <w:rFonts w:ascii="Times New Roman" w:hAnsi="Times New Roman"/>
          <w:b/>
          <w:color w:val="231F20"/>
        </w:rPr>
      </w:pPr>
      <w:r w:rsidRPr="007B3CBA" w:rsidR="009C6784">
        <w:rPr>
          <w:rFonts w:ascii="Times New Roman" w:hAnsi="Times New Roman"/>
          <w:b/>
          <w:bCs/>
          <w:color w:val="231F20"/>
        </w:rPr>
        <w:t>K čl. II</w:t>
      </w:r>
      <w:r w:rsidRPr="007B3CBA" w:rsidR="000D225E">
        <w:rPr>
          <w:rFonts w:ascii="Times New Roman" w:hAnsi="Times New Roman"/>
          <w:b/>
          <w:bCs/>
          <w:color w:val="231F20"/>
        </w:rPr>
        <w:t xml:space="preserve"> </w:t>
      </w:r>
    </w:p>
    <w:p w:rsidR="00FA291B" w:rsidP="00D72BD6">
      <w:pPr>
        <w:bidi w:val="0"/>
        <w:jc w:val="both"/>
        <w:rPr>
          <w:rFonts w:ascii="Times New Roman" w:hAnsi="Times New Roman"/>
          <w:color w:val="231F20"/>
        </w:rPr>
      </w:pPr>
      <w:r w:rsidRPr="00572ACD" w:rsidR="00572ACD">
        <w:rPr>
          <w:rFonts w:ascii="Times New Roman" w:hAnsi="Times New Roman"/>
          <w:color w:val="231F20"/>
        </w:rPr>
        <w:t xml:space="preserve">V súlade s čl. 868 </w:t>
      </w:r>
      <w:r w:rsidR="00B75214">
        <w:rPr>
          <w:rFonts w:ascii="Times New Roman" w:hAnsi="Times New Roman"/>
          <w:color w:val="231F20"/>
        </w:rPr>
        <w:t xml:space="preserve">ods. 1 </w:t>
      </w:r>
      <w:r w:rsidRPr="00572ACD" w:rsidR="00572ACD">
        <w:rPr>
          <w:rFonts w:ascii="Times New Roman" w:hAnsi="Times New Roman"/>
          <w:color w:val="231F20"/>
        </w:rPr>
        <w:t>nariadenia Komisie (EHS) č. 2454/93, ktorým sa vykonáva nariadenie Rady (EHS) č. 2913/92, ktorým sa ustanovuje Colný kódex spoločenstva, platné znenie § 57 Colného zákona ustanovuje výšku sumy cla, ktorú colné orgány nezapíšu do účtovnej evidencie na 2 eurá a v prípade cestovného styku alebo poštového styku na 1 euro. Dop</w:t>
      </w:r>
      <w:r w:rsidR="00B75214">
        <w:rPr>
          <w:rFonts w:ascii="Times New Roman" w:hAnsi="Times New Roman"/>
          <w:color w:val="231F20"/>
        </w:rPr>
        <w:t xml:space="preserve">ĺňa sa </w:t>
      </w:r>
      <w:r w:rsidRPr="00572ACD" w:rsidR="00572ACD">
        <w:rPr>
          <w:rFonts w:ascii="Times New Roman" w:hAnsi="Times New Roman"/>
          <w:color w:val="231F20"/>
        </w:rPr>
        <w:t>povinnos</w:t>
      </w:r>
      <w:r w:rsidR="00B75214">
        <w:rPr>
          <w:rFonts w:ascii="Times New Roman" w:hAnsi="Times New Roman"/>
          <w:color w:val="231F20"/>
        </w:rPr>
        <w:t>ť</w:t>
      </w:r>
      <w:r w:rsidRPr="00572ACD" w:rsidR="00572ACD">
        <w:rPr>
          <w:rFonts w:ascii="Times New Roman" w:hAnsi="Times New Roman"/>
          <w:color w:val="231F20"/>
        </w:rPr>
        <w:t xml:space="preserve"> colných orgánov nezapísať do účtovnej evidencie výšku sumy cla, ktorá neprekročí hodnotu zodpovedajúcu 5 eur v prípade, ak colný dlh vznikne iným spôsobom ako prijatím colného vyhlásenia (napr. v prípade, ak tovar unikol spod colného dohľadu</w:t>
      </w:r>
      <w:r w:rsidRPr="007201AB" w:rsidR="00572ACD">
        <w:rPr>
          <w:rFonts w:ascii="Times New Roman" w:hAnsi="Times New Roman"/>
          <w:color w:val="231F20"/>
        </w:rPr>
        <w:t>)</w:t>
      </w:r>
      <w:r w:rsidR="00B75214">
        <w:rPr>
          <w:rFonts w:ascii="Times New Roman" w:hAnsi="Times New Roman"/>
          <w:color w:val="231F20"/>
        </w:rPr>
        <w:t xml:space="preserve">. Zároveň sa osobitne, berúc do úvahy dikciu čl. 868 ods. 2 nariadenia </w:t>
      </w:r>
      <w:r w:rsidRPr="00572ACD" w:rsidR="00B75214">
        <w:rPr>
          <w:rFonts w:ascii="Times New Roman" w:hAnsi="Times New Roman"/>
          <w:color w:val="231F20"/>
        </w:rPr>
        <w:t>Komisie (EHS) č. 2454/93</w:t>
      </w:r>
      <w:r w:rsidR="00B75214">
        <w:rPr>
          <w:rFonts w:ascii="Times New Roman" w:hAnsi="Times New Roman"/>
          <w:color w:val="231F20"/>
        </w:rPr>
        <w:t xml:space="preserve">, upravujú zanedbateľné sumy dovozných platieb, ktoré sa do účtovnej evidencie nezapíšu pri dodatočnom vymeraní colného dlhu a daňovej povinnosti. </w:t>
      </w:r>
      <w:r w:rsidRPr="007201AB" w:rsidR="00BB49A8">
        <w:rPr>
          <w:rFonts w:ascii="Times New Roman" w:hAnsi="Times New Roman"/>
          <w:color w:val="231F20"/>
        </w:rPr>
        <w:t xml:space="preserve"> </w:t>
      </w:r>
      <w:r w:rsidR="00B75214">
        <w:rPr>
          <w:rFonts w:ascii="Times New Roman" w:hAnsi="Times New Roman"/>
          <w:color w:val="231F20"/>
        </w:rPr>
        <w:t xml:space="preserve">Navrhovanými úpravami </w:t>
      </w:r>
      <w:r w:rsidRPr="007201AB" w:rsidR="00572ACD">
        <w:rPr>
          <w:rFonts w:ascii="Times New Roman" w:hAnsi="Times New Roman"/>
          <w:color w:val="231F20"/>
        </w:rPr>
        <w:t>dôjde k zníženiu</w:t>
      </w:r>
      <w:r w:rsidRPr="00572ACD" w:rsidR="00572ACD">
        <w:rPr>
          <w:rFonts w:ascii="Times New Roman" w:hAnsi="Times New Roman"/>
          <w:color w:val="231F20"/>
        </w:rPr>
        <w:t xml:space="preserve"> administratívneho zaťaženia colných orgánov, keď výnosy z vybraných platieb nepokrývajú ani administratívne náklady spojené so samotným vymeraním a hlavne vymá</w:t>
      </w:r>
      <w:r w:rsidR="00572ACD">
        <w:rPr>
          <w:rFonts w:ascii="Times New Roman" w:hAnsi="Times New Roman"/>
          <w:color w:val="231F20"/>
        </w:rPr>
        <w:t>haním vymeraného colného dlhu.</w:t>
      </w:r>
    </w:p>
    <w:p w:rsidR="00572ACD" w:rsidRPr="007B3CBA" w:rsidP="00D72BD6">
      <w:pPr>
        <w:bidi w:val="0"/>
        <w:jc w:val="both"/>
        <w:rPr>
          <w:rFonts w:ascii="Times New Roman" w:hAnsi="Times New Roman"/>
          <w:color w:val="231F20"/>
        </w:rPr>
      </w:pPr>
    </w:p>
    <w:p w:rsidR="0090661E" w:rsidRPr="007B3CBA" w:rsidP="0090661E">
      <w:pPr>
        <w:autoSpaceDE w:val="0"/>
        <w:autoSpaceDN w:val="0"/>
        <w:bidi w:val="0"/>
        <w:adjustRightInd w:val="0"/>
        <w:rPr>
          <w:rFonts w:ascii="Times New Roman" w:hAnsi="Times New Roman"/>
          <w:b/>
          <w:bCs/>
          <w:color w:val="231F20"/>
        </w:rPr>
      </w:pPr>
      <w:r w:rsidRPr="007B3CBA">
        <w:rPr>
          <w:rFonts w:ascii="Times New Roman" w:hAnsi="Times New Roman"/>
          <w:b/>
          <w:bCs/>
          <w:color w:val="231F20"/>
        </w:rPr>
        <w:t>K čl. I</w:t>
      </w:r>
      <w:r w:rsidR="00572ACD">
        <w:rPr>
          <w:rFonts w:ascii="Times New Roman" w:hAnsi="Times New Roman"/>
          <w:b/>
          <w:bCs/>
          <w:color w:val="231F20"/>
        </w:rPr>
        <w:t>II</w:t>
      </w:r>
    </w:p>
    <w:p w:rsidR="00D72BD6" w:rsidP="00D72BD6">
      <w:pPr>
        <w:bidi w:val="0"/>
        <w:jc w:val="both"/>
        <w:rPr>
          <w:rFonts w:ascii="Times New Roman" w:hAnsi="Times New Roman"/>
          <w:color w:val="231F20"/>
        </w:rPr>
      </w:pPr>
      <w:r w:rsidRPr="007B3CBA" w:rsidR="009C6784">
        <w:rPr>
          <w:rFonts w:ascii="Times New Roman" w:hAnsi="Times New Roman"/>
          <w:color w:val="231F20"/>
        </w:rPr>
        <w:t>Navrhuje sa</w:t>
      </w:r>
      <w:r w:rsidRPr="007B3CBA" w:rsidR="005A5E4B">
        <w:rPr>
          <w:rFonts w:ascii="Times New Roman" w:hAnsi="Times New Roman"/>
          <w:color w:val="231F20"/>
        </w:rPr>
        <w:t xml:space="preserve">, aby zákon nadobudol účinnosť 1. </w:t>
      </w:r>
      <w:r w:rsidR="00572ACD">
        <w:rPr>
          <w:rFonts w:ascii="Times New Roman" w:hAnsi="Times New Roman"/>
          <w:color w:val="231F20"/>
        </w:rPr>
        <w:t>augusta</w:t>
      </w:r>
      <w:r w:rsidR="00DC5D89">
        <w:rPr>
          <w:rFonts w:ascii="Times New Roman" w:hAnsi="Times New Roman"/>
          <w:color w:val="231F20"/>
        </w:rPr>
        <w:t xml:space="preserve"> </w:t>
      </w:r>
      <w:r w:rsidRPr="007B3CBA" w:rsidR="009C6784">
        <w:rPr>
          <w:rFonts w:ascii="Times New Roman" w:hAnsi="Times New Roman"/>
          <w:color w:val="231F20"/>
        </w:rPr>
        <w:t>20</w:t>
      </w:r>
      <w:r w:rsidR="00572ACD">
        <w:rPr>
          <w:rFonts w:ascii="Times New Roman" w:hAnsi="Times New Roman"/>
          <w:color w:val="231F20"/>
        </w:rPr>
        <w:t>14</w:t>
      </w:r>
      <w:r w:rsidRPr="007B3CBA" w:rsidR="009C6784">
        <w:rPr>
          <w:rFonts w:ascii="Times New Roman" w:hAnsi="Times New Roman"/>
          <w:color w:val="231F20"/>
        </w:rPr>
        <w:t>.</w:t>
      </w:r>
    </w:p>
    <w:p w:rsidR="00D33CB9" w:rsidP="00D72BD6">
      <w:pPr>
        <w:bidi w:val="0"/>
        <w:jc w:val="both"/>
        <w:rPr>
          <w:rFonts w:ascii="Times New Roman" w:hAnsi="Times New Roman"/>
          <w:color w:val="231F20"/>
        </w:rPr>
      </w:pPr>
    </w:p>
    <w:p w:rsidR="000B4B34" w:rsidP="000B4B34">
      <w:pPr>
        <w:bidi w:val="0"/>
        <w:jc w:val="both"/>
        <w:rPr>
          <w:rFonts w:ascii="Times New Roman" w:hAnsi="Times New Roman"/>
        </w:rPr>
      </w:pPr>
    </w:p>
    <w:p w:rsidR="000B4B34" w:rsidP="000B4B3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Schválené na rokovaní vlády Slovenskej republiky dňa </w:t>
      </w:r>
      <w:r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:rsidR="000B4B34" w:rsidP="000B4B34">
      <w:pPr>
        <w:bidi w:val="0"/>
        <w:jc w:val="both"/>
        <w:rPr>
          <w:rFonts w:ascii="Times New Roman" w:hAnsi="Times New Roman"/>
        </w:rPr>
      </w:pPr>
    </w:p>
    <w:p w:rsidR="000B4B34" w:rsidP="000B4B34">
      <w:pPr>
        <w:bidi w:val="0"/>
        <w:jc w:val="both"/>
        <w:rPr>
          <w:rFonts w:ascii="Times New Roman" w:hAnsi="Times New Roman"/>
        </w:rPr>
      </w:pPr>
    </w:p>
    <w:p w:rsidR="000B4B34" w:rsidP="000B4B34">
      <w:pPr>
        <w:bidi w:val="0"/>
        <w:jc w:val="both"/>
        <w:rPr>
          <w:rFonts w:ascii="Times New Roman" w:hAnsi="Times New Roman"/>
        </w:rPr>
      </w:pPr>
    </w:p>
    <w:p w:rsidR="000B4B34" w:rsidP="000B4B34">
      <w:pPr>
        <w:bidi w:val="0"/>
        <w:jc w:val="both"/>
        <w:rPr>
          <w:rFonts w:ascii="Times New Roman" w:hAnsi="Times New Roman"/>
        </w:rPr>
      </w:pPr>
    </w:p>
    <w:p w:rsidR="000B4B34" w:rsidP="000B4B3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Robert Fico, v. r.</w:t>
      </w:r>
    </w:p>
    <w:p w:rsidR="000B4B34" w:rsidP="000B4B3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0B4B34" w:rsidP="000B4B34">
      <w:pPr>
        <w:bidi w:val="0"/>
        <w:jc w:val="center"/>
        <w:rPr>
          <w:rFonts w:ascii="Times New Roman" w:hAnsi="Times New Roman"/>
        </w:rPr>
      </w:pPr>
    </w:p>
    <w:p w:rsidR="000B4B34" w:rsidP="000B4B34">
      <w:pPr>
        <w:bidi w:val="0"/>
        <w:jc w:val="center"/>
        <w:rPr>
          <w:rFonts w:ascii="Times New Roman" w:hAnsi="Times New Roman"/>
        </w:rPr>
      </w:pPr>
    </w:p>
    <w:p w:rsidR="000B4B34" w:rsidP="000B4B34">
      <w:pPr>
        <w:bidi w:val="0"/>
        <w:jc w:val="center"/>
        <w:rPr>
          <w:rFonts w:ascii="Times New Roman" w:hAnsi="Times New Roman"/>
        </w:rPr>
      </w:pPr>
    </w:p>
    <w:p w:rsidR="000B4B34" w:rsidP="000B4B3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Peter Kažimír, v. r.</w:t>
      </w:r>
    </w:p>
    <w:p w:rsidR="00D33CB9" w:rsidP="000B4B34">
      <w:pPr>
        <w:bidi w:val="0"/>
        <w:jc w:val="center"/>
        <w:rPr>
          <w:rFonts w:ascii="Times New Roman" w:hAnsi="Times New Roman"/>
          <w:b/>
        </w:rPr>
      </w:pPr>
      <w:r w:rsidR="000B4B34">
        <w:rPr>
          <w:rFonts w:ascii="Times New Roman" w:hAnsi="Times New Roman"/>
        </w:rPr>
        <w:t>podpredseda vlády a minister financií Slovenskej republiky</w:t>
      </w:r>
    </w:p>
    <w:sectPr w:rsidSect="0030525F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321" w:rsidP="00C15D21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B4B34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7B332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22716D"/>
    <w:multiLevelType w:val="multilevel"/>
    <w:tmpl w:val="849E1BDC"/>
    <w:lvl w:ilvl="0">
      <w:start w:val="1"/>
      <w:numFmt w:val="bullet"/>
      <w:lvlText w:val="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32"/>
        </w:tabs>
        <w:ind w:left="173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52"/>
        </w:tabs>
        <w:ind w:left="2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72"/>
        </w:tabs>
        <w:ind w:left="3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92"/>
        </w:tabs>
        <w:ind w:left="38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12"/>
        </w:tabs>
        <w:ind w:left="4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32"/>
        </w:tabs>
        <w:ind w:left="5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52"/>
        </w:tabs>
        <w:ind w:left="60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72"/>
        </w:tabs>
        <w:ind w:left="6772" w:hanging="360"/>
      </w:pPr>
      <w:rPr>
        <w:rFonts w:ascii="Wingdings" w:hAnsi="Wingdings" w:hint="default"/>
      </w:rPr>
    </w:lvl>
  </w:abstractNum>
  <w:abstractNum w:abstractNumId="3">
    <w:nsid w:val="2C543CBB"/>
    <w:multiLevelType w:val="hybridMultilevel"/>
    <w:tmpl w:val="C9A6912C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  <w:rtl w:val="0"/>
        <w:cs w:val="0"/>
      </w:rPr>
    </w:lvl>
  </w:abstractNum>
  <w:abstractNum w:abstractNumId="4">
    <w:nsid w:val="3AD005DD"/>
    <w:multiLevelType w:val="hybridMultilevel"/>
    <w:tmpl w:val="2A30D5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64E6F8A"/>
    <w:multiLevelType w:val="multilevel"/>
    <w:tmpl w:val="BFC0D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Nor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pStyle w:val="Normal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pStyle w:val="Nor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pStyle w:val="Nor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pStyle w:val="Normal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pStyle w:val="Nor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pStyle w:val="Normal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73B2E6B"/>
    <w:multiLevelType w:val="hybridMultilevel"/>
    <w:tmpl w:val="8C48519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95F642B"/>
    <w:multiLevelType w:val="hybridMultilevel"/>
    <w:tmpl w:val="08F27E80"/>
    <w:lvl w:ilvl="0">
      <w:start w:val="0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0">
    <w:nsid w:val="64137BC4"/>
    <w:multiLevelType w:val="hybridMultilevel"/>
    <w:tmpl w:val="F06871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1">
    <w:nsid w:val="6A8F3BDB"/>
    <w:multiLevelType w:val="hybridMultilevel"/>
    <w:tmpl w:val="AD3C5E9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625AE5"/>
    <w:multiLevelType w:val="multilevel"/>
    <w:tmpl w:val="7FF8B1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3">
    <w:nsid w:val="6DE423BF"/>
    <w:multiLevelType w:val="hybridMultilevel"/>
    <w:tmpl w:val="D43A6D5E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4">
    <w:nsid w:val="75C674E5"/>
    <w:multiLevelType w:val="hybridMultilevel"/>
    <w:tmpl w:val="D1F2C29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10"/>
  </w:num>
  <w:num w:numId="10">
    <w:abstractNumId w:val="4"/>
  </w:num>
  <w:num w:numId="11">
    <w:abstractNumId w:val="7"/>
  </w:num>
  <w:num w:numId="12">
    <w:abstractNumId w:val="14"/>
  </w:num>
  <w:num w:numId="13">
    <w:abstractNumId w:val="11"/>
  </w:num>
  <w:num w:numId="14">
    <w:abstractNumId w:val="2"/>
  </w:num>
  <w:num w:numId="15">
    <w:abstractNumId w:val="12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731687"/>
    <w:rsid w:val="000031B7"/>
    <w:rsid w:val="00004C3A"/>
    <w:rsid w:val="00006926"/>
    <w:rsid w:val="00022D41"/>
    <w:rsid w:val="0002469B"/>
    <w:rsid w:val="000422B1"/>
    <w:rsid w:val="000426AA"/>
    <w:rsid w:val="0004351C"/>
    <w:rsid w:val="0006719F"/>
    <w:rsid w:val="0008457F"/>
    <w:rsid w:val="0008723D"/>
    <w:rsid w:val="000907AF"/>
    <w:rsid w:val="000B4B34"/>
    <w:rsid w:val="000B57BC"/>
    <w:rsid w:val="000B66C9"/>
    <w:rsid w:val="000C1AC9"/>
    <w:rsid w:val="000C6D0D"/>
    <w:rsid w:val="000D0641"/>
    <w:rsid w:val="000D225E"/>
    <w:rsid w:val="000D5519"/>
    <w:rsid w:val="000D6932"/>
    <w:rsid w:val="000E7CFA"/>
    <w:rsid w:val="000F06FB"/>
    <w:rsid w:val="000F087D"/>
    <w:rsid w:val="00106725"/>
    <w:rsid w:val="00106C88"/>
    <w:rsid w:val="00125D30"/>
    <w:rsid w:val="001301E4"/>
    <w:rsid w:val="0014410F"/>
    <w:rsid w:val="00145042"/>
    <w:rsid w:val="00146746"/>
    <w:rsid w:val="0015017E"/>
    <w:rsid w:val="00163380"/>
    <w:rsid w:val="00167900"/>
    <w:rsid w:val="00170D6C"/>
    <w:rsid w:val="001851DD"/>
    <w:rsid w:val="0018539A"/>
    <w:rsid w:val="001909B1"/>
    <w:rsid w:val="00192D06"/>
    <w:rsid w:val="001B7AF5"/>
    <w:rsid w:val="001F10A7"/>
    <w:rsid w:val="001F38ED"/>
    <w:rsid w:val="001F5623"/>
    <w:rsid w:val="00207723"/>
    <w:rsid w:val="00214DF0"/>
    <w:rsid w:val="00217C10"/>
    <w:rsid w:val="0022255D"/>
    <w:rsid w:val="00222F63"/>
    <w:rsid w:val="00236B2B"/>
    <w:rsid w:val="00242C43"/>
    <w:rsid w:val="00254032"/>
    <w:rsid w:val="0026363B"/>
    <w:rsid w:val="00275D2E"/>
    <w:rsid w:val="002824AA"/>
    <w:rsid w:val="00290EA1"/>
    <w:rsid w:val="0029181C"/>
    <w:rsid w:val="002951DA"/>
    <w:rsid w:val="0029600D"/>
    <w:rsid w:val="002A796E"/>
    <w:rsid w:val="002B089A"/>
    <w:rsid w:val="002B23A8"/>
    <w:rsid w:val="002D0BE0"/>
    <w:rsid w:val="002D26CE"/>
    <w:rsid w:val="002E52AA"/>
    <w:rsid w:val="002F6AB3"/>
    <w:rsid w:val="00301CA3"/>
    <w:rsid w:val="0030525F"/>
    <w:rsid w:val="00320E47"/>
    <w:rsid w:val="00332A13"/>
    <w:rsid w:val="00337EA4"/>
    <w:rsid w:val="00361767"/>
    <w:rsid w:val="00363BEC"/>
    <w:rsid w:val="00370B08"/>
    <w:rsid w:val="00371B1D"/>
    <w:rsid w:val="0038044C"/>
    <w:rsid w:val="00380D23"/>
    <w:rsid w:val="00384C09"/>
    <w:rsid w:val="003855B9"/>
    <w:rsid w:val="00387D69"/>
    <w:rsid w:val="00397ECD"/>
    <w:rsid w:val="003A038D"/>
    <w:rsid w:val="003B1976"/>
    <w:rsid w:val="003B5945"/>
    <w:rsid w:val="003C1052"/>
    <w:rsid w:val="003C509A"/>
    <w:rsid w:val="003E139D"/>
    <w:rsid w:val="003E188D"/>
    <w:rsid w:val="003E3779"/>
    <w:rsid w:val="003F4565"/>
    <w:rsid w:val="003F4759"/>
    <w:rsid w:val="00403B16"/>
    <w:rsid w:val="00410F95"/>
    <w:rsid w:val="0041311F"/>
    <w:rsid w:val="004137CF"/>
    <w:rsid w:val="004148C8"/>
    <w:rsid w:val="00421DD4"/>
    <w:rsid w:val="0042290E"/>
    <w:rsid w:val="004346DF"/>
    <w:rsid w:val="00436CA5"/>
    <w:rsid w:val="0044268D"/>
    <w:rsid w:val="004429C3"/>
    <w:rsid w:val="00443388"/>
    <w:rsid w:val="00455DAB"/>
    <w:rsid w:val="00457729"/>
    <w:rsid w:val="00462DB6"/>
    <w:rsid w:val="00467D21"/>
    <w:rsid w:val="00472934"/>
    <w:rsid w:val="00480F5B"/>
    <w:rsid w:val="00483C0C"/>
    <w:rsid w:val="00494EFD"/>
    <w:rsid w:val="0049564C"/>
    <w:rsid w:val="004A6E3E"/>
    <w:rsid w:val="004C02F4"/>
    <w:rsid w:val="004C574F"/>
    <w:rsid w:val="004D782E"/>
    <w:rsid w:val="004E222A"/>
    <w:rsid w:val="004E3B3E"/>
    <w:rsid w:val="004F11B0"/>
    <w:rsid w:val="004F19C6"/>
    <w:rsid w:val="004F4127"/>
    <w:rsid w:val="004F62F4"/>
    <w:rsid w:val="00507ECB"/>
    <w:rsid w:val="00510AB6"/>
    <w:rsid w:val="005227B3"/>
    <w:rsid w:val="00523DF8"/>
    <w:rsid w:val="005535D1"/>
    <w:rsid w:val="00572ACD"/>
    <w:rsid w:val="00587BAB"/>
    <w:rsid w:val="005933C8"/>
    <w:rsid w:val="005A43A3"/>
    <w:rsid w:val="005A5E4B"/>
    <w:rsid w:val="005B0D8D"/>
    <w:rsid w:val="005B0F2B"/>
    <w:rsid w:val="005B121E"/>
    <w:rsid w:val="005D7F72"/>
    <w:rsid w:val="005E04AE"/>
    <w:rsid w:val="005E0CC3"/>
    <w:rsid w:val="005E325B"/>
    <w:rsid w:val="005F670F"/>
    <w:rsid w:val="006005E2"/>
    <w:rsid w:val="006007D4"/>
    <w:rsid w:val="00601C70"/>
    <w:rsid w:val="00602EAE"/>
    <w:rsid w:val="00610D06"/>
    <w:rsid w:val="00611F4C"/>
    <w:rsid w:val="00615A25"/>
    <w:rsid w:val="006202DB"/>
    <w:rsid w:val="00622752"/>
    <w:rsid w:val="00627A92"/>
    <w:rsid w:val="00641518"/>
    <w:rsid w:val="00642574"/>
    <w:rsid w:val="006561E5"/>
    <w:rsid w:val="006624D8"/>
    <w:rsid w:val="00662B0A"/>
    <w:rsid w:val="00672AE7"/>
    <w:rsid w:val="006763C3"/>
    <w:rsid w:val="00676F4D"/>
    <w:rsid w:val="00680702"/>
    <w:rsid w:val="006827D6"/>
    <w:rsid w:val="00693E9A"/>
    <w:rsid w:val="00697DCE"/>
    <w:rsid w:val="006A7189"/>
    <w:rsid w:val="006D1C7F"/>
    <w:rsid w:val="006F1E25"/>
    <w:rsid w:val="00703E59"/>
    <w:rsid w:val="007101AD"/>
    <w:rsid w:val="007201AB"/>
    <w:rsid w:val="007220EF"/>
    <w:rsid w:val="00731687"/>
    <w:rsid w:val="00731895"/>
    <w:rsid w:val="0076228F"/>
    <w:rsid w:val="00774F52"/>
    <w:rsid w:val="007750EB"/>
    <w:rsid w:val="007757AA"/>
    <w:rsid w:val="00776F84"/>
    <w:rsid w:val="007771C5"/>
    <w:rsid w:val="00787274"/>
    <w:rsid w:val="00791EF2"/>
    <w:rsid w:val="007A2256"/>
    <w:rsid w:val="007A2B80"/>
    <w:rsid w:val="007B3321"/>
    <w:rsid w:val="007B3CBA"/>
    <w:rsid w:val="007C33EC"/>
    <w:rsid w:val="007D36B8"/>
    <w:rsid w:val="007D5434"/>
    <w:rsid w:val="008057F7"/>
    <w:rsid w:val="00805C01"/>
    <w:rsid w:val="0080725A"/>
    <w:rsid w:val="00821453"/>
    <w:rsid w:val="008235C4"/>
    <w:rsid w:val="008359E0"/>
    <w:rsid w:val="00842A2C"/>
    <w:rsid w:val="008439E1"/>
    <w:rsid w:val="0085075C"/>
    <w:rsid w:val="00854FF0"/>
    <w:rsid w:val="008668AE"/>
    <w:rsid w:val="0087458F"/>
    <w:rsid w:val="00884DC7"/>
    <w:rsid w:val="008852DE"/>
    <w:rsid w:val="0088784F"/>
    <w:rsid w:val="008925F2"/>
    <w:rsid w:val="008974A0"/>
    <w:rsid w:val="008A6B3E"/>
    <w:rsid w:val="008C39A9"/>
    <w:rsid w:val="008C492A"/>
    <w:rsid w:val="008F1B73"/>
    <w:rsid w:val="009003BE"/>
    <w:rsid w:val="0090389B"/>
    <w:rsid w:val="00905C2B"/>
    <w:rsid w:val="0090661E"/>
    <w:rsid w:val="009165FB"/>
    <w:rsid w:val="00943399"/>
    <w:rsid w:val="00950267"/>
    <w:rsid w:val="00953E78"/>
    <w:rsid w:val="009546F2"/>
    <w:rsid w:val="00964479"/>
    <w:rsid w:val="009670E1"/>
    <w:rsid w:val="0097160E"/>
    <w:rsid w:val="00972182"/>
    <w:rsid w:val="00972262"/>
    <w:rsid w:val="00973525"/>
    <w:rsid w:val="00975D6D"/>
    <w:rsid w:val="0097738A"/>
    <w:rsid w:val="0097790E"/>
    <w:rsid w:val="00985518"/>
    <w:rsid w:val="00996A38"/>
    <w:rsid w:val="00997F40"/>
    <w:rsid w:val="009A386B"/>
    <w:rsid w:val="009A4EC3"/>
    <w:rsid w:val="009B20D6"/>
    <w:rsid w:val="009B213E"/>
    <w:rsid w:val="009B22E5"/>
    <w:rsid w:val="009B3CCA"/>
    <w:rsid w:val="009B4A31"/>
    <w:rsid w:val="009C6784"/>
    <w:rsid w:val="009C6817"/>
    <w:rsid w:val="009E32A5"/>
    <w:rsid w:val="009F11EA"/>
    <w:rsid w:val="009F3622"/>
    <w:rsid w:val="00A0375E"/>
    <w:rsid w:val="00A10830"/>
    <w:rsid w:val="00A138FB"/>
    <w:rsid w:val="00A16C02"/>
    <w:rsid w:val="00A1763E"/>
    <w:rsid w:val="00A32B66"/>
    <w:rsid w:val="00A33A31"/>
    <w:rsid w:val="00A41788"/>
    <w:rsid w:val="00A41E9E"/>
    <w:rsid w:val="00A427C5"/>
    <w:rsid w:val="00A50446"/>
    <w:rsid w:val="00A66FCC"/>
    <w:rsid w:val="00A73956"/>
    <w:rsid w:val="00AA1C66"/>
    <w:rsid w:val="00AB115C"/>
    <w:rsid w:val="00AB70E3"/>
    <w:rsid w:val="00AD17FA"/>
    <w:rsid w:val="00AE5E87"/>
    <w:rsid w:val="00AE6ACB"/>
    <w:rsid w:val="00AE76BB"/>
    <w:rsid w:val="00AF3ADF"/>
    <w:rsid w:val="00AF6BFE"/>
    <w:rsid w:val="00AF6C04"/>
    <w:rsid w:val="00AF720E"/>
    <w:rsid w:val="00B02117"/>
    <w:rsid w:val="00B333D4"/>
    <w:rsid w:val="00B3461E"/>
    <w:rsid w:val="00B378AC"/>
    <w:rsid w:val="00B44962"/>
    <w:rsid w:val="00B465C7"/>
    <w:rsid w:val="00B54539"/>
    <w:rsid w:val="00B60960"/>
    <w:rsid w:val="00B70F76"/>
    <w:rsid w:val="00B75214"/>
    <w:rsid w:val="00B8455C"/>
    <w:rsid w:val="00B96933"/>
    <w:rsid w:val="00B971C2"/>
    <w:rsid w:val="00BA1C63"/>
    <w:rsid w:val="00BA1DBF"/>
    <w:rsid w:val="00BA743C"/>
    <w:rsid w:val="00BB49A8"/>
    <w:rsid w:val="00BC0467"/>
    <w:rsid w:val="00BC0679"/>
    <w:rsid w:val="00BD4FCE"/>
    <w:rsid w:val="00BE3D9B"/>
    <w:rsid w:val="00BF2679"/>
    <w:rsid w:val="00C03729"/>
    <w:rsid w:val="00C06AE5"/>
    <w:rsid w:val="00C15D21"/>
    <w:rsid w:val="00C21E7A"/>
    <w:rsid w:val="00C31CE9"/>
    <w:rsid w:val="00C53271"/>
    <w:rsid w:val="00C5676D"/>
    <w:rsid w:val="00C63451"/>
    <w:rsid w:val="00C66ADE"/>
    <w:rsid w:val="00C740F4"/>
    <w:rsid w:val="00CB2A85"/>
    <w:rsid w:val="00CB3D96"/>
    <w:rsid w:val="00CB6ED5"/>
    <w:rsid w:val="00CB7740"/>
    <w:rsid w:val="00CD6DF7"/>
    <w:rsid w:val="00CD7326"/>
    <w:rsid w:val="00CE044F"/>
    <w:rsid w:val="00CF3ACC"/>
    <w:rsid w:val="00D026A1"/>
    <w:rsid w:val="00D20A15"/>
    <w:rsid w:val="00D272E4"/>
    <w:rsid w:val="00D33CB9"/>
    <w:rsid w:val="00D432A4"/>
    <w:rsid w:val="00D527AE"/>
    <w:rsid w:val="00D60483"/>
    <w:rsid w:val="00D67E4E"/>
    <w:rsid w:val="00D72BD6"/>
    <w:rsid w:val="00D82DA9"/>
    <w:rsid w:val="00DA37ED"/>
    <w:rsid w:val="00DA460A"/>
    <w:rsid w:val="00DA65E5"/>
    <w:rsid w:val="00DB046F"/>
    <w:rsid w:val="00DB4ED1"/>
    <w:rsid w:val="00DB7283"/>
    <w:rsid w:val="00DC1C22"/>
    <w:rsid w:val="00DC446A"/>
    <w:rsid w:val="00DC462D"/>
    <w:rsid w:val="00DC5D89"/>
    <w:rsid w:val="00DF5981"/>
    <w:rsid w:val="00E014D7"/>
    <w:rsid w:val="00E12761"/>
    <w:rsid w:val="00E301E0"/>
    <w:rsid w:val="00E31D40"/>
    <w:rsid w:val="00E40E9B"/>
    <w:rsid w:val="00E45084"/>
    <w:rsid w:val="00E502F1"/>
    <w:rsid w:val="00E52E82"/>
    <w:rsid w:val="00E56BB7"/>
    <w:rsid w:val="00E66003"/>
    <w:rsid w:val="00E739F7"/>
    <w:rsid w:val="00E813EB"/>
    <w:rsid w:val="00E92791"/>
    <w:rsid w:val="00E93B98"/>
    <w:rsid w:val="00E95129"/>
    <w:rsid w:val="00EA547D"/>
    <w:rsid w:val="00EB3B67"/>
    <w:rsid w:val="00EB62BB"/>
    <w:rsid w:val="00EC4043"/>
    <w:rsid w:val="00EC46C3"/>
    <w:rsid w:val="00ED21A6"/>
    <w:rsid w:val="00EE20B0"/>
    <w:rsid w:val="00EF6CA2"/>
    <w:rsid w:val="00EF79EB"/>
    <w:rsid w:val="00F063FF"/>
    <w:rsid w:val="00F06432"/>
    <w:rsid w:val="00F10E8A"/>
    <w:rsid w:val="00F15BB3"/>
    <w:rsid w:val="00F203D4"/>
    <w:rsid w:val="00F273B3"/>
    <w:rsid w:val="00F45241"/>
    <w:rsid w:val="00F62045"/>
    <w:rsid w:val="00F738F7"/>
    <w:rsid w:val="00F73A76"/>
    <w:rsid w:val="00F73CEA"/>
    <w:rsid w:val="00F75B02"/>
    <w:rsid w:val="00F8764B"/>
    <w:rsid w:val="00FA291B"/>
    <w:rsid w:val="00FA4BB1"/>
    <w:rsid w:val="00FA7578"/>
    <w:rsid w:val="00FB4904"/>
    <w:rsid w:val="00FB570E"/>
    <w:rsid w:val="00FB694B"/>
    <w:rsid w:val="00FC7087"/>
    <w:rsid w:val="00FD23F3"/>
    <w:rsid w:val="00FF5B76"/>
    <w:rsid w:val="00FF6A4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46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aliases w:val="Char Char1 Char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rsid w:val="00D72BD6"/>
    <w:pPr>
      <w:spacing w:after="120"/>
      <w:ind w:left="283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72BD6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72BD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D72BD6"/>
    <w:pPr>
      <w:jc w:val="center"/>
    </w:pPr>
    <w:rPr>
      <w:b/>
      <w:bCs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sid w:val="00776F84"/>
    <w:rPr>
      <w:rFonts w:cs="Times New Roman"/>
      <w:b/>
      <w:bCs/>
      <w:sz w:val="24"/>
      <w:szCs w:val="24"/>
      <w:rtl w:val="0"/>
      <w:cs w:val="0"/>
      <w:lang w:val="sk-SK" w:eastAsia="cs-CZ"/>
    </w:rPr>
  </w:style>
  <w:style w:type="character" w:styleId="Emphasis">
    <w:name w:val="Emphasis"/>
    <w:basedOn w:val="DefaultParagraphFont"/>
    <w:uiPriority w:val="20"/>
    <w:qFormat/>
    <w:rsid w:val="00D72BD6"/>
    <w:rPr>
      <w:rFonts w:cs="Times New Roman"/>
      <w:i/>
      <w:iCs/>
      <w:rtl w:val="0"/>
      <w:cs w:val="0"/>
    </w:rPr>
  </w:style>
  <w:style w:type="paragraph" w:customStyle="1" w:styleId="TEXT">
    <w:name w:val="TEXT"/>
    <w:basedOn w:val="Normal"/>
    <w:uiPriority w:val="99"/>
    <w:rsid w:val="00D72BD6"/>
    <w:pPr>
      <w:jc w:val="both"/>
    </w:pPr>
    <w:rPr>
      <w:color w:val="000000"/>
    </w:rPr>
  </w:style>
  <w:style w:type="paragraph" w:customStyle="1" w:styleId="nariadenia">
    <w:name w:val="nariadenia"/>
    <w:basedOn w:val="Normal"/>
    <w:uiPriority w:val="99"/>
    <w:rsid w:val="00D72BD6"/>
    <w:pPr>
      <w:ind w:left="567" w:hanging="567"/>
      <w:jc w:val="both"/>
    </w:pPr>
    <w:rPr>
      <w:color w:val="000000"/>
    </w:rPr>
  </w:style>
  <w:style w:type="paragraph" w:customStyle="1" w:styleId="BODY">
    <w:name w:val="BODY"/>
    <w:basedOn w:val="Normal"/>
    <w:uiPriority w:val="99"/>
    <w:rsid w:val="00D72BD6"/>
    <w:pPr>
      <w:jc w:val="left"/>
    </w:pPr>
    <w:rPr>
      <w:b/>
      <w:bCs/>
      <w:color w:val="000000"/>
    </w:rPr>
  </w:style>
  <w:style w:type="paragraph" w:customStyle="1" w:styleId="CharChar1">
    <w:name w:val="Char Char1"/>
    <w:basedOn w:val="Normal"/>
    <w:uiPriority w:val="99"/>
    <w:rsid w:val="00192D06"/>
    <w:pPr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paragraph" w:customStyle="1" w:styleId="1Char">
    <w:name w:val="1 Char"/>
    <w:basedOn w:val="Normal"/>
    <w:uiPriority w:val="99"/>
    <w:rsid w:val="00BC0467"/>
    <w:pPr>
      <w:jc w:val="left"/>
    </w:pPr>
    <w:rPr>
      <w:lang w:val="pl-PL" w:eastAsia="pl-PL"/>
    </w:rPr>
  </w:style>
  <w:style w:type="paragraph" w:styleId="Footer">
    <w:name w:val="footer"/>
    <w:basedOn w:val="Normal"/>
    <w:link w:val="PtaChar"/>
    <w:uiPriority w:val="99"/>
    <w:rsid w:val="0030525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30525F"/>
    <w:rPr>
      <w:rFonts w:cs="Times New Roman"/>
      <w:rtl w:val="0"/>
      <w:cs w:val="0"/>
    </w:rPr>
  </w:style>
  <w:style w:type="paragraph" w:customStyle="1" w:styleId="Zkladntext1">
    <w:name w:val="Základní text1"/>
    <w:uiPriority w:val="99"/>
    <w:rsid w:val="00C06AE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4148C8"/>
    <w:pPr>
      <w:ind w:left="708"/>
      <w:jc w:val="left"/>
    </w:pPr>
  </w:style>
  <w:style w:type="paragraph" w:customStyle="1" w:styleId="Zkladntext">
    <w:name w:val="Základní text"/>
    <w:aliases w:val="Základný text Char Char"/>
    <w:rsid w:val="003C509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harChar11">
    <w:name w:val="Char Char11"/>
    <w:basedOn w:val="Normal"/>
    <w:uiPriority w:val="99"/>
    <w:rsid w:val="003C509A"/>
    <w:pPr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3B1976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3B1976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F38E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F38ED"/>
    <w:rPr>
      <w:rFonts w:ascii="Tahoma" w:hAnsi="Tahoma" w:cs="Tahoma"/>
      <w:sz w:val="16"/>
      <w:szCs w:val="16"/>
      <w:rtl w:val="0"/>
      <w:cs w:val="0"/>
    </w:rPr>
  </w:style>
  <w:style w:type="paragraph" w:customStyle="1" w:styleId="Zkladntext0">
    <w:name w:val="Zkladn text"/>
    <w:rsid w:val="00EF79EB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0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6</Pages>
  <Words>1460</Words>
  <Characters>8326</Characters>
  <Application>Microsoft Office Word</Application>
  <DocSecurity>0</DocSecurity>
  <Lines>0</Lines>
  <Paragraphs>0</Paragraphs>
  <ScaleCrop>false</ScaleCrop>
  <Company>mfsr</Company>
  <LinksUpToDate>false</LinksUpToDate>
  <CharactersWithSpaces>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ibittnerova</dc:creator>
  <cp:lastModifiedBy>Marekova Janka</cp:lastModifiedBy>
  <cp:revision>19</cp:revision>
  <cp:lastPrinted>2014-03-03T13:48:00Z</cp:lastPrinted>
  <dcterms:created xsi:type="dcterms:W3CDTF">2014-02-28T09:35:00Z</dcterms:created>
  <dcterms:modified xsi:type="dcterms:W3CDTF">2014-04-16T11:21:00Z</dcterms:modified>
</cp:coreProperties>
</file>