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89332D" w:rsidP="008B25A6">
      <w:pPr>
        <w:widowControl/>
        <w:bidi w:val="0"/>
        <w:jc w:val="center"/>
        <w:rPr>
          <w:rFonts w:ascii="Times New Roman" w:hAnsi="Times New Roman"/>
          <w:b/>
          <w:caps/>
          <w:color w:val="000000"/>
          <w:spacing w:val="30"/>
        </w:rPr>
      </w:pPr>
      <w:r w:rsidRPr="0089332D">
        <w:rPr>
          <w:rFonts w:ascii="Times New Roman" w:hAnsi="Times New Roman"/>
          <w:b/>
          <w:caps/>
          <w:color w:val="000000"/>
          <w:spacing w:val="30"/>
        </w:rPr>
        <w:t>Dôvodová správa</w:t>
      </w:r>
    </w:p>
    <w:p w:rsidR="008B25A6" w:rsidRPr="0089332D" w:rsidP="008B25A6">
      <w:pPr>
        <w:widowControl/>
        <w:bidi w:val="0"/>
        <w:jc w:val="both"/>
        <w:rPr>
          <w:rFonts w:ascii="Times New Roman" w:hAnsi="Times New Roman"/>
          <w:color w:val="000000"/>
        </w:rPr>
      </w:pPr>
    </w:p>
    <w:p w:rsidR="008B25A6" w:rsidRPr="0089332D" w:rsidP="008B25A6">
      <w:pPr>
        <w:widowControl/>
        <w:bidi w:val="0"/>
        <w:jc w:val="both"/>
        <w:rPr>
          <w:rFonts w:ascii="Times New Roman" w:hAnsi="Times New Roman"/>
          <w:color w:val="000000"/>
        </w:rPr>
      </w:pPr>
    </w:p>
    <w:p w:rsidR="008B25A6" w:rsidRPr="0089332D" w:rsidP="008B25A6">
      <w:pPr>
        <w:widowControl/>
        <w:bidi w:val="0"/>
        <w:jc w:val="both"/>
        <w:rPr>
          <w:rFonts w:ascii="Times New Roman" w:hAnsi="Times New Roman"/>
          <w:b/>
          <w:color w:val="000000"/>
        </w:rPr>
      </w:pPr>
      <w:r w:rsidRPr="0089332D">
        <w:rPr>
          <w:rFonts w:ascii="Times New Roman" w:hAnsi="Times New Roman"/>
          <w:b/>
          <w:color w:val="000000"/>
        </w:rPr>
        <w:t>A. Všeobecná časť</w:t>
      </w:r>
    </w:p>
    <w:p w:rsidR="008B25A6" w:rsidRPr="0089332D" w:rsidP="008B25A6">
      <w:pPr>
        <w:widowControl/>
        <w:bidi w:val="0"/>
        <w:jc w:val="both"/>
        <w:rPr>
          <w:rFonts w:ascii="Times New Roman" w:hAnsi="Times New Roman"/>
          <w:color w:val="000000"/>
        </w:rPr>
      </w:pPr>
    </w:p>
    <w:p w:rsidR="008B25A6" w:rsidRPr="0089332D">
      <w:pPr>
        <w:widowControl/>
        <w:bidi w:val="0"/>
        <w:ind w:firstLine="708"/>
        <w:jc w:val="both"/>
        <w:rPr>
          <w:rFonts w:ascii="Times New Roman" w:hAnsi="Times New Roman"/>
          <w:color w:val="000000"/>
        </w:rPr>
      </w:pPr>
      <w:r w:rsidRPr="0089332D" w:rsidR="00C0489E">
        <w:rPr>
          <w:rStyle w:val="PlaceholderText"/>
          <w:color w:val="000000"/>
        </w:rPr>
        <w:t xml:space="preserve">V súvislosti so vstupom Slovenskej republiky do Európskej únie nadobudol 1. mája 2004 účinnosť zákon č. 222/2004 Z. z. o dani z pridanej hodnoty, ktorý vychádza z právnych predpisov Európskych spoločenstiev upravujúcich uplatňovanie tejto dane. Ide predovšetkým o sekundárnu legislatívu Európskych spoločenstiev, konkrétne smernicu Rady 2006/112/ES z 28. novembra 2006 o spoločnom systéme dane z pridanej hodnoty v znení jej zmien a doplnkov, ktorá je základnou smernicou upravujúcou uplatňovanie dane z pridanej hodnoty v Európskej únii. </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Zámerom novely zákona o DPH je prebrať do slovenskej právnej úpravy čl. 5 smernice Rady 2008/8/ES z 12. februára 2008, ktorou sa mení a dopĺňa smernica 2006/112/ES, pokiaľ ide o miesto poskytovania služieb. Uvedená smernica stanovila ako všeobecné pravidlo miesta poskytnutia služieb nezdaniteľným osobám miesto, kde má poskytovateľ zriadené sídlo, prípadne prevádzkareň. S cieľom dosiahnuť zdanenie v mieste skutočnej spotreby sa pri určitých typoch služieb uplatňuje osobitná výnimka z tohto pravidla. Jedna z takýchto výnimiek sa vzťahuje na poskytovanie telekomunikačných služieb, služieb rozhlasového a televízneho  vysielania a elektronických služieb. Ak sa tieto služby budú poskytovať nezdaniteľným osobám, od 1. januára 2015 bude miestom ich dodania miesto, kde má nezdaniteľná osoba sídlo, bydlisko alebo miesto, kde sa obvykle zdržiava.</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 xml:space="preserve">Novelou zákona o DPH sa v tejto súvislosti rozširuje vecná a personálna pôsobnosť osobitnej úpravy nazvanej odbornou verejnosťou ako tzv. mini one-stop-shop. Kým v súčasnosti sa táto úprava využíva výhradne len pre elektronické služby poskytované poskytovateľmi neusadenými na území Európskej únie, pretváranie vnútorného trhu, globalizácia, deregulácia a technologické zmeny vyústili do potreby od 1. januára 2015 rozšíriť jej použitie aj na telekomunikačné služby a služby rozhlasového a televízneho  vysielania. Z hľadiska personálnej pôsobnosti bude využívanie tejto úpravy rozšírené aj pre poskytovateľov usadených na území Európskej únie, nie však v členskom štáte, kde je miesto dodania týchto služieb (tzv. členský štát spotreby). </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Využívanie tejto úpravy nie je povinné, ale dobrovoľné. Ak si ju však poskytovateľ zvolí, je povinný uplatniť ju na všetky telekomunikačné služby, služby rozhlasového a televízneho vysielania a elektronické služby, ktoré na území Európskej únie poskytuje. Najväčšou výhodou využívania tejto úpravy je zbavenie sa administratívnej záťaže v podobe povinnosti poskytovateľa týchto služieb registrovať sa v každom členskom štáte spotreby. To znamená, že poskytovatelia usadení aj neusadení na území Európskej únie, ktorí budú poskytovať telekomunikačné služby,  služby rozhlasového a televízneho vysielania a elektronické služby zákazníkom na území Európskej únie, sa nebudú musieť komplikovane registrovať pre daň z pridanej hodnoty vo všetkých členských štátoch, kde sú usadení ich zákazníci a kde je miesto dodania týchto služieb. Svoju povinnosť priznať a uhradiť daň, ktorá prislúcha členskému štátu spotreby, si splnia poskytovatelia využívajúci túto úpravu prostredníctvom jedného daňového priznania podaného cez elektronický portál v členskom štáte, kde sa identifikujú pre využívanie tejto úpravy (tzv. členský štát identifikácie).</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 xml:space="preserve">Daňové priznanie sa bude podávať štvrťročne v členskom štáte identifikácie elektronickými prostriedkami, pričom s jeho podaním bude spojená aj povinnosť uhradiť splatnú daň. Členský štát identifikácie odošle elektronickými prostriedkami daňové priznanie spolu s uhradenou sumou dane tomu členskému štátu spotreby, ktorému táto daň patrí.  </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Niektoré pravidlá využívania tejto úpravy sa líšia v závislosti od toho, či poskytovateľ týchto služieb je zdaniteľnou osobou usadenou v Európskej únii, to znamená, že má v niektorom z členských štátov sídlo alebo prevádzkareň (úprava pre osoby usadené v EÚ), alebo je považovaný za zdaniteľnú osobu neusadenú na území Európskej únie, pretože nemá v žiadnom z členských štátov sídlo alebo prevádzkareň (úprava pre osoby neusadené v EÚ).</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Kým napríklad proces podávania daňových priznaní, úhrady splatnej dane, vedenia a uchovávania záznamov je pre obidve úpravy zhodný, proces registrácie, vrátane prideľovania identifikačných čísel, a postupy vrátenia dane uplatnenej pri nákupe tovarov a služieb súvisiacich s uplatňovaním týchto úprav sú pre úpravu pre osoby usadené v EÚ a úpravu pre osoby neusadené v EÚ odlišné.</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 xml:space="preserve">Rozdiely vyplývajú najmä z toho, že úprava pre osoby usadené v EÚ je určená pre tých poskytovateľov telekomunikačných služieb, služieb rozhlasového a televízneho vysielania a elektronických služieb, ktorí majú v niektorom z členských štátov Európskej únie sídlo, prípadne prevádzkareň. Títo poskytovatelia si musia zvoliť povinne za členský štát identifikácie ten štát, v ktorom majú sídlo. Ak však sídlo na území Európskej únie nemajú, ale napríklad majú na území viacerých členských štátov prevádzkarne, môžu si za členský štát identifikácie zvoliť hociktorý členský štát, v ktorom majú prevádzkareň. Členský štát nemusí takéhoto poskytovateľa identifikovať nanovo, ale použije identifikačné číslo pre daň, ktoré mu už predtým pridelil. Hoci sa uvádza, že ak sa poskytovateľ rozhodne využívať túto úpravu, je povinný do nej zahrnúť všetky telekomunikačné služby, služby rozhlasového a televízneho vysielania a elektronické služby, ktoré zákazníkom na území Európskej únie poskytne, úprava pre osoby usadené v EÚ poskytovateľovi neumožňuje využiť ju v tých členských štátoch, v ktorých má sídlo alebo prevádzkareň a ktoré sú zároveň členským štátom spotreby. To znamená, že ak poskytovateľ, ktorého členským štátom identifikácie je tuzemsko, pretože tu má sídlo svojej ekonomickej činnosti, poskytne telekomunikačné služby, služby rozhlasového a televízneho vysielania a elektronické služby nezdaniteľným osobám v tuzemsku, zahrnie ich do riadneho daňového priznania, ktoré podáva v tuzemsku. </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Na druhej strane úprava pre osoby neusadené v EÚ prikazuje členským štátom takýchto poskytovateľov identifikovať pridelením osobitného čísla. Keďže na území Európskej únie nie sú usadení, pretože tu nemajú sídlo alebo prevádzkareň, do daňového priznania, podaného v členskom štáte identifikácie, zahrnú poskytnutie všetkých elektronických služieb, telekomunikačných služieb a služieb rozhlasového a televízneho vysielania na území Európskej únie, vrátane členského štátu identifikácie.</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Kým poskytovatelia v rámci úpravy pre osoby usadené v EÚ postupujú pri žiadostiach o vrátenie dane z tovarov a služieb dodaných v členskom štáte spotreby cez tzv. refundačný mechanizmus vrátenia dane pre osoby z iných členských štátov, poskytovatelia v rámci úpravy pre osoby neusadené v EÚ tak robia cez existujúci systém vrátenia dane pre osoby z tretích štátov.</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Novela zákona o DPH stanovuje základné pravidlá využívania úpravy pre osoby usadené v EÚ a úpravy pre osoby neusadené v EÚ, tak ako je uvedené v čl. 5 smernice Rady 2008/8/ES, ktorou sa mení a dopĺňa smernica Rady 2006/112/ES, pokiaľ ide o miesto poskytovania služieb. Podrobné postupy pre využívanie oboch úprav sú uvedené v súvisiacich právnych predpisoch, ktorými sú:</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 nariadenie Rady (EÚ) č. 904/2010 zo 7. októbra 2010 o administratívnej spolupráci a boji proti podvodom v oblasti dane z pridanej hodnoty (prepracované znenie),</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 xml:space="preserve">- nariadenie Rady (EÚ) č. 967/2012 z 9. októbra 2012, ktorým sa mení a dopĺňa vykonávacie nariadenie (EÚ) č. 282/2011, pokiaľ ide o osobitné úpravy pre neusadené zdaniteľné osoby, ktoré poskytujú telekomunikačné služby, služby rozhlasového a televízneho vysielania alebo elektronické služby nezdaniteľným osobám, </w:t>
      </w:r>
    </w:p>
    <w:p w:rsidR="00C0489E" w:rsidRPr="0089332D">
      <w:pPr>
        <w:widowControl/>
        <w:bidi w:val="0"/>
        <w:ind w:firstLine="708"/>
        <w:jc w:val="both"/>
        <w:rPr>
          <w:rStyle w:val="PlaceholderText"/>
          <w:color w:val="000000"/>
        </w:rPr>
      </w:pPr>
      <w:r w:rsidRPr="0089332D">
        <w:rPr>
          <w:rStyle w:val="PlaceholderText"/>
          <w:color w:val="000000"/>
        </w:rPr>
        <w:t xml:space="preserve">- vykonávacie nariadenie Komisie (EÚ) č. 815/2012 z 13. septembra 2012, ktorým sa ustanovujú podrobné pravidlá uplatňovania nariadenia Rady (EÚ) č. 904/2010, pokiaľ ide o osobitné úpravy pre neusadené zdaniteľné osoby, ktoré poskytujú telekomunikačné služby, služby rozhlasového a televízneho vysielania alebo elektronické služby nezdaniteľným osobám. </w:t>
      </w:r>
    </w:p>
    <w:p w:rsidR="00C0489E" w:rsidRPr="0089332D">
      <w:pPr>
        <w:widowControl/>
        <w:bidi w:val="0"/>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Účinnosť novely zákona o DPH sa navrhuje od 1. januára 2015, s výnimkou ustanovenia upravujúceho obdobie, za ktoré sa podáva súhrnný výkaz, a s výnimkou ustanovení upravujúcich prijímanie žiadostí a vydávanie povolení pre využívanie úpravy pre osoby usadené v EÚ a úpravy pre osoby neusadené v EÚ, ktoré musia byť účinné od 1. októbra 2014.</w:t>
      </w:r>
    </w:p>
    <w:p w:rsidR="00C0489E" w:rsidRPr="0089332D">
      <w:pPr>
        <w:widowControl/>
        <w:bidi w:val="0"/>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 xml:space="preserve">Podľa platného znenia zákona o používaní elektronickej registračnej pokladnice môže domácemu podnikateľovi prideliť daňový kód elektronickej registračnej pokladnice len miestne príslušný daňový úrad a zahraničnému podnikateľovi môže prideliť daňový kód elektronickej registračnej pokladnice ktorýkoľvek daňový úrad. V záujme operatívnejšej registrácie elektronickej registračnej pokladnice u domácich a aj zahraničných podnikateľov sa novelou zákona o používaní elektronickej registračnej pokladnice navrhuje, aby daňový kód elektronickej registračnej pokladnice mohol prideliť ktorýkoľvek daňový úrad. Zároveň sa z technicko-organizačných dôvodov navrhuje, aby sa pokuty ukladali na mieste alebo v lehote do piatich pracovných dní. Pri zistení porušenia povinností sa bude vyhotovovať zápisnica z miestneho zisťovania. </w:t>
      </w:r>
    </w:p>
    <w:p w:rsidR="00C0489E" w:rsidRPr="0089332D">
      <w:pPr>
        <w:widowControl/>
        <w:bidi w:val="0"/>
        <w:ind w:firstLine="708"/>
        <w:jc w:val="both"/>
        <w:rPr>
          <w:rStyle w:val="PlaceholderText"/>
          <w:color w:val="000000"/>
        </w:rPr>
      </w:pPr>
      <w:r w:rsidRPr="0089332D">
        <w:rPr>
          <w:rStyle w:val="PlaceholderText"/>
          <w:color w:val="000000"/>
        </w:rPr>
        <w:t>Navrhovanou novelou daňového poriadku sa z dôvodu zabezpečenia flexibility daňovej kontroly navrhuje, aby správca dane počas daňovej kontroly mohol vyhotoviť čiastkový protokol, na základe ktorého by napr. vrátil preverenú časť nadmerného odpočtu ešte pred ukončením daňovej kontroly. S cieľom zlepšiť podnikateľské prostredie sa navrhuje skrátiť sledované obdobie, v ktorom je platiteľ dane z pridanej hodnoty v zozname zverejnený, z dvanásť mesiacov na šesť mesiacov.</w:t>
      </w:r>
    </w:p>
    <w:p w:rsidR="00C0489E" w:rsidRPr="0089332D">
      <w:pPr>
        <w:widowControl/>
        <w:bidi w:val="0"/>
        <w:ind w:firstLine="708"/>
        <w:jc w:val="both"/>
        <w:rPr>
          <w:rStyle w:val="PlaceholderText"/>
          <w:color w:val="000000"/>
        </w:rPr>
      </w:pPr>
      <w:r w:rsidRPr="0089332D">
        <w:rPr>
          <w:rStyle w:val="PlaceholderText"/>
          <w:color w:val="000000"/>
        </w:rPr>
        <w:t>Navrhovanými novelami zákona o spotrebnej dani z alkoholických nápojov a zákona o spotrebnej dani z tabakových výrobkov sa transponuje smernica Rady 2013/61/EÚ, ktorou sa mení územná pôsobnosť smernice Rady 2008/118/ES, a spresňujú sa niektoré ustanovenia upravujúce objednávanie a používanie kontrolných známok odberateľom kontrolných známok.</w:t>
      </w:r>
    </w:p>
    <w:p w:rsidR="00C0489E" w:rsidRPr="0089332D">
      <w:pPr>
        <w:widowControl/>
        <w:bidi w:val="0"/>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Dopady návrhu zákona na rozpočet verejnej správy, na podnikateľské prostredie, na sociálne prostredie, vplyv na životné prostredie a vplyv na informatizáciu spoločnosti sú uvedené v doložke vybraných vplyvov.</w:t>
      </w:r>
    </w:p>
    <w:p w:rsidR="00C0489E" w:rsidRPr="0089332D">
      <w:pPr>
        <w:widowControl/>
        <w:bidi w:val="0"/>
        <w:jc w:val="both"/>
        <w:rPr>
          <w:rStyle w:val="PlaceholderText"/>
          <w:color w:val="000000"/>
        </w:rPr>
      </w:pPr>
      <w:r w:rsidRPr="0089332D">
        <w:rPr>
          <w:rStyle w:val="PlaceholderText"/>
          <w:color w:val="000000"/>
        </w:rPr>
        <w:t> </w:t>
      </w:r>
    </w:p>
    <w:p w:rsidR="00C0489E" w:rsidRPr="0089332D">
      <w:pPr>
        <w:widowControl/>
        <w:bidi w:val="0"/>
        <w:ind w:firstLine="708"/>
        <w:jc w:val="both"/>
        <w:rPr>
          <w:rStyle w:val="PlaceholderText"/>
          <w:color w:val="000000"/>
        </w:rPr>
      </w:pPr>
      <w:r w:rsidRPr="0089332D">
        <w:rPr>
          <w:rStyle w:val="PlaceholderText"/>
          <w:color w:val="000000"/>
        </w:rPr>
        <w:t xml:space="preserve">Predkladaný návrh zákona nebude mať vplyv na rozpočty obcí a vyšších územných celkov. </w:t>
      </w:r>
    </w:p>
    <w:p w:rsidR="00C0489E" w:rsidRPr="0089332D">
      <w:pPr>
        <w:widowControl/>
        <w:bidi w:val="0"/>
        <w:ind w:firstLine="708"/>
        <w:jc w:val="both"/>
        <w:rPr>
          <w:rStyle w:val="PlaceholderText"/>
          <w:color w:val="000000"/>
        </w:rPr>
      </w:pPr>
      <w:r w:rsidRPr="0089332D">
        <w:rPr>
          <w:rStyle w:val="PlaceholderText"/>
          <w:color w:val="000000"/>
        </w:rPr>
        <w:t> </w:t>
      </w:r>
    </w:p>
    <w:p w:rsidR="00C0489E" w:rsidRPr="0089332D" w:rsidP="001544A7">
      <w:pPr>
        <w:widowControl/>
        <w:bidi w:val="0"/>
        <w:ind w:firstLine="708"/>
        <w:jc w:val="both"/>
        <w:rPr>
          <w:rStyle w:val="PlaceholderText"/>
          <w:color w:val="000000"/>
        </w:rPr>
      </w:pPr>
      <w:r w:rsidRPr="0089332D">
        <w:rPr>
          <w:rStyle w:val="PlaceholderText"/>
          <w:color w:val="000000"/>
        </w:rPr>
        <w:t>Predkladaný návrh zákona je v súlade s Ústavou Slovenskej republiky a inými právnymi predpismi, medzinárodnými zmluvami a dokumentmi, ktorými je Slovenská republika viazaná, ako aj v súlade s právom Európskej únie.</w:t>
      </w:r>
    </w:p>
    <w:p w:rsidR="00C0489E" w:rsidRPr="0089332D" w:rsidP="001544A7">
      <w:pPr>
        <w:widowControl/>
        <w:bidi w:val="0"/>
        <w:rPr>
          <w:rStyle w:val="PlaceholderText"/>
          <w:color w:val="000000"/>
        </w:rPr>
      </w:pPr>
      <w:r w:rsidRPr="0089332D">
        <w:rPr>
          <w:rStyle w:val="PlaceholderText"/>
          <w:color w:val="000000"/>
        </w:rPr>
        <w:t> </w:t>
      </w:r>
    </w:p>
    <w:p w:rsidR="0089332D" w:rsidRPr="0089332D" w:rsidP="001544A7">
      <w:pPr>
        <w:bidi w:val="0"/>
        <w:jc w:val="center"/>
        <w:rPr>
          <w:rFonts w:ascii="Times New Roman" w:hAnsi="Times New Roman"/>
          <w:b/>
          <w:bCs/>
          <w:color w:val="000000"/>
        </w:rPr>
      </w:pPr>
      <w:r w:rsidRPr="0089332D">
        <w:rPr>
          <w:rFonts w:ascii="Times New Roman" w:hAnsi="Times New Roman"/>
          <w:b/>
          <w:bCs/>
          <w:color w:val="000000"/>
        </w:rPr>
        <w:t>Doložka vybraných vplyvov</w:t>
      </w:r>
    </w:p>
    <w:p w:rsidR="0089332D" w:rsidRPr="0089332D" w:rsidP="0089332D">
      <w:pPr>
        <w:bidi w:val="0"/>
        <w:jc w:val="center"/>
        <w:rPr>
          <w:rFonts w:ascii="Times New Roman" w:hAnsi="Times New Roman"/>
          <w:b/>
          <w:bCs/>
          <w:color w:val="000000"/>
          <w:spacing w:val="30"/>
        </w:rPr>
      </w:pPr>
    </w:p>
    <w:p w:rsidR="0089332D" w:rsidRPr="0089332D" w:rsidP="0089332D">
      <w:pPr>
        <w:bidi w:val="0"/>
        <w:jc w:val="both"/>
        <w:rPr>
          <w:rFonts w:ascii="Times New Roman" w:hAnsi="Times New Roman"/>
        </w:rPr>
      </w:pPr>
      <w:r w:rsidRPr="0089332D">
        <w:rPr>
          <w:rFonts w:ascii="Times New Roman" w:hAnsi="Times New Roman"/>
          <w:b/>
          <w:bCs/>
          <w:color w:val="000000"/>
        </w:rPr>
        <w:t>A.1. Názov materiálu:</w:t>
      </w:r>
      <w:r w:rsidRPr="0089332D">
        <w:rPr>
          <w:rFonts w:ascii="Times New Roman" w:hAnsi="Times New Roman"/>
          <w:bCs/>
          <w:color w:val="000000"/>
        </w:rPr>
        <w:t xml:space="preserve"> N</w:t>
      </w:r>
      <w:r w:rsidRPr="0089332D">
        <w:rPr>
          <w:rFonts w:ascii="Times New Roman" w:hAnsi="Times New Roman"/>
        </w:rPr>
        <w:t>ávrh zákona, ktorým sa mení a dopĺňa zákon č. 222/2004 Z. z. o dani z pridanej hodnoty v znení neskorších predpisov a ktorým sa menia a dopĺňajú niektoré zákony.</w:t>
      </w:r>
    </w:p>
    <w:p w:rsidR="0089332D" w:rsidRPr="0089332D" w:rsidP="0089332D">
      <w:pPr>
        <w:bidi w:val="0"/>
        <w:jc w:val="both"/>
        <w:rPr>
          <w:rFonts w:ascii="Times New Roman" w:hAnsi="Times New Roman"/>
          <w:b/>
          <w:bCs/>
          <w:color w:val="000000"/>
        </w:rPr>
      </w:pPr>
      <w:r w:rsidRPr="0089332D">
        <w:rPr>
          <w:rFonts w:ascii="Times New Roman" w:hAnsi="Times New Roman"/>
          <w:b/>
          <w:bCs/>
          <w:color w:val="000000"/>
        </w:rPr>
        <w:t xml:space="preserve">        Termín začatia a ukončenia PPK:</w:t>
      </w:r>
      <w:r w:rsidRPr="0089332D">
        <w:rPr>
          <w:rFonts w:ascii="Times New Roman" w:hAnsi="Times New Roman"/>
          <w:color w:val="000000"/>
        </w:rPr>
        <w:t xml:space="preserve"> od           do </w:t>
      </w:r>
    </w:p>
    <w:p w:rsidR="0089332D" w:rsidRPr="0089332D" w:rsidP="0089332D">
      <w:pPr>
        <w:bidi w:val="0"/>
        <w:jc w:val="both"/>
        <w:rPr>
          <w:rFonts w:ascii="Times New Roman" w:hAnsi="Times New Roman"/>
          <w:b/>
          <w:bCs/>
          <w:color w:val="000000"/>
        </w:rPr>
      </w:pPr>
    </w:p>
    <w:p w:rsidR="0089332D" w:rsidRPr="0089332D" w:rsidP="0089332D">
      <w:pPr>
        <w:bidi w:val="0"/>
        <w:jc w:val="both"/>
        <w:rPr>
          <w:rFonts w:ascii="Times New Roman" w:hAnsi="Times New Roman"/>
          <w:b/>
          <w:bCs/>
          <w:color w:val="000000"/>
        </w:rPr>
      </w:pPr>
      <w:r w:rsidRPr="0089332D">
        <w:rPr>
          <w:rFonts w:ascii="Times New Roman" w:hAnsi="Times New Roman"/>
          <w:b/>
          <w:bCs/>
          <w:color w:val="000000"/>
        </w:rPr>
        <w:t>A.2. Vplyvy:</w:t>
      </w:r>
    </w:p>
    <w:p w:rsidR="0089332D" w:rsidRPr="0089332D" w:rsidP="0089332D">
      <w:pPr>
        <w:bidi w:val="0"/>
        <w:jc w:val="both"/>
        <w:rPr>
          <w:rFonts w:ascii="Times New Roman" w:hAnsi="Times New Roman"/>
          <w:b/>
          <w:bCs/>
          <w:color w:val="000000"/>
        </w:rPr>
      </w:pP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7"/>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r w:rsidRPr="0089332D">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r w:rsidRPr="0089332D">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r w:rsidRPr="0089332D">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rPr>
                <w:rFonts w:ascii="Times New Roman" w:hAnsi="Times New Roman"/>
                <w:color w:val="000000"/>
              </w:rPr>
            </w:pPr>
            <w:r w:rsidRPr="0089332D">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r w:rsidRPr="0089332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r w:rsidRPr="0089332D">
              <w:rPr>
                <w:rFonts w:ascii="Times New Roman" w:hAnsi="Times New Roman"/>
                <w:color w:val="000000"/>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rPr>
                <w:rFonts w:ascii="Times New Roman" w:hAnsi="Times New Roman"/>
                <w:color w:val="000000"/>
              </w:rPr>
            </w:pPr>
            <w:r w:rsidRPr="0089332D">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r w:rsidRPr="0089332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rPr>
                <w:rFonts w:ascii="Times New Roman" w:hAnsi="Times New Roman"/>
                <w:color w:val="000000"/>
              </w:rPr>
            </w:pPr>
            <w:r w:rsidRPr="0089332D">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r w:rsidRPr="0089332D">
              <w:rPr>
                <w:rFonts w:ascii="Times New Roman" w:hAnsi="Times New Roman"/>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rPr>
                <w:rFonts w:ascii="Times New Roman" w:hAnsi="Times New Roman"/>
                <w:color w:val="000000"/>
              </w:rPr>
            </w:pPr>
            <w:r w:rsidRPr="0089332D">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rPr>
                <w:rFonts w:ascii="Times New Roman" w:hAnsi="Times New Roman"/>
                <w:color w:val="000000"/>
              </w:rPr>
            </w:pPr>
            <w:r w:rsidRPr="0089332D">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rPr>
                <w:rFonts w:ascii="Times New Roman" w:hAnsi="Times New Roman"/>
                <w:color w:val="000000"/>
              </w:rPr>
            </w:pPr>
            <w:r w:rsidRPr="0089332D">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rPr>
                <w:rFonts w:ascii="Times New Roman" w:hAnsi="Times New Roman"/>
                <w:color w:val="000000"/>
              </w:rPr>
            </w:pPr>
            <w:r w:rsidRPr="0089332D">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r w:rsidRPr="0089332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rPr>
                <w:rFonts w:ascii="Times New Roman" w:hAnsi="Times New Roman"/>
                <w:color w:val="000000"/>
              </w:rPr>
            </w:pPr>
            <w:r w:rsidRPr="0089332D">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r w:rsidRPr="0089332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9332D" w:rsidRPr="0089332D" w:rsidP="00DE6B1D">
            <w:pPr>
              <w:bidi w:val="0"/>
              <w:spacing w:after="0" w:line="240" w:lineRule="auto"/>
              <w:jc w:val="center"/>
              <w:rPr>
                <w:rFonts w:ascii="Times New Roman" w:hAnsi="Times New Roman"/>
                <w:color w:val="000000"/>
              </w:rPr>
            </w:pPr>
          </w:p>
        </w:tc>
      </w:tr>
    </w:tbl>
    <w:p w:rsidR="0089332D" w:rsidRPr="0089332D" w:rsidP="0089332D">
      <w:pPr>
        <w:bidi w:val="0"/>
        <w:rPr>
          <w:rFonts w:ascii="Times New Roman" w:hAnsi="Times New Roman"/>
          <w:color w:val="000000"/>
        </w:rPr>
      </w:pPr>
      <w:r w:rsidRPr="0089332D">
        <w:rPr>
          <w:rFonts w:ascii="Times New Roman" w:hAnsi="Times New Roman"/>
          <w:color w:val="000000"/>
        </w:rPr>
        <w:t> </w:t>
      </w:r>
    </w:p>
    <w:p w:rsidR="0089332D" w:rsidRPr="0089332D" w:rsidP="0089332D">
      <w:pPr>
        <w:bidi w:val="0"/>
        <w:jc w:val="both"/>
        <w:rPr>
          <w:rFonts w:ascii="Times New Roman" w:hAnsi="Times New Roman"/>
          <w:b/>
          <w:bCs/>
          <w:color w:val="000000"/>
        </w:rPr>
      </w:pPr>
    </w:p>
    <w:p w:rsidR="0089332D" w:rsidRPr="0089332D" w:rsidP="0089332D">
      <w:pPr>
        <w:bidi w:val="0"/>
        <w:jc w:val="both"/>
        <w:rPr>
          <w:rFonts w:ascii="Times New Roman" w:hAnsi="Times New Roman"/>
          <w:b/>
          <w:bCs/>
          <w:color w:val="000000"/>
        </w:rPr>
      </w:pPr>
      <w:r w:rsidRPr="0089332D">
        <w:rPr>
          <w:rFonts w:ascii="Times New Roman" w:hAnsi="Times New Roman"/>
          <w:b/>
          <w:bCs/>
          <w:color w:val="000000"/>
        </w:rPr>
        <w:t>A.3. Poznámky</w:t>
      </w:r>
    </w:p>
    <w:p w:rsidR="0089332D" w:rsidRPr="0089332D" w:rsidP="0089332D">
      <w:pPr>
        <w:bidi w:val="0"/>
        <w:jc w:val="both"/>
        <w:rPr>
          <w:rFonts w:ascii="Times New Roman" w:hAnsi="Times New Roman"/>
          <w:color w:val="000000"/>
        </w:rPr>
      </w:pPr>
      <w:r w:rsidRPr="0089332D">
        <w:rPr>
          <w:rFonts w:ascii="Times New Roman" w:hAnsi="Times New Roman"/>
          <w:color w:val="000000"/>
        </w:rPr>
        <w:t> </w:t>
      </w:r>
    </w:p>
    <w:p w:rsidR="0089332D" w:rsidRPr="0089332D" w:rsidP="0089332D">
      <w:pPr>
        <w:bidi w:val="0"/>
        <w:jc w:val="both"/>
        <w:rPr>
          <w:rFonts w:ascii="Times New Roman" w:hAnsi="Times New Roman"/>
          <w:i/>
          <w:color w:val="000000"/>
        </w:rPr>
      </w:pPr>
      <w:r w:rsidRPr="0089332D">
        <w:rPr>
          <w:rFonts w:ascii="Times New Roman" w:hAnsi="Times New Roman"/>
          <w:i/>
          <w:color w:val="000000"/>
        </w:rPr>
        <w:t>bezpredmetné</w:t>
      </w:r>
    </w:p>
    <w:p w:rsidR="0089332D" w:rsidRPr="0089332D" w:rsidP="0089332D">
      <w:pPr>
        <w:bidi w:val="0"/>
        <w:jc w:val="both"/>
        <w:rPr>
          <w:rFonts w:ascii="Times New Roman" w:hAnsi="Times New Roman"/>
          <w:i/>
          <w:iCs/>
          <w:color w:val="000000"/>
        </w:rPr>
      </w:pPr>
      <w:r w:rsidRPr="0089332D">
        <w:rPr>
          <w:rFonts w:ascii="Times New Roman" w:hAnsi="Times New Roman"/>
          <w:i/>
          <w:iCs/>
          <w:color w:val="000000"/>
        </w:rPr>
        <w:t xml:space="preserve">      </w:t>
      </w:r>
    </w:p>
    <w:p w:rsidR="0089332D" w:rsidRPr="0089332D" w:rsidP="0089332D">
      <w:pPr>
        <w:bidi w:val="0"/>
        <w:jc w:val="both"/>
        <w:rPr>
          <w:rFonts w:ascii="Times New Roman" w:hAnsi="Times New Roman"/>
          <w:b/>
          <w:bCs/>
          <w:color w:val="000000"/>
        </w:rPr>
      </w:pPr>
      <w:r w:rsidRPr="0089332D">
        <w:rPr>
          <w:rFonts w:ascii="Times New Roman" w:hAnsi="Times New Roman"/>
          <w:b/>
          <w:bCs/>
          <w:color w:val="000000"/>
        </w:rPr>
        <w:t>A.4. Alternatívne riešenia</w:t>
      </w:r>
    </w:p>
    <w:p w:rsidR="0089332D" w:rsidRPr="0089332D" w:rsidP="0089332D">
      <w:pPr>
        <w:bidi w:val="0"/>
        <w:jc w:val="both"/>
        <w:rPr>
          <w:rFonts w:ascii="Times New Roman" w:hAnsi="Times New Roman"/>
          <w:b/>
          <w:bCs/>
          <w:color w:val="000000"/>
        </w:rPr>
      </w:pPr>
      <w:r w:rsidRPr="0089332D">
        <w:rPr>
          <w:rFonts w:ascii="Times New Roman" w:hAnsi="Times New Roman"/>
          <w:color w:val="000000"/>
        </w:rPr>
        <w:t> </w:t>
      </w:r>
    </w:p>
    <w:p w:rsidR="0089332D" w:rsidRPr="0089332D" w:rsidP="0089332D">
      <w:pPr>
        <w:bidi w:val="0"/>
        <w:jc w:val="both"/>
        <w:rPr>
          <w:rFonts w:ascii="Times New Roman" w:hAnsi="Times New Roman"/>
          <w:i/>
          <w:color w:val="000000"/>
        </w:rPr>
      </w:pPr>
      <w:r w:rsidRPr="0089332D">
        <w:rPr>
          <w:rFonts w:ascii="Times New Roman" w:hAnsi="Times New Roman"/>
          <w:i/>
          <w:color w:val="000000"/>
        </w:rPr>
        <w:t>bezpredmetné</w:t>
      </w:r>
    </w:p>
    <w:p w:rsidR="0089332D" w:rsidRPr="0089332D" w:rsidP="0089332D">
      <w:pPr>
        <w:bidi w:val="0"/>
        <w:jc w:val="both"/>
        <w:rPr>
          <w:rFonts w:ascii="Times New Roman" w:hAnsi="Times New Roman"/>
          <w:b/>
          <w:bCs/>
          <w:color w:val="000000"/>
        </w:rPr>
      </w:pPr>
    </w:p>
    <w:p w:rsidR="0089332D" w:rsidRPr="0089332D" w:rsidP="0089332D">
      <w:pPr>
        <w:bidi w:val="0"/>
        <w:jc w:val="both"/>
        <w:rPr>
          <w:rFonts w:ascii="Times New Roman" w:hAnsi="Times New Roman"/>
          <w:b/>
          <w:bCs/>
          <w:color w:val="000000"/>
        </w:rPr>
      </w:pPr>
      <w:r w:rsidRPr="0089332D">
        <w:rPr>
          <w:rFonts w:ascii="Times New Roman" w:hAnsi="Times New Roman"/>
          <w:b/>
          <w:bCs/>
          <w:color w:val="000000"/>
        </w:rPr>
        <w:t>A.5. Stanovisko gestorov</w:t>
      </w:r>
    </w:p>
    <w:p w:rsidR="0089332D" w:rsidRPr="0089332D" w:rsidP="0089332D">
      <w:pPr>
        <w:bidi w:val="0"/>
        <w:jc w:val="both"/>
        <w:rPr>
          <w:rFonts w:ascii="Times New Roman" w:hAnsi="Times New Roman"/>
          <w:b/>
          <w:bCs/>
        </w:rPr>
      </w:pPr>
    </w:p>
    <w:p w:rsidR="0089332D" w:rsidRPr="0089332D" w:rsidP="0089332D">
      <w:pPr>
        <w:bidi w:val="0"/>
        <w:jc w:val="center"/>
        <w:rPr>
          <w:rFonts w:ascii="Times New Roman" w:hAnsi="Times New Roman"/>
          <w:b/>
          <w:bCs/>
        </w:rPr>
      </w:pPr>
      <w:r w:rsidRPr="0089332D">
        <w:rPr>
          <w:rFonts w:ascii="Times New Roman" w:hAnsi="Times New Roman"/>
          <w:b/>
          <w:bCs/>
        </w:rPr>
        <w:t>Vplyvy na rozpočet verejnej správy,</w:t>
      </w:r>
    </w:p>
    <w:p w:rsidR="0089332D" w:rsidRPr="0089332D" w:rsidP="0089332D">
      <w:pPr>
        <w:bidi w:val="0"/>
        <w:jc w:val="center"/>
        <w:rPr>
          <w:rFonts w:ascii="Times New Roman" w:hAnsi="Times New Roman"/>
          <w:b/>
          <w:bCs/>
        </w:rPr>
      </w:pPr>
      <w:r w:rsidRPr="0089332D">
        <w:rPr>
          <w:rFonts w:ascii="Times New Roman" w:hAnsi="Times New Roman"/>
          <w:b/>
          <w:bCs/>
        </w:rPr>
        <w:t>na zamestnanosť vo verejnej správe a financovanie návrhu</w:t>
      </w:r>
    </w:p>
    <w:p w:rsidR="0089332D" w:rsidRPr="0089332D" w:rsidP="0089332D">
      <w:pPr>
        <w:bidi w:val="0"/>
        <w:rPr>
          <w:rFonts w:ascii="Times New Roman" w:hAnsi="Times New Roman"/>
        </w:rPr>
      </w:pPr>
    </w:p>
    <w:p w:rsidR="0089332D" w:rsidRPr="0089332D" w:rsidP="0089332D">
      <w:pPr>
        <w:bidi w:val="0"/>
        <w:rPr>
          <w:rFonts w:ascii="Times New Roman" w:hAnsi="Times New Roman"/>
          <w:b/>
        </w:rPr>
      </w:pPr>
      <w:r w:rsidRPr="0089332D">
        <w:rPr>
          <w:rFonts w:ascii="Times New Roman" w:hAnsi="Times New Roman"/>
          <w:b/>
        </w:rPr>
        <w:t>2.1. Zhrnutie vplyvov na rozpočet verejnej správy v návrhu</w:t>
      </w:r>
    </w:p>
    <w:p w:rsidR="0089332D" w:rsidRPr="0089332D" w:rsidP="0089332D">
      <w:pPr>
        <w:bidi w:val="0"/>
        <w:jc w:val="right"/>
        <w:rPr>
          <w:rFonts w:ascii="Times New Roman" w:hAnsi="Times New Roman"/>
        </w:rPr>
      </w:pPr>
      <w:r w:rsidRPr="0089332D">
        <w:rPr>
          <w:rFonts w:ascii="Times New Roman" w:hAnsi="Times New Roman"/>
        </w:rPr>
        <w:t xml:space="preserve">Tabuľka č. 1 </w:t>
      </w:r>
    </w:p>
    <w:tbl>
      <w:tblPr>
        <w:tblStyle w:val="TableNormal"/>
        <w:tblW w:w="9688"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26"/>
        <w:gridCol w:w="1267"/>
        <w:gridCol w:w="1267"/>
        <w:gridCol w:w="1267"/>
      </w:tblGrid>
      <w:tr>
        <w:tblPrEx>
          <w:tblW w:w="9688"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3801" w:type="dxa"/>
          <w:cantSplit/>
          <w:trHeight w:val="276"/>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9332D" w:rsidRPr="0089332D" w:rsidP="00DE6B1D">
            <w:pPr>
              <w:bidi w:val="0"/>
              <w:spacing w:after="0" w:line="240" w:lineRule="auto"/>
              <w:jc w:val="center"/>
              <w:rPr>
                <w:rFonts w:ascii="Times New Roman" w:hAnsi="Times New Roman"/>
                <w:b/>
                <w:bCs/>
              </w:rPr>
            </w:pPr>
            <w:r w:rsidRPr="0089332D">
              <w:rPr>
                <w:rFonts w:ascii="Times New Roman" w:hAnsi="Times New Roman"/>
                <w:b/>
                <w:bCs/>
              </w:rPr>
              <w:t>Vplyvy na rozpočet verejnej správy (v mil. eur)</w:t>
            </w:r>
          </w:p>
        </w:tc>
        <w:tc>
          <w:tcPr>
            <w:tcW w:w="122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9332D" w:rsidRPr="0089332D" w:rsidP="00DE6B1D">
            <w:pPr>
              <w:bidi w:val="0"/>
              <w:spacing w:after="0" w:line="240" w:lineRule="auto"/>
              <w:jc w:val="center"/>
              <w:rPr>
                <w:rFonts w:ascii="Times New Roman" w:hAnsi="Times New Roman"/>
                <w:b/>
                <w:bCs/>
              </w:rPr>
            </w:pPr>
          </w:p>
        </w:tc>
      </w:tr>
      <w:tr>
        <w:tblPrEx>
          <w:tblW w:w="9688"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89332D" w:rsidRPr="0089332D" w:rsidP="00DE6B1D">
            <w:pPr>
              <w:bidi w:val="0"/>
              <w:spacing w:after="0" w:line="240" w:lineRule="auto"/>
              <w:jc w:val="center"/>
              <w:rPr>
                <w:rFonts w:ascii="Times New Roman" w:hAnsi="Times New Roman"/>
                <w:b/>
                <w:bCs/>
              </w:rPr>
            </w:pPr>
          </w:p>
        </w:tc>
        <w:tc>
          <w:tcPr>
            <w:tcW w:w="122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9332D" w:rsidRPr="0089332D" w:rsidP="00DE6B1D">
            <w:pPr>
              <w:bidi w:val="0"/>
              <w:spacing w:after="0" w:line="240" w:lineRule="auto"/>
              <w:jc w:val="center"/>
              <w:rPr>
                <w:rFonts w:ascii="Times New Roman" w:hAnsi="Times New Roman"/>
                <w:b/>
                <w:bCs/>
              </w:rPr>
            </w:pPr>
            <w:r w:rsidRPr="0089332D">
              <w:rPr>
                <w:rFonts w:ascii="Times New Roman" w:hAnsi="Times New Roman"/>
                <w:b/>
                <w:bCs/>
              </w:rPr>
              <w:t>2014</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9332D" w:rsidRPr="0089332D" w:rsidP="00DE6B1D">
            <w:pPr>
              <w:bidi w:val="0"/>
              <w:spacing w:after="0" w:line="240" w:lineRule="auto"/>
              <w:jc w:val="center"/>
              <w:rPr>
                <w:rFonts w:ascii="Times New Roman" w:hAnsi="Times New Roman"/>
                <w:b/>
                <w:bCs/>
              </w:rPr>
            </w:pPr>
            <w:r w:rsidRPr="0089332D">
              <w:rPr>
                <w:rFonts w:ascii="Times New Roman" w:hAnsi="Times New Roman"/>
                <w:b/>
                <w:bCs/>
              </w:rPr>
              <w:t>2015</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9332D" w:rsidRPr="0089332D" w:rsidP="00DE6B1D">
            <w:pPr>
              <w:bidi w:val="0"/>
              <w:spacing w:after="0" w:line="240" w:lineRule="auto"/>
              <w:jc w:val="center"/>
              <w:rPr>
                <w:rFonts w:ascii="Times New Roman" w:hAnsi="Times New Roman"/>
                <w:b/>
                <w:bCs/>
              </w:rPr>
            </w:pPr>
            <w:r w:rsidRPr="0089332D">
              <w:rPr>
                <w:rFonts w:ascii="Times New Roman" w:hAnsi="Times New Roman"/>
                <w:b/>
                <w:bCs/>
              </w:rPr>
              <w:t>2016</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9332D" w:rsidRPr="0089332D" w:rsidP="00DE6B1D">
            <w:pPr>
              <w:bidi w:val="0"/>
              <w:spacing w:after="0" w:line="240" w:lineRule="auto"/>
              <w:jc w:val="center"/>
              <w:rPr>
                <w:rFonts w:ascii="Times New Roman" w:hAnsi="Times New Roman"/>
                <w:b/>
                <w:bCs/>
              </w:rPr>
            </w:pPr>
            <w:r w:rsidRPr="0089332D">
              <w:rPr>
                <w:rFonts w:ascii="Times New Roman" w:hAnsi="Times New Roman"/>
                <w:b/>
                <w:bCs/>
              </w:rPr>
              <w:t>2017</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b/>
                <w:bCs/>
              </w:rPr>
              <w:t>Príjmy verejnej správy celkom</w:t>
            </w:r>
          </w:p>
        </w:tc>
        <w:tc>
          <w:tcPr>
            <w:tcW w:w="122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9332D" w:rsidRPr="0089332D" w:rsidP="00DE6B1D">
            <w:pPr>
              <w:bidi w:val="0"/>
              <w:spacing w:after="0" w:line="240" w:lineRule="auto"/>
              <w:jc w:val="right"/>
              <w:rPr>
                <w:rFonts w:ascii="Times New Roman" w:hAnsi="Times New Roman"/>
                <w:b/>
              </w:rPr>
            </w:pPr>
            <w:r w:rsidRPr="0089332D">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9332D" w:rsidRPr="0089332D" w:rsidP="00DE6B1D">
            <w:pPr>
              <w:bidi w:val="0"/>
              <w:spacing w:after="0" w:line="240" w:lineRule="auto"/>
              <w:jc w:val="right"/>
              <w:rPr>
                <w:rFonts w:ascii="Times New Roman" w:hAnsi="Times New Roman"/>
                <w:b/>
              </w:rPr>
            </w:pPr>
            <w:r w:rsidRPr="0089332D">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9332D" w:rsidRPr="0089332D" w:rsidP="00DE6B1D">
            <w:pPr>
              <w:bidi w:val="0"/>
              <w:spacing w:after="0" w:line="240" w:lineRule="auto"/>
              <w:jc w:val="right"/>
              <w:rPr>
                <w:rFonts w:ascii="Times New Roman" w:hAnsi="Times New Roman"/>
                <w:b/>
              </w:rPr>
            </w:pPr>
            <w:r w:rsidRPr="0089332D">
              <w:rPr>
                <w:rFonts w:ascii="Times New Roman" w:hAnsi="Times New Roman"/>
                <w:b/>
              </w:rPr>
              <w:t>0</w:t>
            </w:r>
          </w:p>
        </w:tc>
      </w:tr>
      <w:tr>
        <w:tblPrEx>
          <w:tblW w:w="9688"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v tom: za každý subjekt verejnej správy zvlášť VPS</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right"/>
              <w:rPr>
                <w:rFonts w:ascii="Times New Roman" w:hAnsi="Times New Roman"/>
                <w:b/>
              </w:rPr>
            </w:pPr>
            <w:r w:rsidRPr="0089332D">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r w:rsidRPr="0089332D">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r w:rsidRPr="0089332D">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r w:rsidRPr="0089332D">
              <w:rPr>
                <w:rFonts w:ascii="Times New Roman" w:hAnsi="Times New Roman"/>
                <w:b/>
                <w:bCs/>
                <w:i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b/>
                <w:bCs/>
                <w:i/>
                <w:iCs/>
              </w:rPr>
            </w:pPr>
            <w:r w:rsidRPr="0089332D">
              <w:rPr>
                <w:rFonts w:ascii="Times New Roman" w:hAnsi="Times New Roman"/>
                <w:b/>
                <w:bCs/>
                <w:i/>
                <w:iCs/>
              </w:rPr>
              <w:t xml:space="preserve">z toho:  </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p>
        </w:tc>
      </w:tr>
      <w:tr>
        <w:tblPrEx>
          <w:tblW w:w="9688"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b/>
                <w:bCs/>
                <w:i/>
                <w:iCs/>
              </w:rPr>
            </w:pPr>
            <w:r w:rsidRPr="0089332D">
              <w:rPr>
                <w:rFonts w:ascii="Times New Roman" w:hAnsi="Times New Roman"/>
                <w:b/>
                <w:bCs/>
                <w:i/>
                <w:iCs/>
              </w:rPr>
              <w:t>- vplyv na ŠR VPS</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right"/>
              <w:rPr>
                <w:rFonts w:ascii="Times New Roman" w:hAnsi="Times New Roman"/>
                <w:b/>
              </w:rPr>
            </w:pPr>
            <w:r w:rsidRPr="0089332D">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r w:rsidRPr="0089332D">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r w:rsidRPr="0089332D">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r w:rsidRPr="0089332D">
              <w:rPr>
                <w:rFonts w:ascii="Times New Roman" w:hAnsi="Times New Roman"/>
                <w:b/>
                <w:bCs/>
                <w:iCs/>
              </w:rPr>
              <w:t>0</w:t>
            </w:r>
          </w:p>
        </w:tc>
      </w:tr>
      <w:tr>
        <w:tblPrEx>
          <w:tblW w:w="9688"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b/>
                <w:bCs/>
                <w:i/>
                <w:iCs/>
              </w:rPr>
            </w:pPr>
            <w:r w:rsidRPr="0089332D">
              <w:rPr>
                <w:rFonts w:ascii="Times New Roman" w:hAnsi="Times New Roman"/>
                <w:b/>
                <w:bCs/>
                <w:i/>
                <w:iCs/>
              </w:rPr>
              <w:t>- vplyv na územnú samosprávu</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right"/>
              <w:rPr>
                <w:rFonts w:ascii="Times New Roman" w:hAnsi="Times New Roman"/>
                <w:b/>
                <w:bCs/>
                <w:iCs/>
              </w:rPr>
            </w:pPr>
            <w:r w:rsidRPr="0089332D">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r w:rsidRPr="0089332D">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r w:rsidRPr="0089332D">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r w:rsidRPr="0089332D">
              <w:rPr>
                <w:rFonts w:ascii="Times New Roman" w:hAnsi="Times New Roman"/>
                <w:b/>
                <w:bCs/>
                <w:iCs/>
              </w:rPr>
              <w:t>0</w:t>
            </w:r>
          </w:p>
        </w:tc>
      </w:tr>
      <w:tr>
        <w:tblPrEx>
          <w:tblW w:w="9688"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rPr>
                <w:rFonts w:ascii="Times New Roman" w:hAnsi="Times New Roman"/>
                <w:b/>
                <w:bCs/>
              </w:rPr>
            </w:pPr>
            <w:r w:rsidRPr="0089332D">
              <w:rPr>
                <w:rFonts w:ascii="Times New Roman" w:hAnsi="Times New Roman"/>
                <w:b/>
                <w:bCs/>
              </w:rPr>
              <w:t>Výdavky verejnej správy celkom</w:t>
            </w:r>
          </w:p>
        </w:tc>
        <w:tc>
          <w:tcPr>
            <w:tcW w:w="122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v tom: za každý subjekt verejnej správy / program zvlášť</w:t>
            </w:r>
          </w:p>
          <w:p w:rsidR="0089332D" w:rsidRPr="0089332D" w:rsidP="00DE6B1D">
            <w:pPr>
              <w:bidi w:val="0"/>
              <w:spacing w:after="0" w:line="240" w:lineRule="auto"/>
              <w:rPr>
                <w:rFonts w:ascii="Times New Roman" w:hAnsi="Times New Roman"/>
              </w:rPr>
            </w:pPr>
            <w:r w:rsidRPr="0089332D">
              <w:rPr>
                <w:rFonts w:ascii="Times New Roman" w:hAnsi="Times New Roman"/>
              </w:rPr>
              <w:t>kapitola MF SR, program 072 Výber daní a cla</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right"/>
              <w:rPr>
                <w:rFonts w:ascii="Times New Roman" w:hAnsi="Times New Roman"/>
              </w:rPr>
            </w:pPr>
          </w:p>
          <w:p w:rsidR="0089332D" w:rsidRPr="0089332D" w:rsidP="00DE6B1D">
            <w:pPr>
              <w:bidi w:val="0"/>
              <w:spacing w:after="0" w:line="240" w:lineRule="auto"/>
              <w:jc w:val="right"/>
              <w:rPr>
                <w:rFonts w:ascii="Times New Roman" w:hAnsi="Times New Roman"/>
              </w:rPr>
            </w:pPr>
            <w:r w:rsidRPr="0089332D">
              <w:rPr>
                <w:rFonts w:ascii="Times New Roman" w:hAnsi="Times New Roman"/>
              </w:rPr>
              <w:t>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Cs/>
              </w:rPr>
            </w:pPr>
            <w:r w:rsidRPr="0089332D">
              <w:rPr>
                <w:rFonts w:ascii="Times New Roman" w:hAnsi="Times New Roman"/>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Cs/>
              </w:rPr>
            </w:pPr>
            <w:r w:rsidRPr="0089332D">
              <w:rPr>
                <w:rFonts w:ascii="Times New Roman" w:hAnsi="Times New Roman"/>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Cs/>
              </w:rPr>
            </w:pPr>
            <w:r w:rsidRPr="0089332D">
              <w:rPr>
                <w:rFonts w:ascii="Times New Roman" w:hAnsi="Times New Roman"/>
                <w:b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b/>
                <w:bCs/>
                <w:i/>
                <w:iCs/>
              </w:rPr>
            </w:pPr>
            <w:r w:rsidRPr="0089332D">
              <w:rPr>
                <w:rFonts w:ascii="Times New Roman" w:hAnsi="Times New Roman"/>
                <w:b/>
                <w:bCs/>
                <w:i/>
                <w:iCs/>
              </w:rPr>
              <w:t xml:space="preserve">z toho: </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Cs/>
              </w:rPr>
            </w:pP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b/>
                <w:bCs/>
                <w:i/>
                <w:iCs/>
              </w:rPr>
            </w:pPr>
            <w:r w:rsidRPr="0089332D">
              <w:rPr>
                <w:rFonts w:ascii="Times New Roman" w:hAnsi="Times New Roman"/>
                <w:b/>
                <w:bCs/>
                <w:i/>
                <w:iCs/>
              </w:rPr>
              <w:t xml:space="preserve">- vplyv na ŠR </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r>
      <w:tr>
        <w:tblPrEx>
          <w:tblW w:w="9688"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b/>
                <w:bCs/>
                <w:i/>
                <w:iCs/>
              </w:rPr>
            </w:pPr>
            <w:r w:rsidRPr="0089332D">
              <w:rPr>
                <w:rFonts w:ascii="Times New Roman" w:hAnsi="Times New Roman"/>
                <w:b/>
                <w:bCs/>
                <w:i/>
                <w:iCs/>
              </w:rPr>
              <w:t>- vplyv na územnú samosprávu</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right"/>
              <w:rPr>
                <w:rFonts w:ascii="Times New Roman" w:hAnsi="Times New Roman"/>
                <w:b/>
                <w:bCs/>
                <w:i/>
                <w:iCs/>
              </w:rPr>
            </w:pPr>
            <w:r w:rsidRPr="0089332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
                <w:iCs/>
              </w:rPr>
            </w:pPr>
            <w:r w:rsidRPr="0089332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
                <w:iCs/>
              </w:rPr>
            </w:pPr>
            <w:r w:rsidRPr="0089332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b/>
                <w:bCs/>
                <w:i/>
                <w:iCs/>
              </w:rPr>
            </w:pPr>
            <w:r w:rsidRPr="0089332D">
              <w:rPr>
                <w:rFonts w:ascii="Times New Roman" w:hAnsi="Times New Roman"/>
                <w:b/>
                <w:bCs/>
                <w:i/>
                <w:i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rPr>
                <w:rFonts w:ascii="Times New Roman" w:hAnsi="Times New Roman"/>
                <w:b/>
                <w:bCs/>
              </w:rPr>
            </w:pPr>
            <w:r w:rsidRPr="0089332D">
              <w:rPr>
                <w:rFonts w:ascii="Times New Roman" w:hAnsi="Times New Roman"/>
                <w:b/>
                <w:bCs/>
              </w:rPr>
              <w:t xml:space="preserve">Celková zamestnanosť </w:t>
            </w:r>
          </w:p>
        </w:tc>
        <w:tc>
          <w:tcPr>
            <w:tcW w:w="122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b/>
                <w:i/>
              </w:rPr>
              <w:t>- z toho vplyv na ŠR</w:t>
            </w:r>
            <w:r w:rsidRPr="0089332D">
              <w:rPr>
                <w:rFonts w:ascii="Times New Roman" w:hAnsi="Times New Roman"/>
              </w:rPr>
              <w:t xml:space="preserve"> </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rPr>
                <w:rFonts w:ascii="Times New Roman" w:hAnsi="Times New Roman"/>
                <w:b/>
                <w:bCs/>
              </w:rPr>
            </w:pPr>
            <w:r w:rsidRPr="0089332D">
              <w:rPr>
                <w:rFonts w:ascii="Times New Roman" w:hAnsi="Times New Roman"/>
                <w:b/>
                <w:bCs/>
              </w:rPr>
              <w:t>Financovanie zabezpečené v rozpočte</w:t>
            </w:r>
          </w:p>
        </w:tc>
        <w:tc>
          <w:tcPr>
            <w:tcW w:w="122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v tom: za každý subjekt verejnej správy / program zvlášť</w:t>
            </w:r>
          </w:p>
          <w:p w:rsidR="0089332D" w:rsidRPr="0089332D" w:rsidP="00DE6B1D">
            <w:pPr>
              <w:bidi w:val="0"/>
              <w:spacing w:after="0" w:line="240" w:lineRule="auto"/>
              <w:rPr>
                <w:rFonts w:ascii="Times New Roman" w:hAnsi="Times New Roman"/>
              </w:rPr>
            </w:pPr>
            <w:r w:rsidRPr="0089332D">
              <w:rPr>
                <w:rFonts w:ascii="Times New Roman" w:hAnsi="Times New Roman"/>
              </w:rPr>
              <w:t>kapitola MF SR, program 072 Výber daní a cla</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right"/>
              <w:rPr>
                <w:rFonts w:ascii="Times New Roman" w:hAnsi="Times New Roman"/>
              </w:rPr>
            </w:pPr>
          </w:p>
          <w:p w:rsidR="0089332D" w:rsidRPr="0089332D" w:rsidP="00DE6B1D">
            <w:pPr>
              <w:bidi w:val="0"/>
              <w:spacing w:after="0" w:line="240" w:lineRule="auto"/>
              <w:jc w:val="right"/>
              <w:rPr>
                <w:rFonts w:ascii="Times New Roman" w:hAnsi="Times New Roman"/>
              </w:rPr>
            </w:pPr>
            <w:r w:rsidRPr="0089332D">
              <w:rPr>
                <w:rFonts w:ascii="Times New Roman" w:hAnsi="Times New Roman"/>
              </w:rPr>
              <w:t>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r>
    </w:tbl>
    <w:p w:rsidR="0089332D" w:rsidRPr="0089332D" w:rsidP="0089332D">
      <w:pPr>
        <w:bidi w:val="0"/>
        <w:rPr>
          <w:rFonts w:ascii="Times New Roman" w:hAnsi="Times New Roman"/>
          <w:color w:val="000000"/>
        </w:rPr>
      </w:pPr>
      <w:r w:rsidRPr="0089332D">
        <w:rPr>
          <w:rFonts w:ascii="Times New Roman" w:hAnsi="Times New Roman"/>
          <w:color w:val="000000"/>
        </w:rPr>
        <w:t xml:space="preserve">      Vplyv na výnos DPH na hotovostnej báze</w:t>
      </w:r>
    </w:p>
    <w:p w:rsidR="0089332D" w:rsidRPr="0089332D" w:rsidP="0089332D">
      <w:pPr>
        <w:bidi w:val="0"/>
        <w:rPr>
          <w:rFonts w:ascii="Times New Roman" w:hAnsi="Times New Roman"/>
        </w:rPr>
      </w:pPr>
    </w:p>
    <w:p w:rsidR="0089332D" w:rsidRPr="0089332D" w:rsidP="0089332D">
      <w:pPr>
        <w:bidi w:val="0"/>
        <w:rPr>
          <w:rFonts w:ascii="Times New Roman" w:hAnsi="Times New Roman"/>
        </w:rPr>
      </w:pPr>
      <w:r w:rsidRPr="0089332D">
        <w:rPr>
          <w:rFonts w:ascii="Times New Roman" w:hAnsi="Times New Roman"/>
          <w:b/>
          <w:bCs/>
        </w:rPr>
        <w:t>2.2. Financovanie návrhu</w:t>
      </w:r>
    </w:p>
    <w:p w:rsidR="0089332D" w:rsidRPr="0089332D" w:rsidP="0089332D">
      <w:pPr>
        <w:bidi w:val="0"/>
        <w:jc w:val="right"/>
        <w:rPr>
          <w:rFonts w:ascii="Times New Roman" w:hAnsi="Times New Roman"/>
        </w:rPr>
      </w:pPr>
      <w:r w:rsidRPr="0089332D">
        <w:rPr>
          <w:rFonts w:ascii="Times New Roman" w:hAnsi="Times New Roman"/>
        </w:rPr>
        <w:t>Tabuľka č. 2</w:t>
      </w:r>
    </w:p>
    <w:tbl>
      <w:tblPr>
        <w:tblStyle w:val="TableNormal"/>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bidi w:val="0"/>
              <w:spacing w:after="0" w:line="240" w:lineRule="auto"/>
              <w:jc w:val="center"/>
              <w:rPr>
                <w:rFonts w:ascii="Times New Roman" w:hAnsi="Times New Roman"/>
              </w:rPr>
            </w:pPr>
            <w:r w:rsidRPr="0089332D">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bidi w:val="0"/>
              <w:spacing w:after="0" w:line="240" w:lineRule="auto"/>
              <w:jc w:val="center"/>
              <w:rPr>
                <w:rFonts w:ascii="Times New Roman" w:hAnsi="Times New Roman"/>
              </w:rPr>
            </w:pPr>
            <w:r w:rsidRPr="0089332D">
              <w:rPr>
                <w:rFonts w:ascii="Times New Roman" w:hAnsi="Times New Roman"/>
                <w:b/>
                <w:bCs/>
                <w:color w:val="FFFFFF"/>
              </w:rPr>
              <w:t xml:space="preserve">Vplyv na rozpočet verejnej správy </w:t>
            </w:r>
            <w:r w:rsidRPr="0089332D">
              <w:rPr>
                <w:rFonts w:ascii="Times New Roman" w:hAnsi="Times New Roman"/>
                <w:b/>
                <w:bCs/>
              </w:rPr>
              <w:t>(v mil. eur)</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89332D" w:rsidRPr="0089332D" w:rsidP="00DE6B1D">
            <w:pPr>
              <w:bidi w:val="0"/>
              <w:spacing w:after="0" w:line="240" w:lineRule="auto"/>
              <w:rPr>
                <w:rFonts w:ascii="Times New Roman" w:hAnsi="Times New Roman"/>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bidi w:val="0"/>
              <w:spacing w:after="0" w:line="240" w:lineRule="auto"/>
              <w:jc w:val="center"/>
              <w:rPr>
                <w:rFonts w:ascii="Times New Roman" w:hAnsi="Times New Roman"/>
                <w:b/>
              </w:rPr>
            </w:pPr>
            <w:r w:rsidRPr="0089332D">
              <w:rPr>
                <w:rFonts w:ascii="Times New Roman" w:hAnsi="Times New Roman"/>
                <w:b/>
              </w:rPr>
              <w:t>2014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bidi w:val="0"/>
              <w:spacing w:after="0" w:line="240" w:lineRule="auto"/>
              <w:jc w:val="center"/>
              <w:rPr>
                <w:rFonts w:ascii="Times New Roman" w:hAnsi="Times New Roman"/>
                <w:b/>
              </w:rPr>
            </w:pPr>
            <w:r w:rsidRPr="0089332D">
              <w:rPr>
                <w:rFonts w:ascii="Times New Roman" w:hAnsi="Times New Roman"/>
                <w:b/>
              </w:rPr>
              <w:t>2015</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bidi w:val="0"/>
              <w:spacing w:after="0" w:line="240" w:lineRule="auto"/>
              <w:jc w:val="center"/>
              <w:rPr>
                <w:rFonts w:ascii="Times New Roman" w:hAnsi="Times New Roman"/>
                <w:b/>
              </w:rPr>
            </w:pPr>
            <w:r w:rsidRPr="0089332D">
              <w:rPr>
                <w:rFonts w:ascii="Times New Roman" w:hAnsi="Times New Roman"/>
                <w:b/>
              </w:rPr>
              <w:t>2016</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bidi w:val="0"/>
              <w:spacing w:after="0" w:line="240" w:lineRule="auto"/>
              <w:jc w:val="center"/>
              <w:rPr>
                <w:rFonts w:ascii="Times New Roman" w:hAnsi="Times New Roman"/>
                <w:b/>
              </w:rPr>
            </w:pPr>
            <w:r w:rsidRPr="0089332D">
              <w:rPr>
                <w:rFonts w:ascii="Times New Roman" w:hAnsi="Times New Roman"/>
                <w:b/>
              </w:rPr>
              <w:t>2017</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b/>
                <w:bCs/>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1</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1</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Cs/>
              </w:rPr>
            </w:pPr>
            <w:r w:rsidRPr="0089332D">
              <w:rPr>
                <w:rFonts w:ascii="Times New Roman" w:hAnsi="Times New Roman"/>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Cs/>
              </w:rPr>
            </w:pPr>
            <w:r w:rsidRPr="0089332D">
              <w:rPr>
                <w:rFonts w:ascii="Times New Roman" w:hAnsi="Times New Roman"/>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Cs/>
              </w:rPr>
            </w:pPr>
            <w:r w:rsidRPr="0089332D">
              <w:rPr>
                <w:rFonts w:ascii="Times New Roman" w:hAnsi="Times New Roman"/>
                <w:bCs/>
              </w:rPr>
              <w:t>0</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1</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b/>
                <w:bCs/>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r>
    </w:tbl>
    <w:p w:rsidR="0089332D" w:rsidRPr="0089332D" w:rsidP="0089332D">
      <w:pPr>
        <w:bidi w:val="0"/>
        <w:rPr>
          <w:rFonts w:ascii="Times New Roman" w:hAnsi="Times New Roman"/>
          <w:b/>
          <w:bCs/>
        </w:rPr>
      </w:pPr>
    </w:p>
    <w:p w:rsidR="0089332D" w:rsidRPr="0089332D" w:rsidP="0089332D">
      <w:pPr>
        <w:bidi w:val="0"/>
        <w:rPr>
          <w:rFonts w:ascii="Times New Roman" w:hAnsi="Times New Roman"/>
          <w:b/>
          <w:bCs/>
        </w:rPr>
      </w:pPr>
      <w:r w:rsidRPr="0089332D">
        <w:rPr>
          <w:rFonts w:ascii="Times New Roman" w:hAnsi="Times New Roman"/>
          <w:b/>
          <w:bCs/>
        </w:rPr>
        <w:t>Návrh na riešenie úbytku príjmov alebo zvýšených výdavkov podľa § 33 ods. 1 zákona č. 523/2004 Z. z. o rozpočtových pravidlách verejnej správy:</w:t>
      </w:r>
    </w:p>
    <w:p w:rsidR="0089332D" w:rsidRPr="0089332D" w:rsidP="0089332D">
      <w:pPr>
        <w:bidi w:val="0"/>
        <w:rPr>
          <w:rFonts w:ascii="Times New Roman" w:hAnsi="Times New Roman"/>
        </w:rPr>
      </w:pPr>
    </w:p>
    <w:p w:rsidR="0089332D" w:rsidRPr="0089332D" w:rsidP="0089332D">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r w:rsidRPr="0089332D">
        <w:rPr>
          <w:rStyle w:val="PlaceholderText"/>
          <w:color w:val="000000"/>
        </w:rPr>
        <w:t>Na implementáciu osobitnej úpravy uplatňovania dane pre telekomunikačné služby, služby rozhlasového vysielania a televízneho vysielania a elektronické služby finančná správa počíta s jednorazovými finančnými výdavkami v roku 2014 v rozsahu cca 1 mil. eur, ktoré budú uhradené z jej rozpočtu.</w:t>
      </w:r>
    </w:p>
    <w:p w:rsidR="0089332D" w:rsidRPr="0089332D" w:rsidP="0089332D">
      <w:pPr>
        <w:bidi w:val="0"/>
        <w:rPr>
          <w:rFonts w:ascii="Times New Roman" w:hAnsi="Times New Roman"/>
        </w:rPr>
      </w:pPr>
    </w:p>
    <w:p w:rsidR="0089332D" w:rsidRPr="0089332D" w:rsidP="0089332D">
      <w:pPr>
        <w:pStyle w:val="NormalWeb"/>
        <w:bidi w:val="0"/>
        <w:spacing w:before="0" w:after="0"/>
        <w:ind w:firstLine="678"/>
        <w:jc w:val="both"/>
        <w:rPr>
          <w:rFonts w:ascii="Times New Roman" w:hAnsi="Times New Roman"/>
          <w:color w:val="auto"/>
        </w:rPr>
      </w:pPr>
      <w:r w:rsidRPr="0089332D">
        <w:rPr>
          <w:rFonts w:ascii="Times New Roman" w:hAnsi="Times New Roman"/>
          <w:color w:val="auto"/>
        </w:rPr>
        <w:t xml:space="preserve">Cieľom novely zákona o DPH je povinná transpozícia čl. 5 smernice Rady 2008/8/ES, ktorou sa mení a dopĺňa smernica Rady 2006/112/ES, pokiaľ ide o miesto poskytovania služieb. </w:t>
      </w:r>
      <w:r w:rsidRPr="0089332D">
        <w:rPr>
          <w:rStyle w:val="PlaceholderText"/>
          <w:color w:val="auto"/>
        </w:rPr>
        <w:t xml:space="preserve">Kým v súčasnosti je všeobecným pravidlom miesta dodania služieb poskytnutých nezdaniteľným osobám miesto, kde má poskytovateľ sídlo alebo prevádzkareň, s účinnosťou od </w:t>
      </w:r>
      <w:r w:rsidRPr="0089332D">
        <w:rPr>
          <w:rFonts w:ascii="Times New Roman" w:hAnsi="Times New Roman"/>
          <w:color w:val="auto"/>
        </w:rPr>
        <w:t>1. januára 2015 sa za</w:t>
      </w:r>
      <w:r w:rsidRPr="0089332D">
        <w:rPr>
          <w:rStyle w:val="PlaceholderText"/>
          <w:color w:val="auto"/>
        </w:rPr>
        <w:t xml:space="preserve"> miesto dodania </w:t>
      </w:r>
      <w:r w:rsidRPr="0089332D">
        <w:rPr>
          <w:rFonts w:ascii="Times New Roman" w:hAnsi="Times New Roman"/>
          <w:color w:val="auto"/>
        </w:rPr>
        <w:t>telekomunikačných služieb, služieb rozhlasového a televízneho vysielania a elektronických služieb poskytnutých nezdaniteľným osobám bude považovať miesto, kde má nezdaniteľná osoba sídlo, bydlisko alebo miesto, kde sa obvykle zdržiava. Zmenu miesta dodania týchto služieb z pohľadu vplyvov na rozpočet verejnej správy nie je možné kvantifikovať, nakoľko, ak boli doteraz uvedené služby zdaňované v mieste, kde mal sídlo poskytovateľ, a ak toto miesto bolo mimo tuzemska, tak vlastne nie sú k dispozícii žiadne údaje o rozsahu ich využívania nezdaniteľnými osobami z tuzemska. Na základe uvedené je možné predpokladať, že vplyv navrhovanej zmeny bude mierne pozitívny vo vzťahu k zdaňovaniu predmetných služieb. Na implementáciu úpravy mini one-stop-shopu finančná správa počíta s jednorazovými finančnými výdavkami v roku 2014 v rozsahu cca 1 mil. eur, ktoré budú uhradené z jej rozpočtu.</w:t>
      </w:r>
    </w:p>
    <w:p w:rsidR="0089332D" w:rsidRPr="0089332D" w:rsidP="0089332D">
      <w:pPr>
        <w:bidi w:val="0"/>
        <w:rPr>
          <w:rFonts w:ascii="Times New Roman" w:hAnsi="Times New Roman"/>
          <w:b/>
          <w:bCs/>
        </w:rPr>
      </w:pPr>
    </w:p>
    <w:p w:rsidR="0089332D" w:rsidRPr="0089332D" w:rsidP="0089332D">
      <w:pPr>
        <w:bidi w:val="0"/>
        <w:rPr>
          <w:rFonts w:ascii="Times New Roman" w:hAnsi="Times New Roman"/>
          <w:b/>
          <w:bCs/>
        </w:rPr>
      </w:pPr>
      <w:r w:rsidRPr="0089332D">
        <w:rPr>
          <w:rFonts w:ascii="Times New Roman" w:hAnsi="Times New Roman"/>
          <w:b/>
          <w:bCs/>
        </w:rPr>
        <w:t>2.3. Popis a charakteristika návrhu</w:t>
      </w:r>
    </w:p>
    <w:p w:rsidR="0089332D" w:rsidRPr="0089332D" w:rsidP="0089332D">
      <w:pPr>
        <w:bidi w:val="0"/>
        <w:rPr>
          <w:rFonts w:ascii="Times New Roman" w:hAnsi="Times New Roman"/>
        </w:rPr>
      </w:pPr>
    </w:p>
    <w:p w:rsidR="0089332D" w:rsidRPr="0089332D" w:rsidP="0089332D">
      <w:pPr>
        <w:bidi w:val="0"/>
        <w:jc w:val="both"/>
        <w:rPr>
          <w:rFonts w:ascii="Times New Roman" w:hAnsi="Times New Roman"/>
          <w:b/>
          <w:bCs/>
        </w:rPr>
      </w:pPr>
      <w:r w:rsidRPr="0089332D">
        <w:rPr>
          <w:rFonts w:ascii="Times New Roman" w:hAnsi="Times New Roman"/>
          <w:b/>
          <w:bCs/>
        </w:rPr>
        <w:t>2.3.1. Popis návrhu:</w:t>
      </w:r>
    </w:p>
    <w:p w:rsidR="0089332D" w:rsidRPr="0089332D" w:rsidP="0089332D">
      <w:pPr>
        <w:bidi w:val="0"/>
        <w:rPr>
          <w:rFonts w:ascii="Times New Roman" w:hAnsi="Times New Roman"/>
        </w:rPr>
      </w:pPr>
    </w:p>
    <w:p w:rsidR="0089332D" w:rsidRPr="0089332D" w:rsidP="0089332D">
      <w:pPr>
        <w:bidi w:val="0"/>
        <w:ind w:firstLine="709"/>
        <w:jc w:val="both"/>
        <w:rPr>
          <w:rFonts w:ascii="Times New Roman" w:hAnsi="Times New Roman"/>
        </w:rPr>
      </w:pPr>
      <w:r w:rsidRPr="0089332D">
        <w:rPr>
          <w:rFonts w:ascii="Times New Roman" w:hAnsi="Times New Roman"/>
        </w:rPr>
        <w:t>Novela zákona o DPH preberá do slovenskej právnej úpravy čl. 5 smernice Rady 2008/8/ES z 12. februára 2008, ktorou sa mení a dopĺňa smernica 2006/112/ES, pokiaľ ide o miesto poskytovania služieb. S cieľom dosiahnuť zdanenie v mieste skutočnej spotreby pri poskytovaní telekomunikačných služieb, služieb rozhlasového a televízneho vysielania a elektronických služieb nezdaniteľným osobám, bude od 1. januára 2015 miestom ich dodania miesto, kde má nezdaniteľná osoba sídlo, bydlisko alebo miesto, kde sa obvykle zdržiava. Novelou sa rozširuje vecná a personálna pôsobnosť osobitnej úpravy nazvanej odbornou verejnosťou ako tzv. mini one-stop-shop. Doteraz sa táto úprava využívala len pre elektronické služby poskytované osobami neusadenými na území Európskej únie. Pretváranie vnútorného trhu, globalizácia, deregulácia a technologické zmeny vyústili do potreby rozšíriť jej použitie aj na telekomunikačné služby a služby rozhlasového a televízneho vysielania. Z hľadiska personálnej pôsobnosti bude využívanie tejto úpravy rozšírené aj pre poskytovateľov usadených na území Európskej únie, nie však v členskom štáte, kde je miesto dodania týchto služieb (tzv. členský štát spotreby).</w:t>
      </w:r>
    </w:p>
    <w:p w:rsidR="0089332D" w:rsidRPr="0089332D" w:rsidP="0089332D">
      <w:pPr>
        <w:bidi w:val="0"/>
        <w:ind w:firstLine="709"/>
        <w:jc w:val="both"/>
        <w:rPr>
          <w:rStyle w:val="PlaceholderText"/>
          <w:color w:val="000000"/>
        </w:rPr>
      </w:pPr>
    </w:p>
    <w:p w:rsidR="0089332D" w:rsidRPr="0089332D" w:rsidP="0089332D">
      <w:pPr>
        <w:bidi w:val="0"/>
        <w:ind w:firstLine="709"/>
        <w:jc w:val="both"/>
        <w:rPr>
          <w:rStyle w:val="PlaceholderText"/>
          <w:color w:val="000000"/>
        </w:rPr>
      </w:pPr>
      <w:r w:rsidRPr="0089332D">
        <w:rPr>
          <w:rFonts w:ascii="Times New Roman" w:hAnsi="Times New Roman"/>
        </w:rPr>
        <w:t xml:space="preserve">Operátorom, ktorí sa rozhodnú využiť túto dobrovoľnú úpravu, sa významne zníži administratívna záťaž tým, že sa nebudú musieť registrovať pre daň z pridanej hodnoty v každom členskom štáte, kde došlo k poskytnutiu telekomunikačných služieb, služieb rozhlasového a televízneho vysielania a elektronických služieb nezdaniteľným osobám. Svoju povinnosť priznať a uhradiť daň si splnia v tom členskom štáte, v ktorom sa pre využívanie tejto úpravy identifikujú, a to podaním jedného daňového priznania elektronickými prostriedkami s následným uhradením splatnej dane. Zníženie administratívnej záťaže prispeje k </w:t>
      </w:r>
      <w:r w:rsidRPr="0089332D">
        <w:rPr>
          <w:rStyle w:val="PlaceholderText"/>
          <w:color w:val="000000"/>
        </w:rPr>
        <w:t>zlepšeniu podnikateľského prostredia.</w:t>
      </w:r>
    </w:p>
    <w:p w:rsidR="0089332D" w:rsidRPr="0089332D" w:rsidP="0089332D">
      <w:pPr>
        <w:bidi w:val="0"/>
        <w:jc w:val="both"/>
        <w:rPr>
          <w:rStyle w:val="PlaceholderText"/>
          <w:color w:val="000000"/>
        </w:rPr>
      </w:pPr>
    </w:p>
    <w:p w:rsidR="0089332D" w:rsidRPr="0089332D" w:rsidP="0089332D">
      <w:pPr>
        <w:bidi w:val="0"/>
        <w:jc w:val="both"/>
        <w:rPr>
          <w:rFonts w:ascii="Times New Roman" w:hAnsi="Times New Roman"/>
        </w:rPr>
      </w:pPr>
      <w:r w:rsidRPr="0089332D">
        <w:rPr>
          <w:rFonts w:ascii="Times New Roman" w:hAnsi="Times New Roman"/>
        </w:rPr>
        <w:tab/>
      </w:r>
      <w:r w:rsidRPr="0089332D">
        <w:rPr>
          <w:rFonts w:ascii="Times New Roman" w:hAnsi="Times New Roman"/>
          <w:color w:val="000000"/>
        </w:rPr>
        <w:tab/>
      </w:r>
    </w:p>
    <w:p w:rsidR="0089332D" w:rsidRPr="0089332D" w:rsidP="0089332D">
      <w:pPr>
        <w:bidi w:val="0"/>
        <w:rPr>
          <w:rFonts w:ascii="Times New Roman" w:hAnsi="Times New Roman"/>
          <w:b/>
          <w:bCs/>
        </w:rPr>
      </w:pPr>
      <w:r w:rsidRPr="0089332D">
        <w:rPr>
          <w:rFonts w:ascii="Times New Roman" w:hAnsi="Times New Roman"/>
          <w:b/>
          <w:bCs/>
        </w:rPr>
        <w:t>2.3.2. Charakteristika návrhu podľa bodu  2.3.2. Metodiky :</w:t>
      </w:r>
    </w:p>
    <w:p w:rsidR="0089332D" w:rsidRPr="0089332D" w:rsidP="0089332D">
      <w:pPr>
        <w:pStyle w:val="BodyText"/>
        <w:bidi w:val="0"/>
        <w:spacing w:after="0"/>
        <w:rPr>
          <w:rFonts w:ascii="Times New Roman" w:hAnsi="Times New Roman"/>
          <w:b/>
        </w:rPr>
      </w:pPr>
      <w:r w:rsidRPr="0089332D">
        <w:rPr>
          <w:rFonts w:ascii="Times New Roman" w:hAnsi="Times New Roman"/>
          <w:bdr w:val="single" w:sz="4" w:space="0" w:color="auto"/>
        </w:rPr>
        <w:t xml:space="preserve">     </w:t>
      </w:r>
      <w:r w:rsidRPr="0089332D">
        <w:rPr>
          <w:rFonts w:ascii="Times New Roman" w:hAnsi="Times New Roman"/>
        </w:rPr>
        <w:t xml:space="preserve">  </w:t>
      </w:r>
      <w:r w:rsidRPr="0089332D">
        <w:rPr>
          <w:rFonts w:ascii="Times New Roman" w:hAnsi="Times New Roman"/>
          <w:b/>
        </w:rPr>
        <w:t>zmena sadzby</w:t>
      </w:r>
    </w:p>
    <w:p w:rsidR="0089332D" w:rsidRPr="0089332D" w:rsidP="0089332D">
      <w:pPr>
        <w:pStyle w:val="BodyText"/>
        <w:bidi w:val="0"/>
        <w:spacing w:after="0"/>
        <w:rPr>
          <w:rFonts w:ascii="Times New Roman" w:hAnsi="Times New Roman"/>
          <w:b/>
        </w:rPr>
      </w:pPr>
      <w:r w:rsidRPr="0089332D">
        <w:rPr>
          <w:rFonts w:ascii="Times New Roman" w:hAnsi="Times New Roman"/>
          <w:b/>
          <w:bdr w:val="single" w:sz="4" w:space="0" w:color="auto"/>
        </w:rPr>
        <w:t xml:space="preserve">     </w:t>
      </w:r>
      <w:r w:rsidRPr="0089332D">
        <w:rPr>
          <w:rFonts w:ascii="Times New Roman" w:hAnsi="Times New Roman"/>
          <w:b/>
        </w:rPr>
        <w:t xml:space="preserve">  zmena v nároku</w:t>
      </w:r>
    </w:p>
    <w:p w:rsidR="0089332D" w:rsidRPr="0089332D" w:rsidP="0089332D">
      <w:pPr>
        <w:pStyle w:val="BodyText"/>
        <w:bidi w:val="0"/>
        <w:spacing w:after="0"/>
        <w:rPr>
          <w:rFonts w:ascii="Times New Roman" w:hAnsi="Times New Roman"/>
          <w:b/>
        </w:rPr>
      </w:pPr>
      <w:r w:rsidRPr="0089332D">
        <w:rPr>
          <w:rFonts w:ascii="Times New Roman" w:hAnsi="Times New Roman"/>
          <w:b/>
          <w:bdr w:val="single" w:sz="4" w:space="0" w:color="auto"/>
        </w:rPr>
        <w:t xml:space="preserve">     </w:t>
      </w:r>
      <w:r w:rsidRPr="0089332D">
        <w:rPr>
          <w:rFonts w:ascii="Times New Roman" w:hAnsi="Times New Roman"/>
          <w:b/>
        </w:rPr>
        <w:t xml:space="preserve">  nová služba alebo nariadenie (alebo ich zrušenie)</w:t>
      </w:r>
    </w:p>
    <w:p w:rsidR="0089332D" w:rsidRPr="0089332D" w:rsidP="0089332D">
      <w:pPr>
        <w:pStyle w:val="BodyText"/>
        <w:bidi w:val="0"/>
        <w:spacing w:after="0"/>
        <w:rPr>
          <w:rFonts w:ascii="Times New Roman" w:hAnsi="Times New Roman"/>
          <w:b/>
        </w:rPr>
      </w:pPr>
      <w:r w:rsidRPr="0089332D">
        <w:rPr>
          <w:rFonts w:ascii="Times New Roman" w:hAnsi="Times New Roman"/>
          <w:b/>
          <w:bdr w:val="single" w:sz="4" w:space="0" w:color="auto"/>
        </w:rPr>
        <w:t xml:space="preserve">     </w:t>
      </w:r>
      <w:r w:rsidRPr="0089332D">
        <w:rPr>
          <w:rFonts w:ascii="Times New Roman" w:hAnsi="Times New Roman"/>
          <w:b/>
        </w:rPr>
        <w:t xml:space="preserve">  kombinovaný návrh</w:t>
      </w:r>
    </w:p>
    <w:p w:rsidR="0089332D" w:rsidRPr="0089332D" w:rsidP="0089332D">
      <w:pPr>
        <w:pStyle w:val="BodyText"/>
        <w:bidi w:val="0"/>
        <w:spacing w:after="0"/>
        <w:rPr>
          <w:rFonts w:ascii="Times New Roman" w:hAnsi="Times New Roman"/>
          <w:b/>
        </w:rPr>
      </w:pPr>
      <w:r w:rsidRPr="0089332D">
        <w:rPr>
          <w:rFonts w:ascii="Times New Roman" w:hAnsi="Times New Roman"/>
          <w:b/>
          <w:bdr w:val="single" w:sz="4" w:space="0" w:color="auto"/>
        </w:rPr>
        <w:t xml:space="preserve"> </w:t>
      </w:r>
      <w:r w:rsidRPr="0089332D">
        <w:rPr>
          <w:rFonts w:ascii="Times New Roman" w:hAnsi="Times New Roman"/>
          <w:bdr w:val="single" w:sz="4" w:space="0" w:color="auto"/>
        </w:rPr>
        <w:t>X</w:t>
      </w:r>
      <w:r w:rsidRPr="0089332D">
        <w:rPr>
          <w:rFonts w:ascii="Times New Roman" w:hAnsi="Times New Roman"/>
          <w:b/>
          <w:bdr w:val="single" w:sz="4" w:space="0" w:color="auto"/>
        </w:rPr>
        <w:t xml:space="preserve"> </w:t>
      </w:r>
      <w:r w:rsidRPr="0089332D">
        <w:rPr>
          <w:rFonts w:ascii="Times New Roman" w:hAnsi="Times New Roman"/>
          <w:b/>
        </w:rPr>
        <w:t xml:space="preserve">  iné </w:t>
      </w:r>
    </w:p>
    <w:p w:rsidR="0089332D" w:rsidRPr="0089332D" w:rsidP="0089332D">
      <w:pPr>
        <w:bidi w:val="0"/>
        <w:rPr>
          <w:rFonts w:ascii="Times New Roman" w:hAnsi="Times New Roman"/>
          <w:b/>
          <w:bCs/>
        </w:rPr>
      </w:pPr>
    </w:p>
    <w:p w:rsidR="0089332D" w:rsidRPr="0089332D" w:rsidP="0089332D">
      <w:pPr>
        <w:bidi w:val="0"/>
        <w:rPr>
          <w:rFonts w:ascii="Times New Roman" w:hAnsi="Times New Roman"/>
          <w:b/>
          <w:bCs/>
        </w:rPr>
      </w:pPr>
      <w:r w:rsidRPr="0089332D">
        <w:rPr>
          <w:rFonts w:ascii="Times New Roman" w:hAnsi="Times New Roman"/>
          <w:b/>
          <w:bCs/>
        </w:rPr>
        <w:t>2.3.3. Predpoklady vývoja objemu aktivít:</w:t>
      </w:r>
    </w:p>
    <w:p w:rsidR="0089332D" w:rsidRPr="0089332D" w:rsidP="0089332D">
      <w:pPr>
        <w:bidi w:val="0"/>
        <w:rPr>
          <w:rFonts w:ascii="Times New Roman" w:hAnsi="Times New Roman"/>
        </w:rPr>
      </w:pPr>
    </w:p>
    <w:p w:rsidR="0089332D" w:rsidRPr="0089332D" w:rsidP="0089332D">
      <w:pPr>
        <w:bidi w:val="0"/>
        <w:ind w:firstLine="709"/>
        <w:jc w:val="both"/>
        <w:rPr>
          <w:rFonts w:ascii="Times New Roman" w:hAnsi="Times New Roman"/>
        </w:rPr>
      </w:pPr>
      <w:r w:rsidRPr="0089332D">
        <w:rPr>
          <w:rFonts w:ascii="Times New Roman" w:hAnsi="Times New Roman"/>
        </w:rPr>
        <w:t>Návrh zákona nemá vplyv na zmenu vývoja objemu aktivít, z tohto dôvodu sa tabuľka č. 3 Predpoklady vývoja objemu aktivít nepredkladá.</w:t>
      </w:r>
    </w:p>
    <w:p w:rsidR="0089332D" w:rsidRPr="0089332D" w:rsidP="0089332D">
      <w:pPr>
        <w:pStyle w:val="BodyText"/>
        <w:tabs>
          <w:tab w:val="num" w:pos="1080"/>
        </w:tabs>
        <w:bidi w:val="0"/>
        <w:spacing w:after="0"/>
        <w:jc w:val="both"/>
        <w:rPr>
          <w:rFonts w:ascii="Times New Roman" w:hAnsi="Times New Roman"/>
          <w:bCs/>
        </w:rPr>
      </w:pPr>
    </w:p>
    <w:p w:rsidR="0089332D" w:rsidRPr="0089332D" w:rsidP="0089332D">
      <w:pPr>
        <w:pStyle w:val="BodyText"/>
        <w:tabs>
          <w:tab w:val="num" w:pos="1080"/>
        </w:tabs>
        <w:bidi w:val="0"/>
        <w:spacing w:after="0"/>
        <w:jc w:val="both"/>
        <w:rPr>
          <w:rFonts w:ascii="Times New Roman" w:hAnsi="Times New Roman"/>
          <w:b/>
          <w:bCs/>
        </w:rPr>
      </w:pPr>
    </w:p>
    <w:p w:rsidR="0089332D" w:rsidRPr="0089332D" w:rsidP="0089332D">
      <w:pPr>
        <w:pStyle w:val="BodyText"/>
        <w:tabs>
          <w:tab w:val="num" w:pos="1080"/>
        </w:tabs>
        <w:bidi w:val="0"/>
        <w:spacing w:after="0"/>
        <w:jc w:val="both"/>
        <w:rPr>
          <w:rFonts w:ascii="Times New Roman" w:hAnsi="Times New Roman"/>
          <w:bCs/>
        </w:rPr>
      </w:pPr>
      <w:r w:rsidRPr="0089332D">
        <w:rPr>
          <w:rFonts w:ascii="Times New Roman" w:hAnsi="Times New Roman"/>
          <w:b/>
          <w:bCs/>
        </w:rPr>
        <w:t>2.3.4. Výpočty vplyvov na verejné financie</w:t>
      </w:r>
    </w:p>
    <w:p w:rsidR="0089332D" w:rsidRPr="0089332D" w:rsidP="0089332D">
      <w:pPr>
        <w:pStyle w:val="BodyText"/>
        <w:tabs>
          <w:tab w:val="num" w:pos="1080"/>
        </w:tabs>
        <w:bidi w:val="0"/>
        <w:spacing w:after="0"/>
        <w:jc w:val="both"/>
        <w:rPr>
          <w:rFonts w:ascii="Times New Roman" w:hAnsi="Times New Roman"/>
          <w:b/>
          <w:bCs/>
        </w:rPr>
      </w:pPr>
    </w:p>
    <w:p w:rsidR="0089332D" w:rsidRPr="0089332D" w:rsidP="0089332D">
      <w:pPr>
        <w:pStyle w:val="BodyText"/>
        <w:tabs>
          <w:tab w:val="num" w:pos="1080"/>
        </w:tabs>
        <w:bidi w:val="0"/>
        <w:spacing w:after="0"/>
        <w:ind w:firstLine="709"/>
        <w:jc w:val="both"/>
        <w:rPr>
          <w:rFonts w:ascii="Times New Roman" w:hAnsi="Times New Roman"/>
          <w:bCs/>
        </w:rPr>
      </w:pPr>
      <w:r w:rsidRPr="0089332D">
        <w:rPr>
          <w:rFonts w:ascii="Times New Roman" w:hAnsi="Times New Roman"/>
          <w:bCs/>
        </w:rPr>
        <w:t>Tabuľka č. 4 Vplyv na rozpočet verejnej správy – príjmy sa nepredkladá.</w:t>
      </w:r>
    </w:p>
    <w:p w:rsidR="0089332D" w:rsidRPr="0089332D" w:rsidP="0089332D">
      <w:pPr>
        <w:pStyle w:val="BodyText"/>
        <w:tabs>
          <w:tab w:val="num" w:pos="1080"/>
        </w:tabs>
        <w:bidi w:val="0"/>
        <w:spacing w:after="0"/>
        <w:jc w:val="both"/>
        <w:rPr>
          <w:rFonts w:ascii="Times New Roman" w:hAnsi="Times New Roman"/>
          <w:b/>
          <w:bCs/>
        </w:rPr>
        <w:sectPr w:rsidSect="005109F5">
          <w:footerReference w:type="even" r:id="rId4"/>
          <w:footerReference w:type="default" r:id="rId5"/>
          <w:pgSz w:w="11905" w:h="16837" w:code="9"/>
          <w:pgMar w:top="1418" w:right="1418" w:bottom="1418" w:left="1418" w:header="567" w:footer="567" w:gutter="0"/>
          <w:lnNumType w:distance="0"/>
          <w:cols w:space="708"/>
          <w:noEndnote w:val="0"/>
          <w:bidi w:val="0"/>
          <w:docGrid w:linePitch="360"/>
        </w:sectPr>
      </w:pPr>
    </w:p>
    <w:p w:rsidR="0089332D" w:rsidRPr="0089332D" w:rsidP="0089332D">
      <w:pPr>
        <w:pStyle w:val="BodyText"/>
        <w:tabs>
          <w:tab w:val="num" w:pos="1080"/>
        </w:tabs>
        <w:bidi w:val="0"/>
        <w:spacing w:after="0"/>
        <w:jc w:val="both"/>
        <w:rPr>
          <w:rFonts w:ascii="Times New Roman" w:hAnsi="Times New Roman"/>
          <w:b/>
          <w:bCs/>
        </w:rPr>
      </w:pPr>
    </w:p>
    <w:p w:rsidR="0089332D" w:rsidRPr="0089332D" w:rsidP="0089332D">
      <w:pPr>
        <w:pStyle w:val="NormalWeb"/>
        <w:bidi w:val="0"/>
        <w:spacing w:before="0" w:after="0"/>
        <w:ind w:left="0"/>
        <w:jc w:val="both"/>
        <w:rPr>
          <w:rFonts w:ascii="Times New Roman" w:hAnsi="Times New Roman"/>
        </w:rPr>
      </w:pPr>
      <w:r w:rsidRPr="0089332D">
        <w:rPr>
          <w:rFonts w:ascii="Times New Roman" w:hAnsi="Times New Roman"/>
        </w:rPr>
        <w:t xml:space="preserve">                                                                                                                                                                                                                                                 </w:t>
      </w:r>
      <w:r w:rsidRPr="0089332D">
        <w:rPr>
          <w:rFonts w:ascii="Times New Roman" w:hAnsi="Times New Roman"/>
          <w:b/>
        </w:rPr>
        <w:t xml:space="preserve"> </w:t>
      </w:r>
      <w:r w:rsidRPr="0089332D">
        <w:rPr>
          <w:rFonts w:ascii="Times New Roman" w:hAnsi="Times New Roman"/>
        </w:rPr>
        <w:t xml:space="preserve">Tabuľka č. 5 </w:t>
      </w:r>
    </w:p>
    <w:p w:rsidR="0089332D" w:rsidRPr="0089332D" w:rsidP="0089332D">
      <w:pPr>
        <w:pStyle w:val="BodyText"/>
        <w:tabs>
          <w:tab w:val="num" w:pos="1080"/>
        </w:tabs>
        <w:bidi w:val="0"/>
        <w:spacing w:after="0"/>
        <w:ind w:firstLine="1077"/>
        <w:jc w:val="both"/>
        <w:rPr>
          <w:rFonts w:ascii="Times New Roman" w:hAnsi="Times New Roman"/>
          <w:bCs/>
        </w:rPr>
      </w:pPr>
    </w:p>
    <w:tbl>
      <w:tblPr>
        <w:tblStyle w:val="TableNormal"/>
        <w:tblW w:w="15450" w:type="dxa"/>
        <w:jc w:val="center"/>
        <w:tblInd w:w="-1223" w:type="dxa"/>
        <w:tblCellMar>
          <w:left w:w="0" w:type="dxa"/>
          <w:right w:w="0" w:type="dxa"/>
        </w:tblCellMar>
      </w:tblPr>
      <w:tblGrid>
        <w:gridCol w:w="7070"/>
        <w:gridCol w:w="1540"/>
        <w:gridCol w:w="1540"/>
        <w:gridCol w:w="1540"/>
        <w:gridCol w:w="1540"/>
        <w:gridCol w:w="2220"/>
      </w:tblGrid>
      <w:tr>
        <w:tblPrEx>
          <w:tblW w:w="15450" w:type="dxa"/>
          <w:jc w:val="center"/>
          <w:tblInd w:w="-1223" w:type="dxa"/>
          <w:tblCellMar>
            <w:left w:w="0" w:type="dxa"/>
            <w:right w:w="0" w:type="dxa"/>
          </w:tblCellMar>
        </w:tblPrEx>
        <w:trPr>
          <w:trHeight w:val="255"/>
          <w:jc w:val="center"/>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b/>
                <w:bCs/>
                <w:color w:val="FFFFFF"/>
                <w:sz w:val="22"/>
                <w:szCs w:val="22"/>
              </w:rPr>
              <w:t>Výdavky (v mil. eur)</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b/>
                <w:bCs/>
                <w:color w:val="FFFFFF"/>
                <w:sz w:val="22"/>
                <w:szCs w:val="22"/>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b/>
                <w:bCs/>
                <w:color w:val="FFFFFF"/>
                <w:sz w:val="22"/>
                <w:szCs w:val="22"/>
              </w:rPr>
              <w:t>poznámka</w:t>
            </w:r>
          </w:p>
        </w:tc>
      </w:tr>
      <w:tr>
        <w:tblPrEx>
          <w:tblW w:w="15450" w:type="dxa"/>
          <w:jc w:val="center"/>
          <w:tblInd w:w="-1223" w:type="dxa"/>
          <w:tblCellMar>
            <w:left w:w="0" w:type="dxa"/>
            <w:right w:w="0" w:type="dxa"/>
          </w:tblCellMar>
        </w:tblPrEx>
        <w:trPr>
          <w:trHeight w:val="197"/>
          <w:jc w:val="center"/>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89332D" w:rsidRPr="0089332D" w:rsidP="00DE6B1D">
            <w:pPr>
              <w:bidi w:val="0"/>
              <w:spacing w:after="0" w:line="240" w:lineRule="auto"/>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9332D" w:rsidRPr="0089332D" w:rsidP="00DE6B1D">
            <w:pPr>
              <w:bidi w:val="0"/>
              <w:spacing w:after="0" w:line="240" w:lineRule="auto"/>
              <w:jc w:val="center"/>
              <w:rPr>
                <w:rFonts w:ascii="Times New Roman" w:hAnsi="Times New Roman"/>
                <w:b/>
                <w:bCs/>
                <w:color w:val="FFFFFF"/>
              </w:rPr>
            </w:pPr>
            <w:r w:rsidRPr="0089332D">
              <w:rPr>
                <w:rFonts w:ascii="Times New Roman" w:hAnsi="Times New Roman"/>
                <w:b/>
                <w:bCs/>
                <w:color w:val="FFFFFF"/>
              </w:rPr>
              <w:t>2014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9332D" w:rsidRPr="0089332D" w:rsidP="00DE6B1D">
            <w:pPr>
              <w:bidi w:val="0"/>
              <w:spacing w:after="0" w:line="240" w:lineRule="auto"/>
              <w:jc w:val="center"/>
              <w:rPr>
                <w:rFonts w:ascii="Times New Roman" w:hAnsi="Times New Roman"/>
                <w:b/>
                <w:bCs/>
                <w:color w:val="FFFFFF"/>
              </w:rPr>
            </w:pPr>
            <w:r w:rsidRPr="0089332D">
              <w:rPr>
                <w:rFonts w:ascii="Times New Roman" w:hAnsi="Times New Roman"/>
                <w:b/>
                <w:bCs/>
                <w:color w:val="FFFFFF"/>
              </w:rPr>
              <w:t>2015</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9332D" w:rsidRPr="0089332D" w:rsidP="00DE6B1D">
            <w:pPr>
              <w:bidi w:val="0"/>
              <w:spacing w:after="0" w:line="240" w:lineRule="auto"/>
              <w:jc w:val="center"/>
              <w:rPr>
                <w:rFonts w:ascii="Times New Roman" w:hAnsi="Times New Roman"/>
                <w:b/>
                <w:bCs/>
                <w:color w:val="FFFFFF"/>
              </w:rPr>
            </w:pPr>
            <w:r w:rsidRPr="0089332D">
              <w:rPr>
                <w:rFonts w:ascii="Times New Roman" w:hAnsi="Times New Roman"/>
                <w:b/>
                <w:bCs/>
                <w:color w:val="FFFFFF"/>
              </w:rPr>
              <w:t>2016</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9332D" w:rsidRPr="0089332D" w:rsidP="00DE6B1D">
            <w:pPr>
              <w:bidi w:val="0"/>
              <w:spacing w:after="0" w:line="240" w:lineRule="auto"/>
              <w:jc w:val="center"/>
              <w:rPr>
                <w:rFonts w:ascii="Times New Roman" w:hAnsi="Times New Roman"/>
                <w:b/>
                <w:bCs/>
                <w:color w:val="FFFFFF"/>
              </w:rPr>
            </w:pPr>
            <w:r w:rsidRPr="0089332D">
              <w:rPr>
                <w:rFonts w:ascii="Times New Roman" w:hAnsi="Times New Roman"/>
                <w:b/>
                <w:bCs/>
                <w:color w:val="FFFFFF"/>
              </w:rPr>
              <w:t>2017</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89332D" w:rsidRPr="0089332D" w:rsidP="00DE6B1D">
            <w:pPr>
              <w:bidi w:val="0"/>
              <w:spacing w:after="0" w:line="240" w:lineRule="auto"/>
              <w:rPr>
                <w:rFonts w:ascii="Times New Roman" w:hAnsi="Times New Roman"/>
              </w:rPr>
            </w:pP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b/>
                <w:bCs/>
                <w:sz w:val="22"/>
                <w:szCs w:val="22"/>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sz w:val="22"/>
                <w:szCs w:val="22"/>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sz w:val="22"/>
                <w:szCs w:val="22"/>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Tovary a služby (630)</w:t>
            </w:r>
            <w:r w:rsidRPr="0089332D">
              <w:rPr>
                <w:rFonts w:ascii="Times New Roman" w:hAnsi="Times New Roman"/>
                <w:sz w:val="22"/>
                <w:szCs w:val="22"/>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sz w:val="22"/>
                <w:szCs w:val="22"/>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Bežné transfery (640)</w:t>
            </w:r>
            <w:r w:rsidRPr="0089332D">
              <w:rPr>
                <w:rFonts w:ascii="Times New Roman" w:hAnsi="Times New Roman"/>
                <w:sz w:val="22"/>
                <w:szCs w:val="22"/>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sz w:val="22"/>
                <w:szCs w:val="22"/>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Splácanie úrokov a ostatné platby súvisiace s úvermi, pôžičkami a NFV (650)</w:t>
            </w:r>
            <w:r w:rsidRPr="0089332D">
              <w:rPr>
                <w:rFonts w:ascii="Times New Roman" w:hAnsi="Times New Roman"/>
                <w:sz w:val="22"/>
                <w:szCs w:val="22"/>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Cs/>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Cs/>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Cs/>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b/>
                <w:bCs/>
                <w:sz w:val="22"/>
                <w:szCs w:val="22"/>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bCs/>
                <w:sz w:val="22"/>
                <w:szCs w:val="22"/>
              </w:rPr>
              <w:t> 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Obstarávanie kapitálových aktív (710)</w:t>
            </w:r>
            <w:r w:rsidRPr="0089332D">
              <w:rPr>
                <w:rFonts w:ascii="Times New Roman" w:hAnsi="Times New Roman"/>
                <w:sz w:val="22"/>
                <w:szCs w:val="22"/>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xml:space="preserve">  Nákup pozemkov a nehmotných aktív (711)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xml:space="preserve">   - softvéru (711 003)</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right"/>
              <w:rPr>
                <w:rFonts w:ascii="Times New Roman" w:hAnsi="Times New Roman"/>
                <w:sz w:val="22"/>
                <w:szCs w:val="22"/>
              </w:rPr>
            </w:pPr>
            <w:r w:rsidRPr="0089332D">
              <w:rPr>
                <w:rFonts w:ascii="Times New Roman" w:hAnsi="Times New Roman"/>
                <w:sz w:val="22"/>
                <w:szCs w:val="22"/>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Kapitálové transfery (720)</w:t>
            </w:r>
            <w:r w:rsidRPr="0089332D">
              <w:rPr>
                <w:rFonts w:ascii="Times New Roman" w:hAnsi="Times New Roman"/>
                <w:sz w:val="22"/>
                <w:szCs w:val="22"/>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sz w:val="22"/>
                <w:szCs w:val="22"/>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b/>
                <w:bCs/>
                <w:sz w:val="22"/>
                <w:szCs w:val="22"/>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b/>
                <w:bCs/>
                <w:sz w:val="22"/>
                <w:szCs w:val="22"/>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b/>
                <w:bCs/>
                <w:color w:val="FFFFFF"/>
                <w:sz w:val="22"/>
                <w:szCs w:val="22"/>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1</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color w:val="FFFFFF"/>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b/>
                <w:bCs/>
                <w:sz w:val="22"/>
                <w:szCs w:val="22"/>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rPr>
            </w:pPr>
            <w:r w:rsidRPr="0089332D">
              <w:rPr>
                <w:rFonts w:ascii="Times New Roman" w:hAnsi="Times New Roman"/>
              </w:rPr>
              <w:t>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9332D" w:rsidRPr="0089332D" w:rsidP="00DE6B1D">
            <w:pPr>
              <w:bidi w:val="0"/>
              <w:spacing w:after="0" w:line="240" w:lineRule="auto"/>
              <w:jc w:val="right"/>
              <w:rPr>
                <w:rFonts w:ascii="Times New Roman" w:hAnsi="Times New Roman"/>
                <w:b/>
                <w:bCs/>
              </w:rPr>
            </w:pPr>
            <w:r w:rsidRPr="0089332D">
              <w:rPr>
                <w:rFonts w:ascii="Times New Roman" w:hAnsi="Times New Roman"/>
                <w:b/>
                <w:bCs/>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Bežné výdavky</w:t>
            </w:r>
            <w:r w:rsidRPr="0089332D">
              <w:rPr>
                <w:rFonts w:ascii="Times New Roman" w:hAnsi="Times New Roman"/>
                <w:b/>
                <w:bCs/>
                <w:sz w:val="22"/>
                <w:szCs w:val="22"/>
              </w:rPr>
              <w:t xml:space="preserve"> </w:t>
            </w:r>
            <w:r w:rsidRPr="0089332D">
              <w:rPr>
                <w:rFonts w:ascii="Times New Roman" w:hAnsi="Times New Roman"/>
                <w:sz w:val="22"/>
                <w:szCs w:val="22"/>
              </w:rPr>
              <w:t>(600)</w:t>
            </w:r>
            <w:r w:rsidRPr="0089332D">
              <w:rPr>
                <w:rFonts w:ascii="Times New Roman" w:hAnsi="Times New Roman"/>
                <w:b/>
                <w:bCs/>
                <w:sz w:val="22"/>
                <w:szCs w:val="22"/>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b/>
                <w:bCs/>
                <w:sz w:val="22"/>
                <w:szCs w:val="22"/>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b/>
                <w:bCs/>
                <w:sz w:val="22"/>
                <w:szCs w:val="22"/>
              </w:rPr>
              <w:t>   </w:t>
            </w:r>
            <w:r w:rsidRPr="0089332D">
              <w:rPr>
                <w:rFonts w:ascii="Times New Roman" w:hAnsi="Times New Roman"/>
                <w:sz w:val="22"/>
                <w:szCs w:val="22"/>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r w:rsidRPr="0089332D">
              <w:rPr>
                <w:rFonts w:ascii="Times New Roman" w:hAnsi="Times New Roman"/>
                <w:b/>
                <w:bCs/>
                <w:sz w:val="22"/>
                <w:szCs w:val="22"/>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ind w:left="0"/>
              <w:jc w:val="center"/>
              <w:rPr>
                <w:rFonts w:ascii="Times New Roman" w:hAnsi="Times New Roman"/>
                <w:sz w:val="22"/>
                <w:szCs w:val="22"/>
              </w:rPr>
            </w:pP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ind w:left="0"/>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rPr>
                <w:rFonts w:ascii="Times New Roman" w:hAnsi="Times New Roman"/>
                <w:sz w:val="22"/>
                <w:szCs w:val="22"/>
              </w:rPr>
            </w:pPr>
            <w:r w:rsidRPr="0089332D">
              <w:rPr>
                <w:rFonts w:ascii="Times New Roman" w:hAnsi="Times New Roman"/>
                <w:sz w:val="22"/>
                <w:szCs w:val="22"/>
              </w:rPr>
              <w:t xml:space="preserve">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jc w:val="right"/>
              <w:rPr>
                <w:rFonts w:ascii="Times New Roman" w:hAnsi="Times New Roman"/>
                <w:sz w:val="22"/>
                <w:szCs w:val="22"/>
              </w:rPr>
            </w:pPr>
            <w:r w:rsidRPr="0089332D">
              <w:rPr>
                <w:rFonts w:ascii="Times New Roman" w:hAnsi="Times New Roman"/>
                <w:b/>
                <w:bCs/>
                <w:sz w:val="22"/>
                <w:szCs w:val="22"/>
              </w:rPr>
              <w:t> 1</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jc w:val="right"/>
              <w:rPr>
                <w:rFonts w:ascii="Times New Roman" w:hAnsi="Times New Roman"/>
                <w:sz w:val="22"/>
                <w:szCs w:val="22"/>
              </w:rPr>
            </w:pPr>
            <w:r w:rsidRPr="0089332D">
              <w:rPr>
                <w:rFonts w:ascii="Times New Roman" w:hAnsi="Times New Roman"/>
                <w:b/>
                <w:bCs/>
                <w:sz w:val="22"/>
                <w:szCs w:val="22"/>
              </w:rPr>
              <w:t> 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jc w:val="right"/>
              <w:rPr>
                <w:rFonts w:ascii="Times New Roman" w:hAnsi="Times New Roman"/>
                <w:sz w:val="22"/>
                <w:szCs w:val="22"/>
              </w:rPr>
            </w:pPr>
            <w:r w:rsidRPr="0089332D">
              <w:rPr>
                <w:rFonts w:ascii="Times New Roman" w:hAnsi="Times New Roman"/>
                <w:b/>
                <w:bCs/>
                <w:sz w:val="22"/>
                <w:szCs w:val="22"/>
              </w:rPr>
              <w:t> 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jc w:val="right"/>
              <w:rPr>
                <w:rFonts w:ascii="Times New Roman" w:hAnsi="Times New Roman"/>
                <w:sz w:val="22"/>
                <w:szCs w:val="22"/>
              </w:rPr>
            </w:pPr>
            <w:r w:rsidRPr="0089332D">
              <w:rPr>
                <w:rFonts w:ascii="Times New Roman" w:hAnsi="Times New Roman"/>
                <w:b/>
                <w:bCs/>
                <w:sz w:val="22"/>
                <w:szCs w:val="22"/>
              </w:rPr>
              <w:t> 0</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rPr>
                <w:rFonts w:ascii="Times New Roman" w:hAnsi="Times New Roman"/>
                <w:sz w:val="22"/>
                <w:szCs w:val="22"/>
              </w:rPr>
            </w:pPr>
            <w:r w:rsidRPr="0089332D">
              <w:rPr>
                <w:rFonts w:ascii="Times New Roman" w:hAnsi="Times New Roman"/>
                <w:sz w:val="22"/>
                <w:szCs w:val="22"/>
              </w:rPr>
              <w:t> </w:t>
            </w:r>
          </w:p>
        </w:tc>
      </w:tr>
      <w:tr>
        <w:tblPrEx>
          <w:tblW w:w="15450" w:type="dxa"/>
          <w:jc w:val="center"/>
          <w:tblInd w:w="-1223" w:type="dxa"/>
          <w:tblCellMar>
            <w:left w:w="0" w:type="dxa"/>
            <w:right w:w="0" w:type="dxa"/>
          </w:tblCellMar>
        </w:tblPrEx>
        <w:trPr>
          <w:trHeight w:val="255"/>
          <w:jc w:val="center"/>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rPr>
                <w:rFonts w:ascii="Times New Roman" w:hAnsi="Times New Roman"/>
                <w:sz w:val="22"/>
                <w:szCs w:val="22"/>
              </w:rPr>
            </w:pPr>
            <w:r w:rsidRPr="0089332D">
              <w:rPr>
                <w:rFonts w:ascii="Times New Roman" w:hAnsi="Times New Roman"/>
                <w:sz w:val="22"/>
                <w:szCs w:val="22"/>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jc w:val="center"/>
              <w:rPr>
                <w:rFonts w:ascii="Times New Roman" w:hAnsi="Times New Roman"/>
                <w:sz w:val="22"/>
                <w:szCs w:val="22"/>
              </w:rPr>
            </w:pPr>
            <w:r w:rsidRPr="0089332D">
              <w:rPr>
                <w:rFonts w:ascii="Times New Roman" w:hAnsi="Times New Roman"/>
                <w:b/>
                <w:bCs/>
                <w:sz w:val="22"/>
                <w:szCs w:val="22"/>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jc w:val="center"/>
              <w:rPr>
                <w:rFonts w:ascii="Times New Roman" w:hAnsi="Times New Roman"/>
                <w:sz w:val="22"/>
                <w:szCs w:val="22"/>
              </w:rPr>
            </w:pPr>
            <w:r w:rsidRPr="0089332D">
              <w:rPr>
                <w:rFonts w:ascii="Times New Roman" w:hAnsi="Times New Roman"/>
                <w:b/>
                <w:bCs/>
                <w:sz w:val="22"/>
                <w:szCs w:val="22"/>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jc w:val="center"/>
              <w:rPr>
                <w:rFonts w:ascii="Times New Roman" w:hAnsi="Times New Roman"/>
                <w:sz w:val="22"/>
                <w:szCs w:val="22"/>
              </w:rPr>
            </w:pPr>
            <w:r w:rsidRPr="0089332D">
              <w:rPr>
                <w:rFonts w:ascii="Times New Roman" w:hAnsi="Times New Roman"/>
                <w:b/>
                <w:bCs/>
                <w:sz w:val="22"/>
                <w:szCs w:val="22"/>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9332D" w:rsidRPr="0089332D" w:rsidP="00DE6B1D">
            <w:pPr>
              <w:pStyle w:val="NormalWeb"/>
              <w:bidi w:val="0"/>
              <w:spacing w:before="0" w:after="0" w:line="240" w:lineRule="auto"/>
              <w:jc w:val="center"/>
              <w:rPr>
                <w:rFonts w:ascii="Times New Roman" w:hAnsi="Times New Roman"/>
                <w:sz w:val="22"/>
                <w:szCs w:val="22"/>
              </w:rPr>
            </w:pPr>
            <w:r w:rsidRPr="0089332D">
              <w:rPr>
                <w:rFonts w:ascii="Times New Roman" w:hAnsi="Times New Roman"/>
                <w:b/>
                <w:bCs/>
                <w:sz w:val="22"/>
                <w:szCs w:val="22"/>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9332D" w:rsidRPr="0089332D" w:rsidP="00DE6B1D">
            <w:pPr>
              <w:pStyle w:val="NormalWeb"/>
              <w:bidi w:val="0"/>
              <w:spacing w:before="0" w:after="0" w:line="240" w:lineRule="auto"/>
              <w:rPr>
                <w:rFonts w:ascii="Times New Roman" w:hAnsi="Times New Roman"/>
                <w:sz w:val="22"/>
                <w:szCs w:val="22"/>
              </w:rPr>
            </w:pPr>
            <w:r w:rsidRPr="0089332D">
              <w:rPr>
                <w:rFonts w:ascii="Times New Roman" w:hAnsi="Times New Roman"/>
                <w:sz w:val="22"/>
                <w:szCs w:val="22"/>
              </w:rPr>
              <w:t> </w:t>
            </w:r>
          </w:p>
        </w:tc>
      </w:tr>
    </w:tbl>
    <w:p w:rsidR="0089332D" w:rsidRPr="0089332D" w:rsidP="0089332D">
      <w:pPr>
        <w:pStyle w:val="BodyText"/>
        <w:tabs>
          <w:tab w:val="num" w:pos="1080"/>
        </w:tabs>
        <w:bidi w:val="0"/>
        <w:spacing w:after="0"/>
        <w:jc w:val="both"/>
        <w:rPr>
          <w:rFonts w:ascii="Times New Roman" w:hAnsi="Times New Roman"/>
          <w:bCs/>
        </w:rPr>
        <w:sectPr w:rsidSect="005109F5">
          <w:pgSz w:w="16837" w:h="11905" w:orient="landscape" w:code="9"/>
          <w:pgMar w:top="1418" w:right="1418" w:bottom="1418" w:left="1418" w:header="567" w:footer="567" w:gutter="0"/>
          <w:lnNumType w:distance="0"/>
          <w:cols w:space="708"/>
          <w:noEndnote w:val="0"/>
          <w:bidi w:val="0"/>
          <w:docGrid w:linePitch="360"/>
        </w:sectPr>
      </w:pPr>
    </w:p>
    <w:p w:rsidR="0089332D" w:rsidRPr="0089332D" w:rsidP="0089332D">
      <w:pPr>
        <w:bidi w:val="0"/>
        <w:jc w:val="center"/>
        <w:rPr>
          <w:rFonts w:ascii="Times New Roman" w:hAnsi="Times New Roman"/>
          <w:b/>
          <w:bCs/>
        </w:rPr>
      </w:pPr>
      <w:r w:rsidRPr="0089332D">
        <w:rPr>
          <w:rFonts w:ascii="Times New Roman" w:hAnsi="Times New Roman"/>
          <w:b/>
          <w:bCs/>
        </w:rPr>
        <w:t>Vplyvy na podnikateľské prostredie</w:t>
      </w:r>
    </w:p>
    <w:p w:rsidR="0089332D" w:rsidRPr="0089332D" w:rsidP="0089332D">
      <w:pPr>
        <w:bidi w:val="0"/>
        <w:jc w:val="center"/>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89332D" w:rsidRPr="0089332D" w:rsidP="00DE6B1D">
            <w:pPr>
              <w:bidi w:val="0"/>
              <w:spacing w:after="0" w:line="240" w:lineRule="auto"/>
              <w:jc w:val="center"/>
              <w:rPr>
                <w:rFonts w:ascii="Times New Roman" w:hAnsi="Times New Roman"/>
                <w:b/>
                <w:bCs/>
                <w:color w:val="FFFFFF"/>
              </w:rPr>
            </w:pPr>
            <w:r w:rsidRPr="0089332D">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2835"/>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both"/>
              <w:rPr>
                <w:rFonts w:ascii="Times New Roman" w:hAnsi="Times New Roman"/>
              </w:rPr>
            </w:pPr>
          </w:p>
          <w:p w:rsidR="0089332D" w:rsidRPr="0089332D" w:rsidP="00DE6B1D">
            <w:pPr>
              <w:bidi w:val="0"/>
              <w:spacing w:after="0" w:line="240" w:lineRule="auto"/>
              <w:rPr>
                <w:rFonts w:ascii="Times New Roman" w:hAnsi="Times New Roman"/>
              </w:rPr>
            </w:pPr>
            <w:r w:rsidRPr="0089332D">
              <w:rPr>
                <w:rFonts w:ascii="Times New Roman" w:hAnsi="Times New Roman"/>
                <w:b/>
              </w:rPr>
              <w:t>3.1</w:t>
            </w:r>
            <w:r w:rsidRPr="0089332D">
              <w:rPr>
                <w:rFonts w:ascii="Times New Roman" w:hAnsi="Times New Roman"/>
              </w:rPr>
              <w:t>. Ktoré podnikateľské subjekty budú predkladaným návrhom ovplyvnené a aký je ich počet?</w:t>
            </w:r>
          </w:p>
          <w:p w:rsidR="0089332D" w:rsidRPr="0089332D" w:rsidP="00DE6B1D">
            <w:pPr>
              <w:bidi w:val="0"/>
              <w:spacing w:after="0" w:line="240" w:lineRule="auto"/>
              <w:jc w:val="both"/>
              <w:rPr>
                <w:rFonts w:ascii="Times New Roman" w:hAnsi="Times New Roman"/>
              </w:rPr>
            </w:pPr>
          </w:p>
        </w:tc>
        <w:tc>
          <w:tcPr>
            <w:tcW w:w="5040" w:type="dxa"/>
            <w:tcBorders>
              <w:top w:val="single" w:sz="4" w:space="0" w:color="auto"/>
              <w:left w:val="nil"/>
              <w:bottom w:val="single" w:sz="4" w:space="0" w:color="auto"/>
              <w:right w:val="single" w:sz="8" w:space="0" w:color="auto"/>
            </w:tcBorders>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Navrhovaná úprava sa bude týkať platiteľov dane, ktorí sú identifikovaný pre daň v tuzemsku a rozhodnú sa dobrovoľne, že budú dodávať telekomunikačné služby, služby rozhlasového a televízneho vysielanie a elektronické služby pre nezdaniteľné osoby v iných členských štátoch tzv. systémom mini one-stop-shop (jedno kontaktné miesto). Takáto úprava sa môže týkať aj zdaniteľných osôb neusadených v EÚ, ktoré sa na účely mini one-stop-shopu rozhodnú registrovať v tuzemsku.</w:t>
            </w:r>
          </w:p>
        </w:tc>
      </w:tr>
      <w:tr>
        <w:tblPrEx>
          <w:tblW w:w="9195" w:type="dxa"/>
          <w:tblInd w:w="55" w:type="dxa"/>
          <w:tblCellMar>
            <w:left w:w="70" w:type="dxa"/>
            <w:right w:w="70" w:type="dxa"/>
          </w:tblCellMar>
        </w:tblPrEx>
        <w:trPr>
          <w:trHeight w:val="567"/>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jc w:val="both"/>
              <w:rPr>
                <w:rFonts w:ascii="Times New Roman" w:hAnsi="Times New Roman"/>
              </w:rPr>
            </w:pPr>
          </w:p>
          <w:p w:rsidR="0089332D" w:rsidRPr="0089332D" w:rsidP="00DE6B1D">
            <w:pPr>
              <w:bidi w:val="0"/>
              <w:spacing w:after="0" w:line="240" w:lineRule="auto"/>
              <w:jc w:val="both"/>
              <w:rPr>
                <w:rFonts w:ascii="Times New Roman" w:hAnsi="Times New Roman"/>
              </w:rPr>
            </w:pPr>
          </w:p>
          <w:p w:rsidR="0089332D" w:rsidRPr="0089332D" w:rsidP="00DE6B1D">
            <w:pPr>
              <w:bidi w:val="0"/>
              <w:spacing w:after="0" w:line="240" w:lineRule="auto"/>
              <w:rPr>
                <w:rFonts w:ascii="Times New Roman" w:hAnsi="Times New Roman"/>
              </w:rPr>
            </w:pPr>
            <w:r w:rsidRPr="0089332D">
              <w:rPr>
                <w:rFonts w:ascii="Times New Roman" w:hAnsi="Times New Roman"/>
                <w:b/>
              </w:rPr>
              <w:t>3.2</w:t>
            </w:r>
            <w:r w:rsidRPr="0089332D">
              <w:rPr>
                <w:rFonts w:ascii="Times New Roman" w:hAnsi="Times New Roman"/>
              </w:rPr>
              <w:t>. Aký je predpokladaný charakter a rozsah nákladov a prínosov?</w:t>
            </w:r>
          </w:p>
          <w:p w:rsidR="0089332D" w:rsidRPr="0089332D" w:rsidP="00DE6B1D">
            <w:pPr>
              <w:bidi w:val="0"/>
              <w:spacing w:after="0" w:line="240" w:lineRule="auto"/>
              <w:rPr>
                <w:rFonts w:ascii="Times New Roman" w:hAnsi="Times New Roman"/>
              </w:rPr>
            </w:pPr>
          </w:p>
          <w:p w:rsidR="0089332D" w:rsidRPr="0089332D" w:rsidP="00DE6B1D">
            <w:pPr>
              <w:bidi w:val="0"/>
              <w:spacing w:after="0" w:line="240" w:lineRule="auto"/>
              <w:jc w:val="both"/>
              <w:rPr>
                <w:rFonts w:ascii="Times New Roman" w:hAnsi="Times New Roman"/>
              </w:rPr>
            </w:pPr>
          </w:p>
        </w:tc>
        <w:tc>
          <w:tcPr>
            <w:tcW w:w="5040" w:type="dxa"/>
            <w:tcBorders>
              <w:top w:val="single" w:sz="4" w:space="0" w:color="auto"/>
              <w:left w:val="nil"/>
              <w:bottom w:val="single" w:sz="4" w:space="0" w:color="auto"/>
              <w:right w:val="single" w:sz="8" w:space="0" w:color="auto"/>
            </w:tcBorders>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Operátorom, ktorí sa rozhodnú využiť túto dobrovoľnú úpravu, sa významne zníži administratívna záťaž tým, že sa nebudú musieť registrovať pre daň z pridanej hodnoty v každom členskom štáte, kde došlo k poskytnutiu telekomunikačných služieb, služieb rozhlasového a televízneho vysielania a elektronických služieb  nezdaniteľným osobám. Svoju povinnosť priznať a uhradiť daň si splnia v tom členskom štáte, v ktorom sa pre využívanie tejto úpravy identifikujú, a to podaním jedného daňového priznania elektronickými prostriedkami s následným uhradením splatnej dane. Tento očakávaný pozitívny dopad na náklady však nie je možné kvantifikovať.</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b/>
              </w:rPr>
              <w:t>3.3</w:t>
            </w:r>
            <w:r w:rsidRPr="0089332D">
              <w:rPr>
                <w:rFonts w:ascii="Times New Roman" w:hAnsi="Times New Roman"/>
              </w:rPr>
              <w:t>. Aká je predpokladaná výška administratívnych nákladov, ktoré podniky vynaložia v súvislosti s implementáciou návrhu?</w:t>
            </w:r>
          </w:p>
        </w:tc>
        <w:tc>
          <w:tcPr>
            <w:tcW w:w="5040" w:type="dxa"/>
            <w:tcBorders>
              <w:top w:val="nil"/>
              <w:left w:val="nil"/>
              <w:bottom w:val="single" w:sz="4" w:space="0" w:color="auto"/>
              <w:right w:val="single" w:sz="8" w:space="0" w:color="auto"/>
            </w:tcBorders>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Je možné predpokladať významné zníženie administratívnych nákladov, ktoré však nie je možné kvantifikovať.</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89332D" w:rsidRPr="0089332D" w:rsidP="00DE6B1D">
            <w:pPr>
              <w:bidi w:val="0"/>
              <w:spacing w:after="0" w:line="240" w:lineRule="auto"/>
              <w:jc w:val="both"/>
              <w:rPr>
                <w:rFonts w:ascii="Times New Roman" w:hAnsi="Times New Roman"/>
                <w:b/>
              </w:rPr>
            </w:pPr>
          </w:p>
          <w:p w:rsidR="0089332D" w:rsidRPr="0089332D" w:rsidP="00DE6B1D">
            <w:pPr>
              <w:bidi w:val="0"/>
              <w:spacing w:after="0" w:line="240" w:lineRule="auto"/>
              <w:rPr>
                <w:rFonts w:ascii="Times New Roman" w:hAnsi="Times New Roman"/>
              </w:rPr>
            </w:pPr>
            <w:r w:rsidRPr="0089332D">
              <w:rPr>
                <w:rFonts w:ascii="Times New Roman" w:hAnsi="Times New Roman"/>
                <w:b/>
              </w:rPr>
              <w:t>3.4</w:t>
            </w:r>
            <w:r w:rsidRPr="0089332D">
              <w:rPr>
                <w:rFonts w:ascii="Times New Roman" w:hAnsi="Times New Roman"/>
              </w:rPr>
              <w:t>. Aké sú dôsledky pripravovaného návrhu pre fungovanie podnikateľských subjektov na slovenskom trhu (ako sa zmenia operácie na trhu?)</w:t>
            </w:r>
          </w:p>
          <w:p w:rsidR="0089332D" w:rsidRPr="0089332D" w:rsidP="00DE6B1D">
            <w:pPr>
              <w:bidi w:val="0"/>
              <w:spacing w:after="0" w:line="240"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Operátorom, ktorí budú túto dobrovoľnú úpravu poskytovať z tuzemska, odpadne povinnosť registrácií v každom členskom štáte, kde tieto služby poskytujú. Všetky poskytnuté služby a vzniknuté daňové povinnosti budú vykazovať len v jednom daňovom priznaní podanom elektronickými prostriedkami v tuzemsku. Rovnako aj úhradu dane, ktorá prislúcha členskému štátu spotreby, si splnia v tuzemsku.</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9332D" w:rsidRPr="0089332D" w:rsidP="0089332D">
            <w:pPr>
              <w:bidi w:val="0"/>
              <w:spacing w:after="0" w:line="240" w:lineRule="auto"/>
              <w:rPr>
                <w:rFonts w:ascii="Times New Roman" w:hAnsi="Times New Roman"/>
              </w:rPr>
            </w:pPr>
            <w:r w:rsidRPr="0089332D">
              <w:rPr>
                <w:rFonts w:ascii="Times New Roman" w:hAnsi="Times New Roman"/>
                <w:b/>
              </w:rPr>
              <w:t>3.5</w:t>
            </w:r>
            <w:r w:rsidRPr="0089332D">
              <w:rPr>
                <w:rFonts w:ascii="Times New Roman" w:hAnsi="Times New Roman"/>
              </w:rPr>
              <w:t>. Aké sú predpokladané spoločensko–ekonomické dôsledky pripravovaných regulácií?</w:t>
            </w:r>
          </w:p>
        </w:tc>
        <w:tc>
          <w:tcPr>
            <w:tcW w:w="5040" w:type="dxa"/>
            <w:tcBorders>
              <w:top w:val="nil"/>
              <w:left w:val="nil"/>
              <w:bottom w:val="single" w:sz="4" w:space="0" w:color="auto"/>
              <w:right w:val="single" w:sz="8" w:space="0" w:color="auto"/>
            </w:tcBorders>
            <w:noWrap/>
            <w:textDirection w:val="lrTb"/>
            <w:vAlign w:val="center"/>
          </w:tcPr>
          <w:p w:rsidR="0089332D" w:rsidRPr="0089332D" w:rsidP="00DE6B1D">
            <w:pPr>
              <w:bidi w:val="0"/>
              <w:spacing w:after="0" w:line="240" w:lineRule="auto"/>
              <w:rPr>
                <w:rFonts w:ascii="Times New Roman" w:hAnsi="Times New Roman"/>
              </w:rPr>
            </w:pPr>
            <w:r w:rsidRPr="0089332D">
              <w:rPr>
                <w:rFonts w:ascii="Times New Roman" w:hAnsi="Times New Roman"/>
              </w:rPr>
              <w:t xml:space="preserve">Vplyvom zavedenia uvedenej dobrovoľnej úpravy sa očakáva zjednodušenie plnenia daňových povinností platiteľov dane. </w:t>
            </w:r>
          </w:p>
        </w:tc>
      </w:tr>
    </w:tbl>
    <w:p w:rsidR="0089332D" w:rsidRPr="0089332D" w:rsidP="0089332D">
      <w:pPr>
        <w:pStyle w:val="NormalWeb"/>
        <w:bidi w:val="0"/>
        <w:spacing w:before="0" w:after="0"/>
        <w:ind w:left="0"/>
        <w:jc w:val="center"/>
        <w:rPr>
          <w:rFonts w:ascii="Times New Roman" w:hAnsi="Times New Roman"/>
          <w:b/>
          <w:bCs/>
        </w:rPr>
      </w:pPr>
      <w:r w:rsidRPr="0089332D">
        <w:rPr>
          <w:rFonts w:ascii="Times New Roman" w:hAnsi="Times New Roman"/>
          <w:b/>
          <w:bCs/>
        </w:rPr>
        <w:t>Vplyvy na informatizáciu spoločnosti</w:t>
      </w:r>
    </w:p>
    <w:p w:rsidR="0089332D" w:rsidRPr="0089332D" w:rsidP="0089332D">
      <w:pPr>
        <w:pStyle w:val="NormalWeb"/>
        <w:bidi w:val="0"/>
        <w:spacing w:before="0" w:after="0"/>
        <w:ind w:left="0"/>
        <w:jc w:val="both"/>
        <w:rPr>
          <w:rFonts w:ascii="Times New Roman" w:hAnsi="Times New Roman"/>
          <w:bCs/>
        </w:rPr>
      </w:pPr>
    </w:p>
    <w:tbl>
      <w:tblPr>
        <w:tblStyle w:val="TableNormal"/>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994"/>
      </w:tblGrid>
      <w:tr>
        <w:tblPrEx>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9332D" w:rsidRPr="0089332D" w:rsidP="00DE6B1D">
            <w:pPr>
              <w:bidi w:val="0"/>
              <w:spacing w:after="0" w:line="240" w:lineRule="auto"/>
              <w:jc w:val="both"/>
              <w:rPr>
                <w:rFonts w:ascii="Times New Roman" w:hAnsi="Times New Roman"/>
                <w:b/>
              </w:rPr>
            </w:pPr>
            <w:r w:rsidRPr="0089332D">
              <w:rPr>
                <w:rFonts w:ascii="Times New Roman" w:hAnsi="Times New Roman"/>
                <w:b/>
              </w:rPr>
              <w:t>Budovanie základných pilierov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9332D" w:rsidRPr="0089332D" w:rsidP="00DE6B1D">
            <w:pPr>
              <w:bidi w:val="0"/>
              <w:spacing w:after="0" w:line="240" w:lineRule="auto"/>
              <w:rPr>
                <w:rFonts w:ascii="Times New Roman" w:hAnsi="Times New Roman"/>
                <w:b/>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9332D" w:rsidRPr="0089332D" w:rsidP="00DE6B1D">
            <w:pPr>
              <w:bidi w:val="0"/>
              <w:spacing w:after="0" w:line="240" w:lineRule="auto"/>
              <w:jc w:val="both"/>
              <w:rPr>
                <w:rFonts w:ascii="Times New Roman" w:hAnsi="Times New Roman"/>
                <w:b/>
              </w:rPr>
            </w:pPr>
            <w:r w:rsidRPr="0089332D">
              <w:rPr>
                <w:rFonts w:ascii="Times New Roman" w:hAnsi="Times New Roman"/>
                <w:b/>
              </w:rPr>
              <w:t>Obsah</w:t>
            </w:r>
          </w:p>
        </w:tc>
        <w:tc>
          <w:tcPr>
            <w:tcW w:w="3994"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9332D" w:rsidRPr="0089332D" w:rsidP="00DE6B1D">
            <w:pPr>
              <w:bidi w:val="0"/>
              <w:spacing w:after="0" w:line="240" w:lineRule="auto"/>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rPr>
            </w:pPr>
            <w:r w:rsidRPr="0089332D">
              <w:rPr>
                <w:rFonts w:ascii="Times New Roman" w:hAnsi="Times New Roman"/>
                <w:b/>
              </w:rPr>
              <w:t>6.1.</w:t>
            </w:r>
            <w:r w:rsidRPr="0089332D">
              <w:rPr>
                <w:rFonts w:ascii="Times New Roman" w:hAnsi="Times New Roman"/>
              </w:rPr>
              <w:t xml:space="preserve"> Rozširujú alebo inovujú  sa existujúce alebo vytvárajú sa či zavádzajú  sa nové elektronické služby?</w:t>
            </w:r>
          </w:p>
          <w:p w:rsidR="0089332D" w:rsidRPr="0089332D" w:rsidP="00DE6B1D">
            <w:pPr>
              <w:bidi w:val="0"/>
              <w:spacing w:after="0" w:line="240" w:lineRule="auto"/>
              <w:jc w:val="both"/>
              <w:rPr>
                <w:rFonts w:ascii="Times New Roman" w:hAnsi="Times New Roman"/>
              </w:rPr>
            </w:pPr>
            <w:r w:rsidRPr="0089332D">
              <w:rPr>
                <w:rFonts w:ascii="Times New Roman" w:hAnsi="Times New Roman"/>
                <w:i/>
                <w:iCs/>
              </w:rPr>
              <w:t>(Popíšte ich funkciu a úroveň poskytovania.)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both"/>
              <w:rPr>
                <w:rFonts w:ascii="Times New Roman" w:hAnsi="Times New Roman"/>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rPr>
            </w:pPr>
            <w:r w:rsidRPr="0089332D">
              <w:rPr>
                <w:rFonts w:ascii="Times New Roman" w:hAnsi="Times New Roman"/>
                <w:b/>
              </w:rPr>
              <w:t>6.2.</w:t>
            </w:r>
            <w:r w:rsidRPr="0089332D">
              <w:rPr>
                <w:rFonts w:ascii="Times New Roman" w:hAnsi="Times New Roman"/>
              </w:rPr>
              <w:t xml:space="preserve"> Vytvárajú sa podmienky pre sémantickú interoperabilitu?</w:t>
            </w:r>
          </w:p>
          <w:p w:rsidR="0089332D" w:rsidRPr="0089332D" w:rsidP="00DE6B1D">
            <w:pPr>
              <w:bidi w:val="0"/>
              <w:spacing w:after="0" w:line="240" w:lineRule="auto"/>
              <w:jc w:val="both"/>
              <w:rPr>
                <w:rFonts w:ascii="Times New Roman" w:hAnsi="Times New Roman"/>
              </w:rPr>
            </w:pPr>
            <w:r w:rsidRPr="0089332D">
              <w:rPr>
                <w:rFonts w:ascii="Times New Roman" w:hAnsi="Times New Roman"/>
                <w:i/>
                <w:iCs/>
              </w:rPr>
              <w:t>(Popíšte spôsob jej zabezpečenia.)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center"/>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9332D" w:rsidRPr="0089332D" w:rsidP="00DE6B1D">
            <w:pPr>
              <w:bidi w:val="0"/>
              <w:spacing w:after="0" w:line="240" w:lineRule="auto"/>
              <w:jc w:val="both"/>
              <w:rPr>
                <w:rFonts w:ascii="Times New Roman" w:hAnsi="Times New Roman"/>
                <w:b/>
                <w:color w:val="FFFFFF"/>
              </w:rPr>
            </w:pPr>
            <w:r w:rsidRPr="0089332D">
              <w:rPr>
                <w:rFonts w:ascii="Times New Roman" w:hAnsi="Times New Roman"/>
                <w:b/>
              </w:rPr>
              <w:t>Ľudia</w:t>
            </w:r>
          </w:p>
        </w:tc>
        <w:tc>
          <w:tcPr>
            <w:tcW w:w="3994"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9332D" w:rsidRPr="0089332D" w:rsidP="00DE6B1D">
            <w:pPr>
              <w:bidi w:val="0"/>
              <w:spacing w:after="0" w:line="240" w:lineRule="auto"/>
              <w:rPr>
                <w:rFonts w:ascii="Times New Roman" w:hAnsi="Times New Roman"/>
                <w:b/>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rPr>
            </w:pPr>
            <w:r w:rsidRPr="0089332D">
              <w:rPr>
                <w:rFonts w:ascii="Times New Roman" w:hAnsi="Times New Roman"/>
                <w:b/>
              </w:rPr>
              <w:t>6.3.</w:t>
            </w:r>
            <w:r w:rsidRPr="0089332D">
              <w:rPr>
                <w:rFonts w:ascii="Times New Roman" w:hAnsi="Times New Roman"/>
              </w:rPr>
              <w:t xml:space="preserve"> Zabezpečuje sa vzdelávanie v oblasti počítačovej gramotnosti a rozširovanie vedomostí o IKT?</w:t>
            </w:r>
          </w:p>
          <w:p w:rsidR="0089332D" w:rsidRPr="0089332D" w:rsidP="00DE6B1D">
            <w:pPr>
              <w:bidi w:val="0"/>
              <w:spacing w:after="0" w:line="240" w:lineRule="auto"/>
              <w:jc w:val="both"/>
              <w:rPr>
                <w:rFonts w:ascii="Times New Roman" w:hAnsi="Times New Roman"/>
              </w:rPr>
            </w:pPr>
            <w:r w:rsidRPr="0089332D">
              <w:rPr>
                <w:rFonts w:ascii="Times New Roman" w:hAnsi="Times New Roman"/>
                <w:i/>
                <w:iCs/>
              </w:rPr>
              <w:t>(Uveďte spôsob, napr. projekty, školenia.)</w:t>
            </w:r>
          </w:p>
        </w:tc>
        <w:tc>
          <w:tcPr>
            <w:tcW w:w="3994" w:type="dxa"/>
            <w:tcBorders>
              <w:top w:val="single" w:sz="4" w:space="0" w:color="auto"/>
              <w:left w:val="single" w:sz="4" w:space="0" w:color="auto"/>
              <w:bottom w:val="single" w:sz="4" w:space="0" w:color="auto"/>
              <w:right w:val="single" w:sz="4" w:space="0" w:color="auto"/>
            </w:tcBorders>
            <w:textDirection w:val="lrTb"/>
            <w:vAlign w:val="center"/>
          </w:tcPr>
          <w:p w:rsidR="0089332D" w:rsidRPr="0089332D" w:rsidP="00DE6B1D">
            <w:pPr>
              <w:bidi w:val="0"/>
              <w:spacing w:after="0" w:line="240" w:lineRule="auto"/>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rPr>
            </w:pPr>
            <w:r w:rsidRPr="0089332D">
              <w:rPr>
                <w:rFonts w:ascii="Times New Roman" w:hAnsi="Times New Roman"/>
                <w:b/>
              </w:rPr>
              <w:t>6.4.</w:t>
            </w:r>
            <w:r w:rsidRPr="0089332D">
              <w:rPr>
                <w:rFonts w:ascii="Times New Roman" w:hAnsi="Times New Roman"/>
              </w:rPr>
              <w:t xml:space="preserve"> Zabezpečuje sa rozvoj elektronického vzdelávania?</w:t>
            </w:r>
          </w:p>
          <w:p w:rsidR="0089332D" w:rsidRPr="0089332D" w:rsidP="00DE6B1D">
            <w:pPr>
              <w:bidi w:val="0"/>
              <w:spacing w:after="0" w:line="240" w:lineRule="auto"/>
              <w:jc w:val="both"/>
              <w:rPr>
                <w:rFonts w:ascii="Times New Roman" w:hAnsi="Times New Roman"/>
                <w:color w:val="FFFFFF"/>
              </w:rPr>
            </w:pPr>
            <w:r w:rsidRPr="0089332D">
              <w:rPr>
                <w:rFonts w:ascii="Times New Roman" w:hAnsi="Times New Roman"/>
                <w:i/>
                <w:iCs/>
              </w:rPr>
              <w:t>(Uveďte typ a spôsob zabezpečenia vzdelávacích aktivít.)</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rPr>
            </w:pPr>
            <w:r w:rsidRPr="0089332D">
              <w:rPr>
                <w:rFonts w:ascii="Times New Roman" w:hAnsi="Times New Roman"/>
                <w:b/>
              </w:rPr>
              <w:t>6.5.</w:t>
            </w:r>
            <w:r w:rsidRPr="0089332D">
              <w:rPr>
                <w:rFonts w:ascii="Times New Roman" w:hAnsi="Times New Roman"/>
              </w:rPr>
              <w:t xml:space="preserve"> Zabezpečuje sa podporná a propagačná aktivita zameraná na zvyšovanie povedomia o informatizácii a IKT?</w:t>
            </w:r>
          </w:p>
          <w:p w:rsidR="0089332D" w:rsidRPr="0089332D" w:rsidP="00DE6B1D">
            <w:pPr>
              <w:bidi w:val="0"/>
              <w:spacing w:after="0" w:line="240" w:lineRule="auto"/>
              <w:jc w:val="both"/>
              <w:rPr>
                <w:rFonts w:ascii="Times New Roman" w:hAnsi="Times New Roman"/>
                <w:color w:val="FFFFFF"/>
              </w:rPr>
            </w:pPr>
            <w:r w:rsidRPr="0089332D">
              <w:rPr>
                <w:rFonts w:ascii="Times New Roman" w:hAnsi="Times New Roman"/>
                <w:i/>
                <w:iCs/>
              </w:rPr>
              <w:t>(Uveďte typ a spôsob zabezpečenia propagačných aktivít.)</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rPr>
            </w:pPr>
            <w:r w:rsidRPr="0089332D">
              <w:rPr>
                <w:rFonts w:ascii="Times New Roman" w:hAnsi="Times New Roman"/>
                <w:b/>
              </w:rPr>
              <w:t>6.6.</w:t>
            </w:r>
            <w:r w:rsidRPr="0089332D">
              <w:rPr>
                <w:rFonts w:ascii="Times New Roman" w:hAnsi="Times New Roman"/>
              </w:rPr>
              <w:t xml:space="preserve"> Zabezpečuje/zohľadňuje/zlepšuje sa prístup znevýhodnených osôb k službám informačnej spoločnosti?</w:t>
            </w:r>
          </w:p>
          <w:p w:rsidR="0089332D" w:rsidRPr="0089332D" w:rsidP="00DE6B1D">
            <w:pPr>
              <w:bidi w:val="0"/>
              <w:spacing w:after="0" w:line="240" w:lineRule="auto"/>
              <w:jc w:val="both"/>
              <w:rPr>
                <w:rFonts w:ascii="Times New Roman" w:hAnsi="Times New Roman"/>
              </w:rPr>
            </w:pPr>
            <w:r w:rsidRPr="0089332D">
              <w:rPr>
                <w:rFonts w:ascii="Times New Roman" w:hAnsi="Times New Roman"/>
                <w:i/>
                <w:iCs/>
              </w:rPr>
              <w:t>(Uveďte spôsob sprístupnenia digitálneho prostredia.)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9332D" w:rsidRPr="0089332D" w:rsidP="00DE6B1D">
            <w:pPr>
              <w:bidi w:val="0"/>
              <w:spacing w:after="0" w:line="240" w:lineRule="auto"/>
              <w:jc w:val="both"/>
              <w:rPr>
                <w:rFonts w:ascii="Times New Roman" w:hAnsi="Times New Roman"/>
                <w:b/>
              </w:rPr>
            </w:pPr>
            <w:r w:rsidRPr="0089332D">
              <w:rPr>
                <w:rFonts w:ascii="Times New Roman" w:hAnsi="Times New Roman"/>
                <w:b/>
              </w:rPr>
              <w:t>Infraštruktúra</w:t>
            </w:r>
          </w:p>
        </w:tc>
        <w:tc>
          <w:tcPr>
            <w:tcW w:w="3994"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9332D" w:rsidRPr="0089332D" w:rsidP="00DE6B1D">
            <w:pPr>
              <w:bidi w:val="0"/>
              <w:spacing w:after="0" w:line="240" w:lineRule="auto"/>
              <w:rPr>
                <w:rFonts w:ascii="Times New Roman" w:hAnsi="Times New Roman"/>
                <w:b/>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rPr>
            </w:pPr>
            <w:r w:rsidRPr="0089332D">
              <w:rPr>
                <w:rFonts w:ascii="Times New Roman" w:hAnsi="Times New Roman"/>
                <w:b/>
              </w:rPr>
              <w:t>6.7.</w:t>
            </w:r>
            <w:r w:rsidRPr="0089332D">
              <w:rPr>
                <w:rFonts w:ascii="Times New Roman" w:hAnsi="Times New Roman"/>
              </w:rPr>
              <w:t xml:space="preserve"> Rozširuje, inovuje, vytvára alebo zavádza sa nový informačný systém?</w:t>
            </w:r>
          </w:p>
          <w:p w:rsidR="0089332D" w:rsidRPr="0089332D" w:rsidP="00DE6B1D">
            <w:pPr>
              <w:bidi w:val="0"/>
              <w:spacing w:after="0" w:line="240" w:lineRule="auto"/>
              <w:jc w:val="both"/>
              <w:rPr>
                <w:rFonts w:ascii="Times New Roman" w:hAnsi="Times New Roman"/>
              </w:rPr>
            </w:pPr>
            <w:r w:rsidRPr="0089332D">
              <w:rPr>
                <w:rFonts w:ascii="Times New Roman" w:hAnsi="Times New Roman"/>
                <w:i/>
                <w:iCs/>
              </w:rPr>
              <w:t>(Uveďte jeho funkciu.)</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Cs/>
              </w:rPr>
            </w:pPr>
            <w:r w:rsidRPr="0089332D">
              <w:rPr>
                <w:rFonts w:ascii="Times New Roman" w:hAnsi="Times New Roman"/>
                <w:iCs/>
              </w:rPr>
              <w:t>Novelou zákona o DPH zavedená úprava mini one-stop-shopu bude znamenať rozšírenie už používaných informačných systémov finančnej správy súvisiacich s elektronickou registráciu, s elektronickým podávaním daňového priznania (štvrťročne). Osoby identifikované v tuzemsku pre uvedenú úpravu budú povinné viesť záznamy o dodaných službách, pri ktorých uplatnili osobitnú úpravu, tak, aby ich mohli na požiadanie elektronickými prostriedkami predložiť DÚ Bratislava a správcovi dane v členskom štáte spotreby.</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both"/>
              <w:rPr>
                <w:rFonts w:ascii="Times New Roman" w:hAnsi="Times New Roman"/>
              </w:rPr>
            </w:pPr>
            <w:r w:rsidRPr="0089332D">
              <w:rPr>
                <w:rFonts w:ascii="Times New Roman" w:hAnsi="Times New Roman"/>
                <w:b/>
              </w:rPr>
              <w:t>6.8.</w:t>
            </w:r>
            <w:r w:rsidRPr="0089332D">
              <w:rPr>
                <w:rFonts w:ascii="Times New Roman" w:hAnsi="Times New Roman"/>
              </w:rPr>
              <w:t xml:space="preserve"> Rozširuje sa prístupnosť k internetu?</w:t>
            </w:r>
          </w:p>
          <w:p w:rsidR="0089332D" w:rsidRPr="0089332D" w:rsidP="00DE6B1D">
            <w:pPr>
              <w:bidi w:val="0"/>
              <w:spacing w:after="0" w:line="240" w:lineRule="auto"/>
              <w:jc w:val="both"/>
              <w:rPr>
                <w:rFonts w:ascii="Times New Roman" w:hAnsi="Times New Roman"/>
              </w:rPr>
            </w:pPr>
            <w:r w:rsidRPr="0089332D">
              <w:rPr>
                <w:rFonts w:ascii="Times New Roman" w:hAnsi="Times New Roman"/>
                <w:i/>
                <w:iCs/>
              </w:rPr>
              <w:t>(Uveďte spôsob rozširovania prístupnosti.)</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rPr>
            </w:pPr>
            <w:r w:rsidRPr="0089332D">
              <w:rPr>
                <w:rFonts w:ascii="Times New Roman" w:hAnsi="Times New Roman"/>
                <w:b/>
              </w:rPr>
              <w:t>6.9.</w:t>
            </w:r>
            <w:r w:rsidRPr="0089332D">
              <w:rPr>
                <w:rFonts w:ascii="Times New Roman" w:hAnsi="Times New Roman"/>
              </w:rPr>
              <w:t xml:space="preserve"> Rozširuje sa prístupnosť k elektronickým službám?</w:t>
            </w:r>
          </w:p>
          <w:p w:rsidR="0089332D" w:rsidRPr="0089332D" w:rsidP="00DE6B1D">
            <w:pPr>
              <w:bidi w:val="0"/>
              <w:spacing w:after="0" w:line="240" w:lineRule="auto"/>
              <w:rPr>
                <w:rFonts w:ascii="Times New Roman" w:hAnsi="Times New Roman"/>
              </w:rPr>
            </w:pPr>
            <w:r w:rsidRPr="0089332D">
              <w:rPr>
                <w:rFonts w:ascii="Times New Roman" w:hAnsi="Times New Roman"/>
                <w:i/>
                <w:iCs/>
              </w:rPr>
              <w:t>(Uveďte spôsob rozširovania prístupnosti.)</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Cs/>
              </w:rPr>
            </w:pPr>
            <w:r w:rsidRPr="0089332D">
              <w:rPr>
                <w:rFonts w:ascii="Times New Roman" w:hAnsi="Times New Roman"/>
                <w:iCs/>
              </w:rPr>
              <w:t>Dobrovoľná úprava – schéma MOSS je nová elektronická služba, od ktorej sa očakáva významné zníženie administratívnej záťaže subjektov tým, že sa budú môcť registrovať iba v jednom členskom štáte EÚ pre DPH, namiesto všetkých členských štátov, kde došlo k poskytnutiu služieb definovaných smernicou 2008/8/ES.</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both"/>
              <w:rPr>
                <w:rFonts w:ascii="Times New Roman" w:hAnsi="Times New Roman"/>
              </w:rPr>
            </w:pPr>
            <w:r w:rsidRPr="0089332D">
              <w:rPr>
                <w:rFonts w:ascii="Times New Roman" w:hAnsi="Times New Roman"/>
                <w:b/>
              </w:rPr>
              <w:t>6.10.</w:t>
            </w:r>
            <w:r w:rsidRPr="0089332D">
              <w:rPr>
                <w:rFonts w:ascii="Times New Roman" w:hAnsi="Times New Roman"/>
              </w:rPr>
              <w:t xml:space="preserve"> Zabezpečuje sa technická interoperabilita?</w:t>
            </w:r>
          </w:p>
          <w:p w:rsidR="0089332D" w:rsidRPr="0089332D" w:rsidP="00DE6B1D">
            <w:pPr>
              <w:bidi w:val="0"/>
              <w:spacing w:after="0" w:line="240" w:lineRule="auto"/>
              <w:jc w:val="both"/>
              <w:rPr>
                <w:rFonts w:ascii="Times New Roman" w:hAnsi="Times New Roman"/>
              </w:rPr>
            </w:pPr>
            <w:r w:rsidRPr="0089332D">
              <w:rPr>
                <w:rFonts w:ascii="Times New Roman" w:hAnsi="Times New Roman"/>
                <w:i/>
                <w:iCs/>
              </w:rPr>
              <w:t>(Uveďte spôsob jej zabezpečenia.)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both"/>
              <w:rPr>
                <w:rFonts w:ascii="Times New Roman" w:hAnsi="Times New Roman"/>
              </w:rPr>
            </w:pPr>
            <w:r w:rsidRPr="0089332D">
              <w:rPr>
                <w:rFonts w:ascii="Times New Roman" w:hAnsi="Times New Roman"/>
                <w:b/>
              </w:rPr>
              <w:t>6.11.</w:t>
            </w:r>
            <w:r w:rsidRPr="0089332D">
              <w:rPr>
                <w:rFonts w:ascii="Times New Roman" w:hAnsi="Times New Roman"/>
              </w:rPr>
              <w:t xml:space="preserve"> Zvyšuje sa bezpečnosť IT?</w:t>
            </w:r>
          </w:p>
          <w:p w:rsidR="0089332D" w:rsidRPr="0089332D" w:rsidP="00DE6B1D">
            <w:pPr>
              <w:bidi w:val="0"/>
              <w:spacing w:after="0" w:line="240" w:lineRule="auto"/>
              <w:jc w:val="both"/>
              <w:rPr>
                <w:rFonts w:ascii="Times New Roman" w:hAnsi="Times New Roman"/>
              </w:rPr>
            </w:pPr>
            <w:r w:rsidRPr="0089332D">
              <w:rPr>
                <w:rFonts w:ascii="Times New Roman" w:hAnsi="Times New Roman"/>
              </w:rPr>
              <w:t>(</w:t>
            </w:r>
            <w:r w:rsidRPr="0089332D">
              <w:rPr>
                <w:rFonts w:ascii="Times New Roman" w:hAnsi="Times New Roman"/>
                <w:i/>
                <w:iCs/>
              </w:rPr>
              <w:t>Uveďte spôsob zvýšenia bezpečnosti a ochrany IT.)</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both"/>
              <w:rPr>
                <w:rFonts w:ascii="Times New Roman" w:hAnsi="Times New Roman"/>
              </w:rPr>
            </w:pPr>
            <w:r w:rsidRPr="0089332D">
              <w:rPr>
                <w:rFonts w:ascii="Times New Roman" w:hAnsi="Times New Roman"/>
                <w:b/>
              </w:rPr>
              <w:t>6.12.</w:t>
            </w:r>
            <w:r w:rsidRPr="0089332D">
              <w:rPr>
                <w:rFonts w:ascii="Times New Roman" w:hAnsi="Times New Roman"/>
              </w:rPr>
              <w:t xml:space="preserve"> Rozširuje sa technická infraštruktúra?</w:t>
            </w:r>
          </w:p>
          <w:p w:rsidR="0089332D" w:rsidRPr="0089332D" w:rsidP="00DE6B1D">
            <w:pPr>
              <w:bidi w:val="0"/>
              <w:spacing w:after="0" w:line="240" w:lineRule="auto"/>
              <w:jc w:val="both"/>
              <w:rPr>
                <w:rFonts w:ascii="Times New Roman" w:hAnsi="Times New Roman"/>
                <w:i/>
                <w:iCs/>
              </w:rPr>
            </w:pPr>
            <w:r w:rsidRPr="0089332D">
              <w:rPr>
                <w:rFonts w:ascii="Times New Roman" w:hAnsi="Times New Roman"/>
              </w:rPr>
              <w:t>(</w:t>
            </w:r>
            <w:r w:rsidRPr="0089332D">
              <w:rPr>
                <w:rFonts w:ascii="Times New Roman" w:hAnsi="Times New Roman"/>
                <w:i/>
                <w:iCs/>
              </w:rPr>
              <w:t>Uveďte stručný popis zavádzanej infraštruktúry.)</w:t>
            </w:r>
          </w:p>
          <w:p w:rsidR="0089332D" w:rsidRPr="0089332D" w:rsidP="00DE6B1D">
            <w:pPr>
              <w:bidi w:val="0"/>
              <w:spacing w:after="0" w:line="240" w:lineRule="auto"/>
              <w:jc w:val="both"/>
              <w:rPr>
                <w:rFonts w:ascii="Times New Roman" w:hAnsi="Times New Roman"/>
              </w:rPr>
            </w:pP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9332D" w:rsidRPr="0089332D" w:rsidP="00DE6B1D">
            <w:pPr>
              <w:bidi w:val="0"/>
              <w:spacing w:after="0" w:line="240" w:lineRule="auto"/>
              <w:rPr>
                <w:rFonts w:ascii="Times New Roman" w:hAnsi="Times New Roman"/>
                <w:b/>
              </w:rPr>
            </w:pPr>
            <w:r w:rsidRPr="0089332D">
              <w:rPr>
                <w:rFonts w:ascii="Times New Roman" w:hAnsi="Times New Roman"/>
                <w:b/>
              </w:rPr>
              <w:t>Riadenie procesu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9332D" w:rsidRPr="0089332D" w:rsidP="00DE6B1D">
            <w:pPr>
              <w:bidi w:val="0"/>
              <w:spacing w:after="0" w:line="240" w:lineRule="auto"/>
              <w:jc w:val="center"/>
              <w:rPr>
                <w:rFonts w:ascii="Times New Roman" w:hAnsi="Times New Roman"/>
                <w:b/>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rPr>
            </w:pPr>
            <w:r w:rsidRPr="0089332D">
              <w:rPr>
                <w:rFonts w:ascii="Times New Roman" w:hAnsi="Times New Roman"/>
                <w:b/>
              </w:rPr>
              <w:t>6.13.</w:t>
            </w:r>
            <w:r w:rsidRPr="0089332D">
              <w:rPr>
                <w:rFonts w:ascii="Times New Roman" w:hAnsi="Times New Roman"/>
              </w:rPr>
              <w:t xml:space="preserve"> Predpokladajú sa zmeny v riadení procesu informatizácie?</w:t>
            </w:r>
          </w:p>
          <w:p w:rsidR="0089332D" w:rsidRPr="0089332D" w:rsidP="00DE6B1D">
            <w:pPr>
              <w:bidi w:val="0"/>
              <w:spacing w:after="0" w:line="240" w:lineRule="auto"/>
              <w:jc w:val="both"/>
              <w:rPr>
                <w:rFonts w:ascii="Times New Roman" w:hAnsi="Times New Roman"/>
              </w:rPr>
            </w:pPr>
            <w:r w:rsidRPr="0089332D">
              <w:rPr>
                <w:rFonts w:ascii="Times New Roman" w:hAnsi="Times New Roman"/>
                <w:i/>
                <w:iCs/>
              </w:rPr>
              <w:t>(Uveďte popis zmien.)</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9332D" w:rsidRPr="0089332D" w:rsidP="00DE6B1D">
            <w:pPr>
              <w:bidi w:val="0"/>
              <w:spacing w:after="0" w:line="240" w:lineRule="auto"/>
              <w:jc w:val="both"/>
              <w:rPr>
                <w:rFonts w:ascii="Times New Roman" w:hAnsi="Times New Roman"/>
                <w:b/>
              </w:rPr>
            </w:pPr>
            <w:r w:rsidRPr="0089332D">
              <w:rPr>
                <w:rFonts w:ascii="Times New Roman" w:hAnsi="Times New Roman"/>
                <w:b/>
              </w:rPr>
              <w:t>Financovanie procesu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9332D" w:rsidRPr="0089332D" w:rsidP="00DE6B1D">
            <w:pPr>
              <w:bidi w:val="0"/>
              <w:spacing w:after="0" w:line="240" w:lineRule="auto"/>
              <w:rPr>
                <w:rFonts w:ascii="Times New Roman" w:hAnsi="Times New Roman"/>
                <w:b/>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jc w:val="both"/>
              <w:rPr>
                <w:rFonts w:ascii="Times New Roman" w:hAnsi="Times New Roman"/>
              </w:rPr>
            </w:pPr>
            <w:r w:rsidRPr="0089332D">
              <w:rPr>
                <w:rFonts w:ascii="Times New Roman" w:hAnsi="Times New Roman"/>
                <w:b/>
              </w:rPr>
              <w:t>6.14.</w:t>
            </w:r>
            <w:r w:rsidRPr="0089332D">
              <w:rPr>
                <w:rFonts w:ascii="Times New Roman" w:hAnsi="Times New Roman"/>
              </w:rPr>
              <w:t xml:space="preserve"> Vyžaduje si proces informatizácie finančné investície?</w:t>
            </w:r>
          </w:p>
          <w:p w:rsidR="0089332D" w:rsidRPr="0089332D" w:rsidP="00DE6B1D">
            <w:pPr>
              <w:bidi w:val="0"/>
              <w:spacing w:after="0" w:line="240" w:lineRule="auto"/>
              <w:rPr>
                <w:rFonts w:ascii="Times New Roman" w:hAnsi="Times New Roman"/>
              </w:rPr>
            </w:pPr>
            <w:r w:rsidRPr="0089332D">
              <w:rPr>
                <w:rFonts w:ascii="Times New Roman" w:hAnsi="Times New Roman"/>
                <w:i/>
                <w:iCs/>
              </w:rPr>
              <w:t>(Popíšte príslušnú úroveň financovania.)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pStyle w:val="NormalWeb"/>
              <w:bidi w:val="0"/>
              <w:spacing w:before="0" w:after="0" w:line="240" w:lineRule="auto"/>
              <w:rPr>
                <w:rFonts w:ascii="Times New Roman" w:hAnsi="Times New Roman"/>
                <w:color w:val="auto"/>
              </w:rPr>
            </w:pPr>
            <w:r w:rsidRPr="0089332D">
              <w:rPr>
                <w:rFonts w:ascii="Times New Roman" w:hAnsi="Times New Roman"/>
                <w:iCs/>
                <w:color w:val="auto"/>
              </w:rPr>
              <w:t>Je možné predpokladať aj určité finančné náklady súvisiace s implementáciou úpravy mini one-stop-shopu.</w:t>
            </w:r>
            <w:r w:rsidRPr="0089332D">
              <w:rPr>
                <w:rFonts w:ascii="Times New Roman" w:hAnsi="Times New Roman"/>
                <w:color w:val="auto"/>
              </w:rPr>
              <w:t xml:space="preserve"> Na implementáciu tejto úpravy finančná správa počíta s finančnými prostriedkami v rozsahu cca 1 mil. eur.</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9332D" w:rsidRPr="0089332D" w:rsidP="00DE6B1D">
            <w:pPr>
              <w:bidi w:val="0"/>
              <w:spacing w:after="0" w:line="240" w:lineRule="auto"/>
              <w:jc w:val="both"/>
              <w:rPr>
                <w:rFonts w:ascii="Times New Roman" w:hAnsi="Times New Roman"/>
                <w:b/>
              </w:rPr>
            </w:pPr>
            <w:r w:rsidRPr="0089332D">
              <w:rPr>
                <w:rFonts w:ascii="Times New Roman" w:hAnsi="Times New Roman"/>
                <w:b/>
              </w:rPr>
              <w:t>Legislatívne prostredie procesu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9332D" w:rsidRPr="0089332D" w:rsidP="00DE6B1D">
            <w:pPr>
              <w:bidi w:val="0"/>
              <w:spacing w:after="0" w:line="240" w:lineRule="auto"/>
              <w:rPr>
                <w:rFonts w:ascii="Times New Roman" w:hAnsi="Times New Roman"/>
                <w:b/>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rPr>
            </w:pPr>
            <w:r w:rsidRPr="0089332D">
              <w:rPr>
                <w:rFonts w:ascii="Times New Roman" w:hAnsi="Times New Roman"/>
                <w:b/>
              </w:rPr>
              <w:t>6.15.</w:t>
            </w:r>
            <w:r w:rsidRPr="0089332D">
              <w:rPr>
                <w:rFonts w:ascii="Times New Roman" w:hAnsi="Times New Roman"/>
              </w:rPr>
              <w:t xml:space="preserve"> Predpokladá nelegislatívny materiál potrebu úpravy legislatívneho prostredia  procesu informatizácie?</w:t>
            </w:r>
          </w:p>
          <w:p w:rsidR="0089332D" w:rsidRPr="0089332D" w:rsidP="00DE6B1D">
            <w:pPr>
              <w:bidi w:val="0"/>
              <w:spacing w:after="0" w:line="240" w:lineRule="auto"/>
              <w:rPr>
                <w:rFonts w:ascii="Times New Roman" w:hAnsi="Times New Roman"/>
              </w:rPr>
            </w:pPr>
            <w:r w:rsidRPr="0089332D">
              <w:rPr>
                <w:rFonts w:ascii="Times New Roman" w:hAnsi="Times New Roman"/>
                <w:i/>
                <w:iCs/>
              </w:rPr>
              <w:t>(Stručne popíšte navrhované legislatívne zmeny.)</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89332D" w:rsidRPr="0089332D" w:rsidP="00DE6B1D">
            <w:pPr>
              <w:bidi w:val="0"/>
              <w:spacing w:after="0" w:line="240" w:lineRule="auto"/>
              <w:rPr>
                <w:rFonts w:ascii="Times New Roman" w:hAnsi="Times New Roman"/>
                <w:i/>
                <w:iCs/>
              </w:rPr>
            </w:pPr>
          </w:p>
        </w:tc>
      </w:tr>
    </w:tbl>
    <w:p w:rsidR="0089332D" w:rsidRPr="0089332D" w:rsidP="0089332D">
      <w:pPr>
        <w:bidi w:val="0"/>
        <w:jc w:val="center"/>
        <w:rPr>
          <w:rFonts w:ascii="Times New Roman" w:hAnsi="Times New Roman"/>
          <w:b/>
        </w:rPr>
      </w:pPr>
    </w:p>
    <w:p w:rsidR="0089332D" w:rsidRPr="0089332D" w:rsidP="0089332D">
      <w:pPr>
        <w:pStyle w:val="Title"/>
        <w:bidi w:val="0"/>
        <w:rPr>
          <w:rFonts w:ascii="Times New Roman" w:hAnsi="Times New Roman"/>
        </w:rPr>
      </w:pPr>
    </w:p>
    <w:p w:rsidR="0089332D" w:rsidRPr="0089332D" w:rsidP="0089332D">
      <w:pPr>
        <w:bidi w:val="0"/>
        <w:jc w:val="center"/>
        <w:rPr>
          <w:rFonts w:ascii="Times New Roman" w:hAnsi="Times New Roman"/>
          <w:b/>
          <w:caps/>
          <w:spacing w:val="30"/>
        </w:rPr>
      </w:pPr>
      <w:r w:rsidRPr="0089332D">
        <w:rPr>
          <w:rFonts w:ascii="Times New Roman" w:hAnsi="Times New Roman"/>
          <w:b/>
          <w:caps/>
          <w:spacing w:val="30"/>
        </w:rPr>
        <w:t>Doložka zlučiteľnosti</w:t>
      </w:r>
    </w:p>
    <w:p w:rsidR="0089332D" w:rsidRPr="0089332D" w:rsidP="0089332D">
      <w:pPr>
        <w:bidi w:val="0"/>
        <w:jc w:val="center"/>
        <w:rPr>
          <w:rFonts w:ascii="Times New Roman" w:hAnsi="Times New Roman"/>
          <w:b/>
        </w:rPr>
      </w:pPr>
      <w:r w:rsidRPr="0089332D">
        <w:rPr>
          <w:rFonts w:ascii="Times New Roman" w:hAnsi="Times New Roman"/>
          <w:b/>
        </w:rPr>
        <w:t>právneho predpisu s právom Európskej únie </w:t>
      </w:r>
    </w:p>
    <w:p w:rsidR="0089332D" w:rsidRPr="0089332D" w:rsidP="0089332D">
      <w:pPr>
        <w:bidi w:val="0"/>
        <w:rPr>
          <w:rFonts w:ascii="Times New Roman" w:hAnsi="Times New Roman"/>
        </w:rPr>
      </w:pPr>
    </w:p>
    <w:p w:rsidR="0089332D" w:rsidRPr="0089332D" w:rsidP="0089332D">
      <w:pPr>
        <w:bidi w:val="0"/>
        <w:rPr>
          <w:rFonts w:ascii="Times New Roman" w:hAnsi="Times New Roman"/>
        </w:rPr>
      </w:pPr>
    </w:p>
    <w:p w:rsidR="0089332D" w:rsidRPr="0089332D" w:rsidP="0089332D">
      <w:pPr>
        <w:bidi w:val="0"/>
        <w:ind w:left="360" w:hanging="360"/>
        <w:rPr>
          <w:rFonts w:ascii="Times New Roman" w:hAnsi="Times New Roman"/>
          <w:b/>
        </w:rPr>
      </w:pPr>
      <w:r w:rsidRPr="0089332D">
        <w:rPr>
          <w:rFonts w:ascii="Times New Roman" w:hAnsi="Times New Roman"/>
          <w:b/>
        </w:rPr>
        <w:t>1.</w:t>
        <w:tab/>
        <w:t>Predkladateľ právneho predpisu:</w:t>
      </w:r>
      <w:r w:rsidRPr="0089332D">
        <w:rPr>
          <w:rFonts w:ascii="Times New Roman" w:hAnsi="Times New Roman"/>
        </w:rPr>
        <w:t xml:space="preserve"> vláda Slovenskej republiky </w:t>
      </w:r>
    </w:p>
    <w:p w:rsidR="0089332D" w:rsidRPr="0089332D" w:rsidP="0089332D">
      <w:pPr>
        <w:tabs>
          <w:tab w:val="left" w:pos="360"/>
        </w:tabs>
        <w:bidi w:val="0"/>
        <w:ind w:left="360"/>
        <w:rPr>
          <w:rFonts w:ascii="Times New Roman" w:hAnsi="Times New Roman"/>
        </w:rPr>
      </w:pPr>
      <w:r w:rsidRPr="0089332D">
        <w:rPr>
          <w:rFonts w:ascii="Times New Roman" w:hAnsi="Times New Roman"/>
        </w:rPr>
        <w:t xml:space="preserve"> </w:t>
      </w:r>
    </w:p>
    <w:p w:rsidR="0089332D" w:rsidRPr="0089332D" w:rsidP="0089332D">
      <w:pPr>
        <w:bidi w:val="0"/>
        <w:ind w:left="360" w:hanging="360"/>
        <w:rPr>
          <w:rFonts w:ascii="Times New Roman" w:hAnsi="Times New Roman"/>
          <w:b/>
        </w:rPr>
      </w:pPr>
      <w:r w:rsidRPr="0089332D">
        <w:rPr>
          <w:rFonts w:ascii="Times New Roman" w:hAnsi="Times New Roman"/>
          <w:b/>
        </w:rPr>
        <w:t>2.</w:t>
        <w:tab/>
        <w:t>Názov návrhu právneho predpisu:</w:t>
      </w:r>
      <w:r w:rsidRPr="0089332D">
        <w:rPr>
          <w:rFonts w:ascii="Times New Roman" w:hAnsi="Times New Roman"/>
        </w:rPr>
        <w:t xml:space="preserve"> Návrh zákona, ktorým sa mení a dopĺňa zákon č. 222/2004 Z. z. o dani z pridanej hodnoty v znení neskorších predpisov a ktorým sa menia a dopĺňajú niektoré zákony </w:t>
      </w:r>
    </w:p>
    <w:p w:rsidR="0089332D" w:rsidRPr="0089332D" w:rsidP="0089332D">
      <w:pPr>
        <w:bidi w:val="0"/>
        <w:rPr>
          <w:rFonts w:ascii="Times New Roman" w:hAnsi="Times New Roman"/>
        </w:rPr>
      </w:pPr>
    </w:p>
    <w:p w:rsidR="0089332D" w:rsidRPr="0089332D" w:rsidP="0089332D">
      <w:pPr>
        <w:bidi w:val="0"/>
        <w:ind w:left="360" w:hanging="360"/>
        <w:rPr>
          <w:rFonts w:ascii="Times New Roman" w:hAnsi="Times New Roman"/>
          <w:b/>
        </w:rPr>
      </w:pPr>
      <w:r w:rsidRPr="0089332D">
        <w:rPr>
          <w:rFonts w:ascii="Times New Roman" w:hAnsi="Times New Roman"/>
          <w:b/>
        </w:rPr>
        <w:t>3.</w:t>
        <w:tab/>
        <w:t>Problematika návrhu právneho predpisu:</w:t>
      </w:r>
    </w:p>
    <w:p w:rsidR="0089332D" w:rsidRPr="0089332D" w:rsidP="0089332D">
      <w:pPr>
        <w:bidi w:val="0"/>
        <w:ind w:firstLine="360"/>
        <w:rPr>
          <w:rFonts w:ascii="Times New Roman" w:hAnsi="Times New Roman"/>
        </w:rPr>
      </w:pPr>
    </w:p>
    <w:p w:rsidR="0089332D" w:rsidRPr="0089332D" w:rsidP="0089332D">
      <w:pPr>
        <w:bidi w:val="0"/>
        <w:ind w:left="709" w:hanging="349"/>
        <w:rPr>
          <w:rFonts w:ascii="Times New Roman" w:hAnsi="Times New Roman"/>
        </w:rPr>
      </w:pPr>
      <w:r w:rsidRPr="0089332D">
        <w:rPr>
          <w:rFonts w:ascii="Times New Roman" w:hAnsi="Times New Roman"/>
        </w:rPr>
        <w:t>a)</w:t>
        <w:tab/>
        <w:t>je upravená v práve Európskej únie</w:t>
      </w:r>
    </w:p>
    <w:p w:rsidR="0089332D" w:rsidRPr="0089332D" w:rsidP="0089332D">
      <w:pPr>
        <w:bidi w:val="0"/>
        <w:ind w:left="360"/>
        <w:rPr>
          <w:rFonts w:ascii="Times New Roman" w:hAnsi="Times New Roman"/>
        </w:rPr>
      </w:pPr>
    </w:p>
    <w:p w:rsidR="0089332D" w:rsidRPr="0089332D" w:rsidP="0089332D">
      <w:pPr>
        <w:tabs>
          <w:tab w:val="left" w:pos="1068"/>
        </w:tabs>
        <w:bidi w:val="0"/>
        <w:ind w:left="879" w:hanging="171"/>
        <w:rPr>
          <w:rFonts w:ascii="Times New Roman" w:hAnsi="Times New Roman"/>
          <w:i/>
        </w:rPr>
      </w:pPr>
      <w:r w:rsidRPr="0089332D">
        <w:rPr>
          <w:rFonts w:ascii="Times New Roman" w:hAnsi="Times New Roman"/>
        </w:rPr>
        <w:t>-</w:t>
        <w:tab/>
      </w:r>
      <w:r w:rsidRPr="0089332D">
        <w:rPr>
          <w:rFonts w:ascii="Times New Roman" w:hAnsi="Times New Roman"/>
          <w:i/>
        </w:rPr>
        <w:t>primárnom</w:t>
      </w:r>
    </w:p>
    <w:p w:rsidR="0089332D" w:rsidRPr="0089332D" w:rsidP="0089332D">
      <w:pPr>
        <w:bidi w:val="0"/>
        <w:ind w:left="851"/>
        <w:rPr>
          <w:rFonts w:ascii="Times New Roman" w:hAnsi="Times New Roman"/>
        </w:rPr>
      </w:pPr>
    </w:p>
    <w:p w:rsidR="0089332D" w:rsidRPr="0089332D" w:rsidP="0089332D">
      <w:pPr>
        <w:bidi w:val="0"/>
        <w:ind w:left="851"/>
        <w:rPr>
          <w:rFonts w:ascii="Times New Roman" w:hAnsi="Times New Roman"/>
        </w:rPr>
      </w:pPr>
      <w:r w:rsidRPr="0089332D">
        <w:rPr>
          <w:rFonts w:ascii="Times New Roman" w:hAnsi="Times New Roman"/>
        </w:rPr>
        <w:t xml:space="preserve">- čl. 110 až 113, čl. 349 a 355 ods. 1 Zmluvy o fungovaní Európskej únie, </w:t>
        <w:br/>
        <w:t xml:space="preserve">- čl. 52 Zmluvy o Európskej únii. </w:t>
        <w:br/>
        <w:t> </w:t>
      </w:r>
    </w:p>
    <w:p w:rsidR="0089332D" w:rsidRPr="0089332D" w:rsidP="0089332D">
      <w:pPr>
        <w:tabs>
          <w:tab w:val="left" w:pos="1068"/>
        </w:tabs>
        <w:bidi w:val="0"/>
        <w:ind w:left="879" w:hanging="171"/>
        <w:rPr>
          <w:rFonts w:ascii="Times New Roman" w:hAnsi="Times New Roman"/>
          <w:i/>
        </w:rPr>
      </w:pPr>
      <w:r w:rsidRPr="0089332D">
        <w:rPr>
          <w:rFonts w:ascii="Times New Roman" w:hAnsi="Times New Roman"/>
        </w:rPr>
        <w:t>-</w:t>
        <w:tab/>
      </w:r>
      <w:r w:rsidRPr="0089332D">
        <w:rPr>
          <w:rFonts w:ascii="Times New Roman" w:hAnsi="Times New Roman"/>
          <w:i/>
        </w:rPr>
        <w:t>sekundárnom (prijatom po nadobudnutím platnosti Lisabonskej zmluvy, ktorou sa mení a dopĺňa Zmluva o Európskom spoločenstve a Zmluva o Európskej únii – po 30. novembri 2009)</w:t>
      </w:r>
    </w:p>
    <w:p w:rsidR="0089332D" w:rsidRPr="0089332D" w:rsidP="0089332D">
      <w:pPr>
        <w:tabs>
          <w:tab w:val="left" w:pos="1068"/>
        </w:tabs>
        <w:bidi w:val="0"/>
        <w:ind w:left="879" w:hanging="171"/>
        <w:rPr>
          <w:rFonts w:ascii="Times New Roman" w:hAnsi="Times New Roman"/>
          <w:i/>
        </w:rPr>
      </w:pPr>
    </w:p>
    <w:p w:rsidR="0089332D" w:rsidRPr="0089332D" w:rsidP="0089332D">
      <w:pPr>
        <w:bidi w:val="0"/>
        <w:ind w:left="1239" w:hanging="360"/>
        <w:rPr>
          <w:rFonts w:ascii="Times New Roman" w:hAnsi="Times New Roman"/>
          <w:i/>
        </w:rPr>
      </w:pPr>
      <w:r w:rsidRPr="0089332D">
        <w:rPr>
          <w:rFonts w:ascii="Times New Roman" w:hAnsi="Times New Roman"/>
        </w:rPr>
        <w:t>1.</w:t>
        <w:tab/>
        <w:t xml:space="preserve">legislatívne akty </w:t>
      </w:r>
    </w:p>
    <w:p w:rsidR="0089332D" w:rsidRPr="0089332D" w:rsidP="0089332D">
      <w:pPr>
        <w:bidi w:val="0"/>
        <w:ind w:firstLine="360"/>
        <w:rPr>
          <w:rFonts w:ascii="Times New Roman" w:hAnsi="Times New Roman"/>
        </w:rPr>
      </w:pPr>
    </w:p>
    <w:p w:rsidR="0089332D" w:rsidRPr="0089332D" w:rsidP="0089332D">
      <w:pPr>
        <w:bidi w:val="0"/>
        <w:ind w:left="851"/>
        <w:rPr>
          <w:rFonts w:ascii="Times New Roman" w:hAnsi="Times New Roman"/>
        </w:rPr>
      </w:pPr>
      <w:r w:rsidRPr="0089332D">
        <w:rPr>
          <w:rFonts w:ascii="Times New Roman" w:hAnsi="Times New Roman"/>
        </w:rPr>
        <w:t>smernica Rady 2013/61/EÚ zo 17. decembra 2013, ktorou sa menia smernice 2006/112/ES a 2008/118/ES, pokiaľ ide o najvzdialenejšie francúzske regióny, a najmä Mayotte (Ú. v. EÚ L 353, 28.12.2013). </w:t>
      </w:r>
    </w:p>
    <w:p w:rsidR="0089332D" w:rsidRPr="0089332D" w:rsidP="0089332D">
      <w:pPr>
        <w:bidi w:val="0"/>
        <w:ind w:left="851"/>
        <w:rPr>
          <w:rFonts w:ascii="Times New Roman" w:hAnsi="Times New Roman"/>
        </w:rPr>
      </w:pPr>
    </w:p>
    <w:p w:rsidR="0089332D" w:rsidRPr="0089332D" w:rsidP="0089332D">
      <w:pPr>
        <w:bidi w:val="0"/>
        <w:ind w:left="1239" w:hanging="360"/>
        <w:jc w:val="both"/>
        <w:rPr>
          <w:rFonts w:ascii="Times New Roman" w:hAnsi="Times New Roman"/>
          <w:i/>
        </w:rPr>
      </w:pPr>
      <w:r w:rsidRPr="0089332D">
        <w:rPr>
          <w:rFonts w:ascii="Times New Roman" w:hAnsi="Times New Roman"/>
        </w:rPr>
        <w:t>2.</w:t>
        <w:tab/>
        <w:t>nelegislatívne akty</w:t>
      </w:r>
    </w:p>
    <w:p w:rsidR="0089332D" w:rsidRPr="0089332D" w:rsidP="0089332D">
      <w:pPr>
        <w:bidi w:val="0"/>
        <w:ind w:firstLine="708"/>
        <w:jc w:val="both"/>
        <w:rPr>
          <w:rFonts w:ascii="Times New Roman" w:hAnsi="Times New Roman"/>
        </w:rPr>
      </w:pPr>
      <w:r w:rsidRPr="0089332D">
        <w:rPr>
          <w:rFonts w:ascii="Times New Roman" w:hAnsi="Times New Roman"/>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89332D" w:rsidRPr="0089332D" w:rsidP="00DE6B1D">
            <w:pPr>
              <w:bidi w:val="0"/>
              <w:spacing w:after="0" w:line="240" w:lineRule="auto"/>
              <w:jc w:val="both"/>
              <w:rPr>
                <w:rFonts w:ascii="Times New Roman" w:hAnsi="Times New Roman"/>
              </w:rPr>
            </w:pPr>
            <w:r w:rsidRPr="0089332D">
              <w:rPr>
                <w:rFonts w:ascii="Times New Roman" w:hAnsi="Times New Roman"/>
              </w:rPr>
              <w:t xml:space="preserve">- nariadenie Rady (EÚ) č. 904/2010 zo 7. októbra 2010 o administratívnej spolupráci a boji proti podvodom v oblasti dane z pridanej hodnoty (Ú. v. EÚ L 268, 12.10. 2010) v platnom znení, </w:t>
              <w:br/>
              <w:t xml:space="preserve">- vykonávacie nariadenie Rady (EÚ) č. 282/2011 z 15. marca 2011, ktorým sa ustanovujú vykonávacie opatrenia smernice 2006/112/ES o spoločnom systéme dane z pridanej hodnoty (Ú. v. EÚ L 77, 23.3.2011) v platnom znení, </w:t>
              <w:br/>
              <w:t xml:space="preserve">- vykonávacie nariadenie Komisie (EÚ) č. 79/2012 z 31. januára 2012, ktorým sa stanovujú podrobné pravidlá vykonávania niektorých ustanovení nariadenia Rady (EÚ) č. 904/2010 o administratívnej spolupráci a boji proti podvodom v oblasti dane z pridanej hodnoty (Ú. v. EÚ L 29, 1.2.2012) v platnom znení, </w:t>
              <w:br/>
              <w:t xml:space="preserve">- vykonávacie nariadenie Komisie (EÚ) č. 815/2012 z 13. septembra 2012, ktorým sa ustanovujú podrobné pravidlá uplatňovania nariadenia Rady (EÚ) č. 904/2010, pokiaľ ide o osobitné úpravy pre neusadené zdaniteľné osoby, ktoré poskytujú telekomunikačné služby, služby rozhlasového a televízneho vysielania alebo elektronické služby nezdaniteľným osobám (Ú. v. EÚ L 249 14. 9. 2012), </w:t>
              <w:br/>
              <w:t xml:space="preserve">- rozhodnutie Európskej rady z 11. júla 2012, ktorým sa mení a dopĺňa štatút Mayotte vo vzťahu k Európskej únii (2012/419/EÚ) (Ú. v. EÚ L 204, 31.7.2012). </w:t>
              <w:br/>
              <w:t> </w:t>
            </w:r>
          </w:p>
        </w:tc>
      </w:tr>
    </w:tbl>
    <w:p w:rsidR="0089332D" w:rsidRPr="0089332D" w:rsidP="0089332D">
      <w:pPr>
        <w:bidi w:val="0"/>
        <w:ind w:firstLine="708"/>
        <w:jc w:val="both"/>
        <w:rPr>
          <w:rFonts w:ascii="Times New Roman" w:hAnsi="Times New Roman"/>
        </w:rPr>
      </w:pPr>
    </w:p>
    <w:p w:rsidR="0089332D" w:rsidRPr="0089332D" w:rsidP="0089332D">
      <w:pPr>
        <w:bidi w:val="0"/>
        <w:ind w:left="879" w:hanging="171"/>
        <w:jc w:val="both"/>
        <w:rPr>
          <w:rFonts w:ascii="Times New Roman" w:hAnsi="Times New Roman"/>
          <w:i/>
        </w:rPr>
      </w:pPr>
      <w:r w:rsidRPr="0089332D">
        <w:rPr>
          <w:rFonts w:ascii="Times New Roman" w:hAnsi="Times New Roman"/>
        </w:rPr>
        <w:t>-</w:t>
        <w:tab/>
      </w:r>
      <w:r w:rsidRPr="0089332D">
        <w:rPr>
          <w:rFonts w:ascii="Times New Roman" w:hAnsi="Times New Roman"/>
          <w:i/>
        </w:rPr>
        <w:t>sekundárnom (prijatom pred nadobudnutím platnosti Lisabonskej zmluvy, ktorou sa mení a dopĺňa Zmluva o Európskom spoločenstve a Zmluva o Európskej únii – do 30. novembra 2009)</w:t>
      </w:r>
    </w:p>
    <w:p w:rsidR="0089332D" w:rsidRPr="0089332D" w:rsidP="0089332D">
      <w:pPr>
        <w:bidi w:val="0"/>
        <w:ind w:firstLine="708"/>
        <w:jc w:val="both"/>
        <w:rPr>
          <w:rFonts w:ascii="Times New Roman" w:hAnsi="Times New Roman"/>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89332D" w:rsidRPr="0089332D" w:rsidP="00DE6B1D">
            <w:pPr>
              <w:bidi w:val="0"/>
              <w:spacing w:after="0" w:line="240" w:lineRule="auto"/>
              <w:jc w:val="both"/>
              <w:rPr>
                <w:rFonts w:ascii="Times New Roman" w:hAnsi="Times New Roman"/>
              </w:rPr>
            </w:pPr>
            <w:r w:rsidRPr="0089332D">
              <w:rPr>
                <w:rFonts w:ascii="Times New Roman" w:hAnsi="Times New Roman"/>
              </w:rPr>
              <w:br/>
              <w:t xml:space="preserve">- čl. 5 smernice Rady 2008/8/ES z 12. februára 2008, ktorou sa mení a dopĺňa smernica 2006/112/ES, pokiaľ ide o miesto poskytovania služieb (Ú. v. EÚ L 44, 20.2.2008), </w:t>
              <w:br/>
              <w:t xml:space="preserve">- smernica Rady 2008/118/ES zo 16. decembra 2008 o všeobecnom systéme spotrebných daní a o zrušení smernice 92/12/EHS (Ú.v. EÚ L 9, 14.1.2009) v platnom znení, </w:t>
              <w:br/>
              <w:t xml:space="preserve">- smernica Rady 2006/112/ES z 28. novembra 2006 o spoločnom systéme dane z pridanej hodnoty (Ú. v. EÚ L 347, 11.12.2006) v platnom znení, </w:t>
              <w:br/>
              <w:t xml:space="preserve">- nariadenie Rady (ES) č. 1798/2003 zo 7. októbra 2003 o administratívnej spolupráci v oblasti dane z pridanej hodnoty a ktoré zrušuje nariadenie (EHS) č. 218/92 (Mimoriadne vydanie Ú. v. EÚ kap. 9/zv. 1) v platnom znení. </w:t>
              <w:br/>
              <w:t> </w:t>
            </w:r>
          </w:p>
        </w:tc>
      </w:tr>
    </w:tbl>
    <w:p w:rsidR="0089332D" w:rsidRPr="0089332D" w:rsidP="0089332D">
      <w:pPr>
        <w:bidi w:val="0"/>
        <w:ind w:left="709" w:hanging="349"/>
        <w:rPr>
          <w:rFonts w:ascii="Times New Roman" w:hAnsi="Times New Roman"/>
        </w:rPr>
      </w:pPr>
      <w:r w:rsidRPr="0089332D">
        <w:rPr>
          <w:rFonts w:ascii="Times New Roman" w:hAnsi="Times New Roman"/>
        </w:rPr>
        <w:t>b)</w:t>
        <w:tab/>
        <w:t>nie je obsiahnutá v judikatúre Súdneho dvora Európskej únie.</w:t>
      </w:r>
    </w:p>
    <w:p w:rsidR="0089332D" w:rsidRPr="0089332D" w:rsidP="0089332D">
      <w:pPr>
        <w:bidi w:val="0"/>
        <w:ind w:left="360"/>
        <w:rPr>
          <w:rFonts w:ascii="Times New Roman" w:hAnsi="Times New Roman"/>
        </w:rPr>
      </w:pPr>
    </w:p>
    <w:p w:rsidR="0089332D" w:rsidRPr="0089332D" w:rsidP="0089332D">
      <w:pPr>
        <w:bidi w:val="0"/>
        <w:rPr>
          <w:rFonts w:ascii="Times New Roman" w:hAnsi="Times New Roman"/>
        </w:rPr>
      </w:pPr>
    </w:p>
    <w:p w:rsidR="0089332D" w:rsidRPr="0089332D" w:rsidP="0089332D">
      <w:pPr>
        <w:bidi w:val="0"/>
        <w:ind w:left="360" w:hanging="360"/>
        <w:rPr>
          <w:rFonts w:ascii="Times New Roman" w:hAnsi="Times New Roman"/>
          <w:b/>
        </w:rPr>
      </w:pPr>
      <w:r w:rsidRPr="0089332D">
        <w:rPr>
          <w:rFonts w:ascii="Times New Roman" w:hAnsi="Times New Roman"/>
          <w:b/>
        </w:rPr>
        <w:t>4.</w:t>
        <w:tab/>
        <w:t xml:space="preserve">Záväzky Slovenskej republiky vo vzťahu k Európskej únii: </w:t>
      </w:r>
    </w:p>
    <w:p w:rsidR="0089332D" w:rsidRPr="0089332D" w:rsidP="0089332D">
      <w:pPr>
        <w:bidi w:val="0"/>
        <w:rPr>
          <w:rFonts w:ascii="Times New Roman" w:hAnsi="Times New Roman"/>
        </w:rPr>
      </w:pPr>
    </w:p>
    <w:p w:rsidR="0089332D" w:rsidRPr="0089332D" w:rsidP="0089332D">
      <w:pPr>
        <w:bidi w:val="0"/>
        <w:ind w:left="709" w:hanging="349"/>
        <w:rPr>
          <w:rFonts w:ascii="Times New Roman" w:hAnsi="Times New Roman"/>
        </w:rPr>
      </w:pPr>
      <w:r w:rsidRPr="0089332D">
        <w:rPr>
          <w:rFonts w:ascii="Times New Roman" w:hAnsi="Times New Roman"/>
        </w:rPr>
        <w:t>a)</w:t>
        <w:tab/>
        <w:t>lehota na prebratie smernice alebo lehota na implementáciu nariadenia alebo rozhodnutia</w:t>
      </w:r>
    </w:p>
    <w:p w:rsidR="0089332D" w:rsidRPr="0089332D" w:rsidP="0089332D">
      <w:pPr>
        <w:bidi w:val="0"/>
        <w:ind w:left="720"/>
        <w:rPr>
          <w:rFonts w:ascii="Times New Roman" w:hAnsi="Times New Roman"/>
        </w:rPr>
      </w:pPr>
    </w:p>
    <w:p w:rsidR="0089332D" w:rsidRPr="0089332D" w:rsidP="0089332D">
      <w:pPr>
        <w:bidi w:val="0"/>
        <w:ind w:left="720"/>
        <w:rPr>
          <w:rFonts w:ascii="Times New Roman" w:hAnsi="Times New Roman"/>
        </w:rPr>
      </w:pPr>
      <w:r w:rsidRPr="0089332D">
        <w:rPr>
          <w:rFonts w:ascii="Times New Roman" w:hAnsi="Times New Roman"/>
        </w:rPr>
        <w:t>Lehota na prebratie čl. 5 smernice 2008/8/ES bola stanovená do 1.1. 2015. Lehota na prebratie smernice 2013/61/EÚ bola stanovená do 1.1. 2014. </w:t>
      </w:r>
    </w:p>
    <w:p w:rsidR="0089332D" w:rsidRPr="0089332D" w:rsidP="0089332D">
      <w:pPr>
        <w:bidi w:val="0"/>
        <w:rPr>
          <w:rFonts w:ascii="Times New Roman" w:hAnsi="Times New Roman"/>
        </w:rPr>
      </w:pPr>
    </w:p>
    <w:p w:rsidR="0089332D" w:rsidRPr="0089332D" w:rsidP="0089332D">
      <w:pPr>
        <w:bidi w:val="0"/>
        <w:ind w:left="709" w:hanging="349"/>
        <w:rPr>
          <w:rFonts w:ascii="Times New Roman" w:hAnsi="Times New Roman"/>
        </w:rPr>
      </w:pPr>
      <w:r w:rsidRPr="0089332D">
        <w:rPr>
          <w:rFonts w:ascii="Times New Roman" w:hAnsi="Times New Roman"/>
        </w:rPr>
        <w:t>b)</w:t>
        <w:tab/>
      </w:r>
      <w:r w:rsidRPr="0089332D">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89332D" w:rsidRPr="0089332D" w:rsidP="0089332D">
      <w:pPr>
        <w:bidi w:val="0"/>
        <w:ind w:left="709" w:hanging="349"/>
        <w:rPr>
          <w:rFonts w:ascii="Times New Roman" w:hAnsi="Times New Roman"/>
        </w:rPr>
      </w:pPr>
      <w:r w:rsidRPr="0089332D">
        <w:rPr>
          <w:rFonts w:ascii="Times New Roman" w:hAnsi="Times New Roman"/>
        </w:rPr>
        <w:tab/>
      </w:r>
    </w:p>
    <w:p w:rsidR="0089332D" w:rsidRPr="0089332D" w:rsidP="0089332D">
      <w:pPr>
        <w:bidi w:val="0"/>
        <w:ind w:left="709" w:hanging="349"/>
        <w:rPr>
          <w:rFonts w:ascii="Times New Roman" w:hAnsi="Times New Roman"/>
        </w:rPr>
      </w:pPr>
      <w:r w:rsidRPr="0089332D">
        <w:rPr>
          <w:rFonts w:ascii="Times New Roman" w:hAnsi="Times New Roman"/>
        </w:rPr>
        <w:tab/>
        <w:t xml:space="preserve"> Lehota na predloženie návrhu právneho predpisu na rokovanie vlády podľa určenia gestorských ústredných orgánov štátnej správy zodpovedných za prebratie smerníc a vypracovanie tabuliek zhody k návrhom všeobecne záväzných právnych predpisov, ktorým sa zabezpečí prebratie čl. 5 smernice 2008/8/ES, bola určená do 30.9. 2014. Lehota na predloženie návrhu právneho prepisu, ktorým sa zabezpečí prebratie smernice 2013/61/EÚ, nebola zatiaľ určená. </w:t>
      </w:r>
    </w:p>
    <w:p w:rsidR="0089332D" w:rsidRPr="0089332D" w:rsidP="0089332D">
      <w:pPr>
        <w:bidi w:val="0"/>
        <w:ind w:left="709" w:hanging="349"/>
        <w:rPr>
          <w:rFonts w:ascii="Times New Roman" w:hAnsi="Times New Roman"/>
        </w:rPr>
      </w:pPr>
    </w:p>
    <w:p w:rsidR="0089332D" w:rsidRPr="0089332D" w:rsidP="0089332D">
      <w:pPr>
        <w:bidi w:val="0"/>
        <w:ind w:left="709" w:hanging="349"/>
        <w:rPr>
          <w:rFonts w:ascii="Times New Roman" w:hAnsi="Times New Roman"/>
        </w:rPr>
      </w:pPr>
      <w:r w:rsidRPr="0089332D">
        <w:rPr>
          <w:rFonts w:ascii="Times New Roman" w:hAnsi="Times New Roman"/>
        </w:rPr>
        <w:t>c)</w:t>
        <w:tab/>
        <w:t>informácia o konaní začatom proti Slovenskej republike o porušení podľa čl. 258 až 260 Zmluvy o fungovaní Európskej únie</w:t>
      </w:r>
    </w:p>
    <w:p w:rsidR="0089332D" w:rsidRPr="0089332D" w:rsidP="0089332D">
      <w:pPr>
        <w:bidi w:val="0"/>
        <w:ind w:left="720"/>
        <w:rPr>
          <w:rFonts w:ascii="Times New Roman" w:hAnsi="Times New Roman"/>
        </w:rPr>
      </w:pPr>
    </w:p>
    <w:p w:rsidR="0089332D" w:rsidRPr="0089332D" w:rsidP="0089332D">
      <w:pPr>
        <w:bidi w:val="0"/>
        <w:ind w:firstLine="708"/>
        <w:rPr>
          <w:rFonts w:ascii="Times New Roman" w:hAnsi="Times New Roman"/>
        </w:rPr>
      </w:pPr>
      <w:r w:rsidRPr="0089332D">
        <w:rPr>
          <w:rFonts w:ascii="Times New Roman" w:hAnsi="Times New Roman"/>
        </w:rPr>
        <w:t>Proti Slovenskej republike nebolo začaté konanie o porušení Zmluvy o založení Európskych spoločenstiev podľa čl. 258 až 260 Zmluvy o fungovaní Európskej únie. </w:t>
      </w:r>
    </w:p>
    <w:p w:rsidR="0089332D" w:rsidRPr="0089332D" w:rsidP="0089332D">
      <w:pPr>
        <w:bidi w:val="0"/>
        <w:ind w:firstLine="708"/>
        <w:rPr>
          <w:rFonts w:ascii="Times New Roman" w:hAnsi="Times New Roman"/>
        </w:rPr>
      </w:pPr>
    </w:p>
    <w:p w:rsidR="0089332D" w:rsidRPr="0089332D" w:rsidP="0089332D">
      <w:pPr>
        <w:bidi w:val="0"/>
        <w:ind w:left="709" w:hanging="349"/>
        <w:rPr>
          <w:rFonts w:ascii="Times New Roman" w:hAnsi="Times New Roman"/>
        </w:rPr>
      </w:pPr>
      <w:r w:rsidRPr="0089332D">
        <w:rPr>
          <w:rFonts w:ascii="Times New Roman" w:hAnsi="Times New Roman"/>
        </w:rPr>
        <w:t>d)</w:t>
        <w:tab/>
        <w:t>informácia o právnych predpisoch, v ktorých sú preberané smernice už prebraté spolu s uvedením rozsahu tohto prebratia</w:t>
      </w:r>
    </w:p>
    <w:p w:rsidR="0089332D" w:rsidRPr="0089332D" w:rsidP="0089332D">
      <w:pPr>
        <w:bidi w:val="0"/>
        <w:ind w:left="720"/>
        <w:rPr>
          <w:rFonts w:ascii="Times New Roman" w:hAnsi="Times New Roman"/>
        </w:rPr>
      </w:pPr>
    </w:p>
    <w:p w:rsidR="0089332D" w:rsidRPr="0089332D" w:rsidP="0089332D">
      <w:pPr>
        <w:bidi w:val="0"/>
        <w:ind w:firstLine="708"/>
        <w:rPr>
          <w:rFonts w:ascii="Times New Roman" w:hAnsi="Times New Roman"/>
        </w:rPr>
      </w:pPr>
      <w:r w:rsidRPr="0089332D">
        <w:rPr>
          <w:rFonts w:ascii="Times New Roman" w:hAnsi="Times New Roman"/>
        </w:rPr>
        <w:t>Smernica 2008/8/ES bola prebratá do zákona č. 222/2004 Z. z. o dani z pridanej hodnoty v znení neskorších predpisov. </w:t>
      </w:r>
    </w:p>
    <w:p w:rsidR="0089332D" w:rsidRPr="0089332D" w:rsidP="0089332D">
      <w:pPr>
        <w:bidi w:val="0"/>
        <w:ind w:firstLine="708"/>
        <w:rPr>
          <w:rFonts w:ascii="Times New Roman" w:hAnsi="Times New Roman"/>
        </w:rPr>
      </w:pPr>
    </w:p>
    <w:p w:rsidR="0089332D" w:rsidRPr="0089332D" w:rsidP="0089332D">
      <w:pPr>
        <w:bidi w:val="0"/>
        <w:ind w:left="360" w:hanging="360"/>
        <w:rPr>
          <w:rFonts w:ascii="Times New Roman" w:hAnsi="Times New Roman"/>
          <w:b/>
        </w:rPr>
      </w:pPr>
      <w:r w:rsidRPr="0089332D">
        <w:rPr>
          <w:rFonts w:ascii="Times New Roman" w:hAnsi="Times New Roman"/>
          <w:b/>
        </w:rPr>
        <w:t>5.</w:t>
        <w:tab/>
        <w:t>Stupeň zlučiteľnosti návrhu právneho predpisu s právom Európskej únie:</w:t>
      </w:r>
    </w:p>
    <w:p w:rsidR="0089332D" w:rsidRPr="0089332D" w:rsidP="0089332D">
      <w:pPr>
        <w:bidi w:val="0"/>
        <w:rPr>
          <w:rFonts w:ascii="Times New Roman" w:hAnsi="Times New Roman"/>
        </w:rPr>
      </w:pPr>
    </w:p>
    <w:p w:rsidR="0089332D" w:rsidRPr="0089332D" w:rsidP="0089332D">
      <w:pPr>
        <w:bidi w:val="0"/>
        <w:ind w:firstLine="360"/>
        <w:rPr>
          <w:rFonts w:ascii="Times New Roman" w:hAnsi="Times New Roman"/>
        </w:rPr>
      </w:pPr>
      <w:r w:rsidRPr="0089332D">
        <w:rPr>
          <w:rFonts w:ascii="Times New Roman" w:hAnsi="Times New Roman"/>
        </w:rPr>
        <w:t>Stupeň zlučiteľnosti - úplný </w:t>
      </w:r>
    </w:p>
    <w:p w:rsidR="0089332D" w:rsidRPr="0089332D" w:rsidP="0089332D">
      <w:pPr>
        <w:bidi w:val="0"/>
        <w:rPr>
          <w:rFonts w:ascii="Times New Roman" w:hAnsi="Times New Roman"/>
        </w:rPr>
      </w:pPr>
    </w:p>
    <w:p w:rsidR="0089332D" w:rsidRPr="0089332D" w:rsidP="0089332D">
      <w:pPr>
        <w:bidi w:val="0"/>
        <w:ind w:left="360" w:hanging="360"/>
        <w:rPr>
          <w:rFonts w:ascii="Times New Roman" w:hAnsi="Times New Roman"/>
          <w:b/>
        </w:rPr>
      </w:pPr>
      <w:r w:rsidRPr="0089332D">
        <w:rPr>
          <w:rFonts w:ascii="Times New Roman" w:hAnsi="Times New Roman"/>
          <w:b/>
        </w:rPr>
        <w:t>6.</w:t>
        <w:tab/>
        <w:t xml:space="preserve">Gestor a spolupracujúce rezorty: </w:t>
      </w:r>
    </w:p>
    <w:p w:rsidR="0089332D" w:rsidRPr="0089332D" w:rsidP="0089332D">
      <w:pPr>
        <w:tabs>
          <w:tab w:val="left" w:pos="360"/>
        </w:tabs>
        <w:bidi w:val="0"/>
        <w:ind w:left="360"/>
        <w:rPr>
          <w:rFonts w:ascii="Times New Roman" w:hAnsi="Times New Roman"/>
        </w:rPr>
      </w:pPr>
    </w:p>
    <w:p w:rsidR="0089332D" w:rsidRPr="0089332D" w:rsidP="0089332D">
      <w:pPr>
        <w:tabs>
          <w:tab w:val="left" w:pos="360"/>
        </w:tabs>
        <w:bidi w:val="0"/>
        <w:ind w:left="360"/>
        <w:rPr>
          <w:rFonts w:ascii="Times New Roman" w:hAnsi="Times New Roman"/>
        </w:rPr>
      </w:pPr>
      <w:r w:rsidRPr="0089332D">
        <w:rPr>
          <w:rFonts w:ascii="Times New Roman" w:hAnsi="Times New Roman"/>
        </w:rPr>
        <w:t>Ministerstvo financií Slovenskej republiky</w:t>
        <w:br/>
        <w:t> </w:t>
      </w:r>
    </w:p>
    <w:p w:rsidR="0089332D" w:rsidRPr="0089332D" w:rsidP="0089332D">
      <w:pPr>
        <w:widowControl/>
        <w:bidi w:val="0"/>
        <w:jc w:val="both"/>
        <w:rPr>
          <w:rFonts w:ascii="Times New Roman" w:hAnsi="Times New Roman"/>
          <w:b/>
          <w:color w:val="000000"/>
        </w:rPr>
      </w:pPr>
      <w:r w:rsidRPr="0089332D">
        <w:rPr>
          <w:rFonts w:ascii="Times New Roman" w:hAnsi="Times New Roman"/>
          <w:b/>
          <w:color w:val="000000"/>
        </w:rPr>
        <w:t>B. Osobitná časť</w:t>
      </w:r>
    </w:p>
    <w:p w:rsidR="0089332D" w:rsidRPr="0089332D" w:rsidP="0089332D">
      <w:pPr>
        <w:widowControl/>
        <w:bidi w:val="0"/>
        <w:jc w:val="both"/>
        <w:rPr>
          <w:rFonts w:ascii="Times New Roman" w:hAnsi="Times New Roman"/>
          <w:color w:val="000000"/>
        </w:rPr>
      </w:pPr>
    </w:p>
    <w:p w:rsidR="0089332D" w:rsidRPr="0089332D" w:rsidP="0089332D">
      <w:pPr>
        <w:widowControl/>
        <w:bidi w:val="0"/>
        <w:jc w:val="both"/>
        <w:rPr>
          <w:rFonts w:ascii="Times New Roman" w:hAnsi="Times New Roman"/>
          <w:color w:val="000000"/>
        </w:rPr>
      </w:pPr>
      <w:r w:rsidRPr="0089332D">
        <w:rPr>
          <w:rStyle w:val="PlaceholderText"/>
          <w:b/>
          <w:color w:val="000000"/>
        </w:rPr>
        <w:t>K článku I</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1 (K § 4 ods. 3)</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9"/>
        <w:jc w:val="both"/>
        <w:rPr>
          <w:rStyle w:val="PlaceholderText"/>
          <w:color w:val="000000"/>
        </w:rPr>
      </w:pPr>
      <w:r w:rsidRPr="0089332D">
        <w:rPr>
          <w:rStyle w:val="PlaceholderText"/>
          <w:color w:val="000000"/>
        </w:rPr>
        <w:t>Odstraňuje sa nezrovnalosť v odseku 3 spresnením odkazu na úpravu v odseku 1 alebo 2.</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bodom 2 a 3 (K § 16 ods. 14 a 15 a k § 16 ods. 17)</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Prostredníctvom odseku 14 sa transponuje do zákona článok 58 smernice Rady 2006/112/ES z 28. novembra 2006 o spoločnom systéme dane z pridanej hodnoty (ďalej len „smernica o DPH“).</w:t>
      </w:r>
    </w:p>
    <w:p w:rsidR="0089332D" w:rsidRPr="0089332D" w:rsidP="0089332D">
      <w:pPr>
        <w:widowControl/>
        <w:bidi w:val="0"/>
        <w:ind w:firstLine="708"/>
        <w:jc w:val="both"/>
        <w:rPr>
          <w:rStyle w:val="PlaceholderText"/>
          <w:color w:val="000000"/>
        </w:rPr>
      </w:pPr>
      <w:r w:rsidRPr="0089332D">
        <w:rPr>
          <w:rStyle w:val="PlaceholderText"/>
          <w:color w:val="000000"/>
        </w:rPr>
        <w:t>Od 1. januára 2015 sa mení určenie miesta dodania pri poskytnutí telekomunikačných služieb, služieb rozhlasového a televízneho vysielania a elektronicky dodávaných služieb pre nezdaniteľné osoby. Zmenou oproti súčasnej právnej úprave je to, že miestom dodania uvedených služieb, ktoré poskytuje zdaniteľná osoba usadená v ktoromkoľvek členskom štáte nezdaniteľnej osobe, už nebude členský štát, v ktorom má poskytovateľ sídlo alebo prevádzkareň (§ 15 ods. 2 zákona), ale miestom dodania bude miesto (štát), v ktorom má príjemca služby, nezdaniteľná osoba, sídlo, bydlisko alebo miesto, kde sa obvykle zdržiava, t.j. miesto, kde je usadený zákazník. Takto určené miesto dodania uvedených služieb platí podľa súčasného znenia § 16 ods. 14 a 15 len pre situácie, ak tieto služby nezdaniteľným osobám poskytuje zdaniteľná osoba, ktorá nie je usadená v Európskej únii.</w:t>
      </w:r>
    </w:p>
    <w:p w:rsidR="0089332D" w:rsidRPr="0089332D" w:rsidP="0089332D">
      <w:pPr>
        <w:widowControl/>
        <w:bidi w:val="0"/>
        <w:ind w:firstLine="708"/>
        <w:jc w:val="both"/>
        <w:rPr>
          <w:rStyle w:val="PlaceholderText"/>
          <w:color w:val="000000"/>
        </w:rPr>
      </w:pPr>
      <w:r w:rsidRPr="0089332D">
        <w:rPr>
          <w:rStyle w:val="PlaceholderText"/>
          <w:color w:val="000000"/>
        </w:rPr>
        <w:t xml:space="preserve">Novým znením odseku 14 sa zjednocuje pravidlo určenia miesta dodania telekomunikačných služieb, služieb rozhlasového a televízneho vysielania a elektronicky dodávaných služieb pre nezdaniteľné osoby. </w:t>
      </w:r>
    </w:p>
    <w:p w:rsidR="0089332D" w:rsidRPr="0089332D" w:rsidP="0089332D">
      <w:pPr>
        <w:widowControl/>
        <w:bidi w:val="0"/>
        <w:ind w:firstLine="708"/>
        <w:jc w:val="both"/>
        <w:rPr>
          <w:rStyle w:val="PlaceholderText"/>
          <w:color w:val="000000"/>
        </w:rPr>
      </w:pPr>
      <w:r w:rsidRPr="0089332D">
        <w:rPr>
          <w:rStyle w:val="PlaceholderText"/>
          <w:color w:val="000000"/>
        </w:rPr>
        <w:t>Z dôvodu, že od 1. januára 2015 bude pri poskytnutí telekomunikačných služieb, služieb rozhlasového a televízneho vysielania a elektronických služieb nezdaniteľným osobám platiť len jedno pravidlo určenia miesta dodania uvedených služieb pre nezdaniteľné osoby podľa odseku 14, vypúšťajú sa z odseku 17 písmená h) až j), v ktorých sa podľa súčasnej platnej právnej úpravy osobitne upravuje miesto dodania uvedených služieb nezdaniteľným osobám, ktoré majú sídlo, bydlisko prípadne sa prevažne zdržiavajú mimo EÚ.</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bodom 4 a 5 (K § 16 ods. 18 a 19)</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Definovanie telekomunikačných služieb a elektronických služieb na účely nového znenia odseku 14 ostáva zachované.</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6 (K § 49 ods. 10)</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 xml:space="preserve">Navrhované ustanovenie súvisí s uplatňovaním osobitnej úpravy tzv. jedného kontaktného miesta pre registráciu a plnenie si daňovej povinnosti v súvislosti s poskytovaním telekomunikačných služieb, služieb rozhlasového a televízneho vysielania a elektronických služieb nezdaniteľným osobám v štáte spotreby, ktorým je tuzemsko (uplatňovanie osobitnej úpravy je bližšie vysvetlené k bodu 10 - § 68b). </w:t>
      </w:r>
    </w:p>
    <w:p w:rsidR="0089332D" w:rsidRPr="0089332D" w:rsidP="0089332D">
      <w:pPr>
        <w:widowControl/>
        <w:bidi w:val="0"/>
        <w:ind w:firstLine="708"/>
        <w:jc w:val="both"/>
        <w:rPr>
          <w:rStyle w:val="PlaceholderText"/>
          <w:color w:val="000000"/>
        </w:rPr>
      </w:pPr>
      <w:r w:rsidRPr="0089332D">
        <w:rPr>
          <w:rStyle w:val="PlaceholderText"/>
          <w:color w:val="000000"/>
        </w:rPr>
        <w:t>Navrhované ustanovenie upravuje právo na vrátenie dane alebo odpočítanie dane zdaniteľnej osoby, ktorá je usadená v niektorom z členských štátov EÚ a v tomto členskom štáte sa rozhodne identifikovať pre uplatňovanie osobitnej úpravy (v zmysle pravidiel, ktoré vyplývajú z § 68b zákona účinného od 1. januára 2015).  Ak táto zdaniteľná osoba bude dodávať nezdaniteľným osobám so sídlo alebo bydliskom v tuzemsku telekomunikačné služby, služby rozhlasového a televízneho vysielania a elektronické služby, v osobitnom daňovom priznaní v členskom štáte identifikácie bude priznávať DPH, ktorú uplatní k cene uvedených služieb dodaných nezdaniteľnej osobe so sídlom alebo bydliskom v tuzemsku.</w:t>
      </w:r>
    </w:p>
    <w:p w:rsidR="0089332D" w:rsidRPr="0089332D" w:rsidP="0089332D">
      <w:pPr>
        <w:widowControl/>
        <w:bidi w:val="0"/>
        <w:ind w:firstLine="708"/>
        <w:jc w:val="both"/>
        <w:rPr>
          <w:rStyle w:val="PlaceholderText"/>
          <w:color w:val="000000"/>
        </w:rPr>
      </w:pPr>
      <w:r w:rsidRPr="0089332D">
        <w:rPr>
          <w:rStyle w:val="PlaceholderText"/>
          <w:color w:val="000000"/>
        </w:rPr>
        <w:t>Podľa navrhovaného ustanovenia ak uvedená zdaniteľná osoba bude mať v súvislosti s uplatňovaním osobitnej úpravy nákupy tovarov alebo služieb v tuzemsku, prednostne si bude žiadať vrátanie DPH podľa § 55a až 55e zákona bez ohľadu na to, že v tuzemsku vykonávala resp. vykonáva činnosť spočívajúcu v poskytovaní uvedených služieb. Avšak pokiaľ by táto zdaniteľná osoba bola registrovaná podľa § 5 alebo § 6 zákona z dôvodu, že vykonáva na území SR činnosť, z ktorej je povinná odviesť DPH, uplatní si z prijatých plnení, ktoré súvisia s dodaním služieb podliehajúcich osobitnej úprave, odpočítanie dane prostredníctvom riadneho daňového priznania podaného podľa § 78 zákona.</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7 (K § 56 ods. 4)</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 xml:space="preserve">Doplnené ustanovenie súvisí s uplatňovaním osobitnej úpravy tzv. jedného kontaktného miesta pre registráciu a plnenie si daňovej povinnosti v súvislosti s poskytovaním telekomunikačných služieb, služieb rozhlasového a televízneho vysielania a elektronických služieb nezdaniteľným osobám so sídlom alebo bydliskom v EÚ. </w:t>
      </w:r>
    </w:p>
    <w:p w:rsidR="0089332D" w:rsidRPr="0089332D" w:rsidP="0089332D">
      <w:pPr>
        <w:widowControl/>
        <w:bidi w:val="0"/>
        <w:ind w:firstLine="708"/>
        <w:jc w:val="both"/>
        <w:rPr>
          <w:rStyle w:val="PlaceholderText"/>
          <w:color w:val="000000"/>
        </w:rPr>
      </w:pPr>
      <w:r w:rsidRPr="0089332D">
        <w:rPr>
          <w:rStyle w:val="PlaceholderText"/>
          <w:color w:val="000000"/>
        </w:rPr>
        <w:t xml:space="preserve">V § 56 sa upravuje vrátenie dane osobám, ktoré sú usadené mimo EÚ. Doplnené ustanovenie sa týka  zdaniteľnej osoby, ktorá nie je usadená a ani registrovaná pre DPH v EÚ, a ktorá sa rozhodne  identifikovať pre uplatňovanie osobitnej úpravy v niektorom z členských štátov EÚ, a táto zdaniteľná osoba bude poskytovať uvedené služby nezdaniteľným osobám so sídlom alebo bydliskom v tuzemsku. Táto zdaniteľná osoba  v osobitnom daňovom priznaní v členskom štáte identifikácie bude len priznávať DPH na výstupe, ktorú uplatní k cene uvedených služieb dodaných zákazníkom so sídlom alebo bydliskom v tuzemsku. Navrhované ustanovenie upravuje právo na vrátenie dane tejto zdaniteľnej osoby, ktorá bude mať v súvislosti s uplatňovaním osobitnej úpravy nákupy tovarov alebo služieb v tuzemsku. Zdaniteľnej osobe sa priznáva právo požiadať o vrátanie DPH podľa § 56 až 58 zákona bez ohľadu na to, že v tuzemsku vykonávala resp. vykonáva činnosť spočívajúcu v poskytovaní uvedených služieb. Splnenie podmienky reciprocity sa na účely vrátenia dane súvisiacej s nákupmi tovarov a služieb použitých v súvislosti s dodaním telekomunikačných služieb, služieb rozhlasového a televízneho vysielania a elektronických služieb nevyžaduje. </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 xml:space="preserve">K bodu 8 (K § 65 ods. 1) </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Do osobitnej úpravy uplatňovania dane pre cestovné kancelárie a cestovné agentúry sa transponuje čl. 307 smernice o DPH.</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9 ( K § 68)</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 xml:space="preserve">Prostredníctvom tohto ustanovenia je do zákona transponovaný článok 358 smernice o DPH. Ustanovením sa vymedzujú pojmy na účely uplatňovania osobitnej úpravy podľa § 68a a § 68b. </w:t>
      </w:r>
    </w:p>
    <w:p w:rsidR="0089332D" w:rsidRPr="0089332D" w:rsidP="0089332D">
      <w:pPr>
        <w:widowControl/>
        <w:bidi w:val="0"/>
        <w:ind w:firstLine="708"/>
        <w:jc w:val="both"/>
        <w:rPr>
          <w:rStyle w:val="PlaceholderText"/>
          <w:color w:val="000000"/>
        </w:rPr>
      </w:pPr>
      <w:r w:rsidRPr="0089332D">
        <w:rPr>
          <w:rStyle w:val="PlaceholderText"/>
          <w:color w:val="000000"/>
        </w:rPr>
        <w:t>Osobitná úprava je ustanovená zvlášť pre zdaniteľné osoby, ktoré nie sú usadené v EÚ (§ 68a), a zvlášť pre zdaniteľné osoby usadené v EÚ (§ 68b), ak tieto zdaniteľné osoby dodávajú telekomunikačné služby, služby rozhlasového a televízneho vysielania a elektronické služby nezdaniteľným osobám s miestom dodania v inom členskom štáte (v členskom štáte spotreby). Vzhľadom na to, že miestom dodania uvedených služieb nezdaniteľným osobám je štát, kde má zákazník svoje sídlo alebo bydlisko, bez zavedenia tejto zjednodušenej úpravy by sa musel každý poskytovateľ služby registrovať v členskom štáte, kde je miesto dodania služieb,  t.j. v štáte zákazníka, nakoľko na zákazníka, ktorý nie je zdaniteľnou osobou, nie je možné preniesť daňovú povinnosť. Osobitná úprava je dobrovoľná a umožňuje zdaniteľnej osobe, aby DPH zo služieb poskytovaných nezdaniteľným osobám v iných členských štátoch bola priznaná v osobitnom daňovom priznaní, ktoré bude táto zdaniteľná osoba podávať elektronicky v členskom štáte identifikácie a zároveň ju bude v tomto členskom štáte aj platiť.</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10 (K § 68a, 68b a 68c)</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Ustanovenie § 68a upravuje osobitný režim zdaňovania telekomunikačných služieb, služieb rozhlasového a televízneho vysielania a elektronických služieb poskytovaných zdaniteľnou osobou, ktorá nemá na území Slovenskej republiky a ani v inej členskej krajine EÚ sídlo, prevádzkareň a ani nie je identifikovaná pre DPH v žiadnom z členských štátov a ktorá si za členský štát identifikácie zvolí Slovenskú republiku. V podstate ide o rozšírenie súčasnej právnej úpravy obsiahnutej v § 68 zákona (účinnej do konca roka 2014), ktorá sa môže v súčasnosti uplatňovať len na elektronicky dodávané služby nezdaniteľným osobám. Ak sa podnikateľ z tretieho štátu rozhodne pre identifikáciu v tuzemsku, bude povinný odviesť daň v Slovenskej republike zo všetkých dodávaných služieb v EÚ, ktoré sú  dodávané nezdaniteľným osobám.</w:t>
      </w:r>
    </w:p>
    <w:p w:rsidR="0089332D" w:rsidRPr="0089332D" w:rsidP="0089332D">
      <w:pPr>
        <w:widowControl/>
        <w:bidi w:val="0"/>
        <w:ind w:firstLine="720"/>
        <w:jc w:val="both"/>
        <w:rPr>
          <w:rStyle w:val="PlaceholderText"/>
          <w:color w:val="000000"/>
        </w:rPr>
      </w:pPr>
      <w:r w:rsidRPr="0089332D">
        <w:rPr>
          <w:rStyle w:val="PlaceholderText"/>
          <w:color w:val="000000"/>
        </w:rPr>
        <w:t xml:space="preserve">Ustanovenia § 68b upravujú osobitný režim zdaňovania telekomunikačných služieb, služieb rozhlasového a televízneho vysielania a elektronických služieb poskytovaných zdaniteľnou osobou, ktorá má na území Slovenskej republiky sídlo, pričom Slovenská republika sa stáva jej členským štátom identifikácie, ak sa rozhodne túto osobitnú úpravu uplatňovať. Ak zdaniteľná osoba nemá v žiadnom členskom štáte EÚ sídlo, ale má na území viacerých členských štátov EÚ, vrátane Slovenskej republiky, prevádzkareň, takáto osoba si za členský štát identifikácie môže zvoliť hociktorý členský štát, v ktorom má prevádzkareň, vrátane Slovenskej republiky; práve na túto zdaniteľnú osobu sa vzťahuje povinnosť uplatňovať osobitný režim zdaňovania po dobu 2 rokov nasledujúcich po roku, odkedy ho začala uplatňovať, pokiaľ sa rozhodne identifikovať pre uplatňovanie osobitnej úpravy.  </w:t>
      </w:r>
    </w:p>
    <w:p w:rsidR="0089332D" w:rsidRPr="0089332D" w:rsidP="0089332D">
      <w:pPr>
        <w:widowControl/>
        <w:bidi w:val="0"/>
        <w:ind w:firstLine="720"/>
        <w:jc w:val="both"/>
        <w:rPr>
          <w:rStyle w:val="PlaceholderText"/>
          <w:color w:val="000000"/>
        </w:rPr>
      </w:pPr>
      <w:r w:rsidRPr="0089332D">
        <w:rPr>
          <w:rStyle w:val="PlaceholderText"/>
          <w:color w:val="000000"/>
        </w:rPr>
        <w:t xml:space="preserve">Keďže § 68b je určený pre zdaniteľné osoby so sídlom alebo prevádzkarňou v tuzemsku, budú tieto osoby pri jeho uplatňovaní používať identifikačné čísla pre daň pridelené v tuzemsku. </w:t>
      </w:r>
    </w:p>
    <w:p w:rsidR="0089332D" w:rsidRPr="0089332D" w:rsidP="0089332D">
      <w:pPr>
        <w:widowControl/>
        <w:bidi w:val="0"/>
        <w:ind w:firstLine="720"/>
        <w:jc w:val="both"/>
        <w:rPr>
          <w:rStyle w:val="PlaceholderText"/>
          <w:color w:val="000000"/>
        </w:rPr>
      </w:pPr>
      <w:r w:rsidRPr="0089332D">
        <w:rPr>
          <w:rStyle w:val="PlaceholderText"/>
          <w:color w:val="000000"/>
        </w:rPr>
        <w:t>Do osobitného daňového priznania zahŕňa zdaniteľná osoba identifikovaná pre osobitný režim zdaňovania v tuzemsku všetky dodávky telekomunikačných služieb, služieb rozhlasového a televízneho vysielania a elektronických služieb poskytnutých nezdaniteľným osobám v členských štátoch spotreby, v ktorých táto osoba nemá prevádzkareň a zároveň dodávky týchto služieb poskytnuté z prevádzkarní v iných členských štátoch spotreby, s výnimkou tuzemska (napr. zdaniteľná osoba identifikovaná pre osobitný režim zdaňovania v SR, ktorá poskytuje tieto služby v Maďarsku, a zároveň má prevádzkareň v Českej republike, ktorá poskytuje tieto služby do Poľska, zahŕňa do osobitného daňového priznania dodávky v Maďarsku a dodávky z prevádzkarne v Českej republike do Poľska). Ak je miestom dodania telekomunikačných služieb, služieb rozhlasového a televízneho vysielania a elektronických služieb tuzemsko, zdaniteľná osoba ich do osobitného daňového priznania nezahŕňa, ale zahrnie ich do riadneho daňového priznania podávaného podľa § 78 zákona.</w:t>
      </w:r>
    </w:p>
    <w:p w:rsidR="0089332D" w:rsidRPr="0089332D" w:rsidP="0089332D">
      <w:pPr>
        <w:widowControl/>
        <w:bidi w:val="0"/>
        <w:ind w:firstLine="720"/>
        <w:jc w:val="both"/>
        <w:rPr>
          <w:rStyle w:val="PlaceholderText"/>
          <w:color w:val="000000"/>
        </w:rPr>
      </w:pPr>
      <w:r w:rsidRPr="0089332D">
        <w:rPr>
          <w:rStyle w:val="PlaceholderText"/>
          <w:color w:val="000000"/>
        </w:rPr>
        <w:t xml:space="preserve">Zdaniteľná osoba podáva žiadosť o vrátenie dane z tovarov a služieb nadobudnutých v členských štátoch spotreby v súvislosti s využívaním tohto osobitného režimu zdaňovania podľa §  55f a § 55g zákona. Žiadosť o vrátenie DPH z nákupov tovarov a služieb v členskom štáte spotreby nepodáva, ak v členskom štáte spotreby zároveň popri uplatňovaní osobitného režimu zdaňovania dodáva tovary a služby, v súvislosti s ktorými je v členskom štáte spotreby registrovaná pre daň. V takom prípade odpočítanie dane uplatňuje cez daňové priznanie podané v členskom štáte spotreby (napr. ak zdaniteľná osoba identifikovaná pre osobitný režim zdaňovania v SR, poskytuje v Českej republike elektronické služby a zároveň dodáva stavby pre nezdaniteľné osoby, v súvislosti s ktorými je v ČR identifikovaná pre daň, uplatňuje odpočítanie dane cez daňové priznanie podané v Českej republike). </w:t>
      </w:r>
    </w:p>
    <w:p w:rsidR="0089332D" w:rsidRPr="0089332D" w:rsidP="0089332D">
      <w:pPr>
        <w:widowControl/>
        <w:bidi w:val="0"/>
        <w:ind w:firstLine="720"/>
        <w:jc w:val="both"/>
        <w:rPr>
          <w:rStyle w:val="PlaceholderText"/>
          <w:color w:val="000000"/>
        </w:rPr>
      </w:pPr>
      <w:r w:rsidRPr="0089332D">
        <w:rPr>
          <w:rStyle w:val="PlaceholderText"/>
          <w:color w:val="000000"/>
        </w:rPr>
        <w:t>V § 68c sa ustanovuje použitie právnych predpisov pri správe dane týkajúcej sa osobitnej úpravy,  a to osobitne vo vzťahu, ak je Slovenská republika členským štátom identifikácie, a osobitne, ak je Slovenská republika členským štátom spotreby. Pokiaľ ide o uplatňovanie osobitnej úpravy podľa § 68a, Slovenská republika môže byť v pozícii členského štátu identifikácie, ale zároveň aj v pozícii členského štátu spotreby, t.j. ak zdaniteľná osoba usadená mimo EÚ bude dodávať vybrané služby nezdaniteľným osobám so sídlom alebo bydliskom v inom členskom štáte a zároveň aj v SR príp. len v SR.</w:t>
      </w:r>
    </w:p>
    <w:p w:rsidR="0089332D" w:rsidRPr="0089332D" w:rsidP="0089332D">
      <w:pPr>
        <w:widowControl/>
        <w:bidi w:val="0"/>
        <w:ind w:firstLine="720"/>
        <w:jc w:val="both"/>
        <w:rPr>
          <w:rStyle w:val="PlaceholderText"/>
          <w:color w:val="000000"/>
        </w:rPr>
      </w:pPr>
      <w:r w:rsidRPr="0089332D">
        <w:rPr>
          <w:rStyle w:val="PlaceholderText"/>
          <w:color w:val="000000"/>
        </w:rPr>
        <w:t>Pokiaľ bude Slovenská republika v pozícii členského štátu identifikácie, prevažná časť kompetencií v súvislosti so správou dane prechádza na členský štát spotreby, čo vyplýva z vykonávacieho nariadenia Rady č. 967/2012. Z tohto dôvodu sa pri správe daní uplatnia predovšetkým predpisy členského štátu spotreby.</w:t>
      </w:r>
    </w:p>
    <w:p w:rsidR="0089332D" w:rsidRPr="0089332D" w:rsidP="0089332D">
      <w:pPr>
        <w:widowControl/>
        <w:bidi w:val="0"/>
        <w:ind w:firstLine="720"/>
        <w:jc w:val="both"/>
        <w:rPr>
          <w:rStyle w:val="PlaceholderText"/>
          <w:color w:val="000000"/>
        </w:rPr>
      </w:pPr>
      <w:r w:rsidRPr="0089332D">
        <w:rPr>
          <w:rStyle w:val="PlaceholderText"/>
          <w:color w:val="000000"/>
        </w:rPr>
        <w:t xml:space="preserve">Pokiaľ Slovenská republika bude v pozícii členského štátu spotreby, na správu dane sa použije predovšetkým Daňový poriadok, ak z nariadenia Rady č. 967/2012 nebude vyplývať inak. </w:t>
      </w:r>
    </w:p>
    <w:p w:rsidR="0089332D" w:rsidRPr="0089332D" w:rsidP="0089332D">
      <w:pPr>
        <w:widowControl/>
        <w:bidi w:val="0"/>
        <w:jc w:val="both"/>
        <w:rPr>
          <w:rStyle w:val="PlaceholderText"/>
          <w:color w:val="000000"/>
        </w:rPr>
      </w:pPr>
      <w:r w:rsidRPr="0089332D">
        <w:rPr>
          <w:rStyle w:val="PlaceholderText"/>
          <w:color w:val="000000"/>
        </w:rPr>
        <w:t> </w:t>
      </w:r>
    </w:p>
    <w:p w:rsidR="0089332D" w:rsidP="0089332D">
      <w:pPr>
        <w:widowControl/>
        <w:bidi w:val="0"/>
        <w:jc w:val="both"/>
        <w:rPr>
          <w:rStyle w:val="PlaceholderText"/>
          <w:b/>
          <w:color w:val="000000"/>
        </w:rPr>
      </w:pPr>
    </w:p>
    <w:p w:rsidR="0089332D" w:rsidRPr="0089332D" w:rsidP="0089332D">
      <w:pPr>
        <w:widowControl/>
        <w:bidi w:val="0"/>
        <w:jc w:val="both"/>
        <w:rPr>
          <w:rStyle w:val="PlaceholderText"/>
          <w:color w:val="000000"/>
        </w:rPr>
      </w:pPr>
      <w:r w:rsidRPr="0089332D">
        <w:rPr>
          <w:rStyle w:val="PlaceholderText"/>
          <w:b/>
          <w:color w:val="000000"/>
        </w:rPr>
        <w:t>K bodu 11 (K § 69a ods. 6)</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Zosúlaďuje sa lehota na podávanie súhrnného výkazu podľa tohto ustanovenia s lehotou ustanovenou v § 80 ods. 9 zákona.</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12 (K § 78a ods. 1)</w:t>
      </w:r>
    </w:p>
    <w:p w:rsidR="0089332D" w:rsidRPr="0089332D" w:rsidP="0089332D">
      <w:pPr>
        <w:widowControl/>
        <w:bidi w:val="0"/>
        <w:ind w:firstLine="72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Navrhuje sa vypustiť zo zákona povinnosť predkladať kontrolný výkaz v rovnaký deň ako je podané daňové priznanie, ak je daňové priznanie podané skôr ako 25. deň po skončení zdaňovacieho obdobia. Vypustením druhej vety sa podanie kontrolného výkazu nebude viazať na deň podania daňového priznania. Kontrolný výkaz platiteľ dane bude povinný podať najneskôr do 25 dní po skončení zdaňovacieho obdobia.</w:t>
      </w:r>
    </w:p>
    <w:p w:rsidR="0089332D" w:rsidRPr="0089332D" w:rsidP="0089332D">
      <w:pPr>
        <w:widowControl/>
        <w:bidi w:val="0"/>
        <w:ind w:firstLine="72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13 a 14 (K § 79 ods. 6 a 7)</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Navrhovaným doplnením v § 79 zákona sa umožňuje vrátenie tzv. časti nadmerného odpočtu dane pred skončením kontroly oprávnenosti uplatneného nadmerného odpočtu. V odseku 7 sa ustanovuje lehota na vrátenie časti nadmerného odpočtu. Časť nadmerného odpočtu sa vráti na základe čiastkového protokolu o kontrole. Inštitút čiastkového protokolu o kontrole je zavedený v § 47a novely zákona č. 563/2009 Z. z. daňového poriadku (predpokladá sa účinnosť 1. januára 2015). Po skončení kontroly nadmerného odpočtu sa vráti rozdiel medzi nadmerným odpočtom vo výške zistenej daňovým úradom a časťou nadmerného odpočtu vráteného na základe čiastkového protokolu.</w:t>
      </w:r>
    </w:p>
    <w:p w:rsidR="0089332D" w:rsidRPr="0089332D" w:rsidP="0089332D">
      <w:pPr>
        <w:widowControl/>
        <w:bidi w:val="0"/>
        <w:ind w:firstLine="720"/>
        <w:jc w:val="both"/>
        <w:rPr>
          <w:rStyle w:val="PlaceholderText"/>
          <w:color w:val="000000"/>
        </w:rPr>
      </w:pPr>
      <w:r w:rsidRPr="0089332D">
        <w:rPr>
          <w:rStyle w:val="PlaceholderText"/>
          <w:color w:val="000000"/>
        </w:rPr>
        <w:t>Daňový úrad vráti časť nadmerného odpočtu najmä v takom prípade, ak v priebehu kontroly zistí, že časť nadmerného odpočtu je uplatňovaná oprávnene, avšak ostávajúcu časť nadmerného odpočtu musí ešte preverovať napr. dožiadaním informácií z iného členského štátu a z tohto dôvodu zatiaľ nie je možné skončiť kontrolu.</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15 (K § 80 ods. 2)</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Zmenou maximálneho limitu zo 100 000 eur na 50 000 eur pre použitie výnimky zo stanoveného základného obdobia na podávanie súhrnného výkazu sa § 80 ods. 2 zákona zosúlaďuje s článkom 263 ods. 1a smernice o DPH. Zákon v súčasnom znení povoľuje limit  pre podávanie súhrnného výkazu štvrťročne 100 000 eur.</w:t>
      </w:r>
    </w:p>
    <w:p w:rsidR="0089332D" w:rsidRPr="0089332D" w:rsidP="0089332D">
      <w:pPr>
        <w:widowControl/>
        <w:bidi w:val="0"/>
        <w:ind w:firstLine="720"/>
        <w:jc w:val="both"/>
        <w:rPr>
          <w:rStyle w:val="PlaceholderText"/>
          <w:color w:val="000000"/>
        </w:rPr>
      </w:pPr>
      <w:r w:rsidRPr="0089332D">
        <w:rPr>
          <w:rStyle w:val="PlaceholderText"/>
          <w:color w:val="000000"/>
        </w:rPr>
        <w:t>Podľa článku 263 ods. 1a smernice o DPH členské štáty môžu povoliť podávať súhrnný výkaz štvrťročne, pokiaľ celková hodnota bez DPH tovarov dodaných za štvrťrok  nepresiahne v danom štvrťroku a ani v žiadnom z predchádzajúcich štyroch štvrťrokoch sumu 50 000 eur.</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16 (K § 85kc)</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Podľa znenia odseku 1 zdaniteľná osoba z tretieho štátu, ktorá je identifikovaná pre uplatňovanie osobitnej úpravy podľa v súčasnosti platného znenia § 68 zákona, sa s účinnosťou od 1. januára 2015 bude považovať za osobu identifikovanú podľa § 68a účinného od 1. januára 2015, t.j. bude naďalej pokračovať v uplatnení pravidiel jedného kontaktného miesta.</w:t>
      </w:r>
    </w:p>
    <w:p w:rsidR="0089332D" w:rsidRPr="0089332D" w:rsidP="0089332D">
      <w:pPr>
        <w:widowControl/>
        <w:bidi w:val="0"/>
        <w:ind w:firstLine="720"/>
        <w:jc w:val="both"/>
        <w:rPr>
          <w:rStyle w:val="PlaceholderText"/>
          <w:color w:val="000000"/>
        </w:rPr>
      </w:pPr>
      <w:r w:rsidRPr="0089332D">
        <w:rPr>
          <w:rStyle w:val="PlaceholderText"/>
          <w:color w:val="000000"/>
        </w:rPr>
        <w:t>Prechodné ustanovenia odseku 2 a 3 umožňujú zdaniteľným osobám, ktoré chcú používať osobitnú úpravu jedného kontaktného miesta podľa § 68a a § 68b od 1. januára 2015, aby podali oznámenie spolu s požadovanými údajmi do konca roka 2014.</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článku II</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1 (K § 2 ods. 1)</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 xml:space="preserve">V nadväznosti na nadobudnutie účinnosti smernice Rady 2013/61/EÚ, ktorou sa mení územná pôsobnosť smernice Rady 2008/118/ES sa znenie ustanovenia upravuje tak, že sa daňové právne predpisy Európskej únie neuplatňujú aj na  územie Mayotte. </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2 (K § 9 ods. 6)</w:t>
      </w:r>
      <w:r w:rsidRPr="0089332D">
        <w:rPr>
          <w:rStyle w:val="PlaceholderText"/>
          <w:color w:val="000000"/>
        </w:rPr>
        <w:t xml:space="preserve"> </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Ustanovenie sa upravuje tak, aby počet objednávaných kontrolných známok pri všetkých tabakových výrobkoch nebol nižší ako 500 kusov.</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bodom 3 a 4 (K § 41 ods. 1 a 2)</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Navrhuje sa zaviesť sankciu pre odberateľa kontrolných známok, ktorý odobral a nepoužil kontrolné známky v lehote 10 mesiacov odo dňa ich prevzatia.</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5 (K § 41a ods. 2)</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Ustanovenie sa legislatívno-technicky upravuje.</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6 (K prílohe č. 1)</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V nadväznosti na úpravu k bodu 1, sa dopĺňa zoznam preberaných právne záväzných aktov Európskej únie uvedený v prílohe č. 1 zákona o novú smernicu Rady 2013/61/EÚ, ktorou sa mení územná pôsobnosť smernice Rady 2008/118/ES.</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článku III</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 xml:space="preserve">K bodu 1 (K § 7 ods. 3) </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Podľa súčasného právneho stavu môže domácemu podnikateľovi prideliť daňový kód elektronickej registračnej pokladnice len miestne príslušný daňový úrad a zahraničnému podnikateľovi môže prideliť daňový kód elektronickej registračnej pokladnice ktorýkoľvek daňový úrad. V záujme operatívnejšej registrácie elektronickej registračnej pokladnice u domácich a aj zahraničných podnikateľov sa navrhuje, aby daňový kód elektronickej registračnej pokladnice mohol prideliť ktorýkoľvek daňový úrad.</w:t>
      </w:r>
    </w:p>
    <w:p w:rsidR="0089332D" w:rsidRPr="0089332D" w:rsidP="0089332D">
      <w:pPr>
        <w:widowControl/>
        <w:bidi w:val="0"/>
        <w:ind w:firstLine="720"/>
        <w:jc w:val="both"/>
        <w:rPr>
          <w:rStyle w:val="PlaceholderText"/>
          <w:color w:val="000000"/>
        </w:rPr>
      </w:pPr>
      <w:r w:rsidRPr="0089332D">
        <w:rPr>
          <w:rStyle w:val="PlaceholderText"/>
          <w:color w:val="000000"/>
        </w:rPr>
        <w:t> </w:t>
      </w:r>
    </w:p>
    <w:p w:rsidR="0089332D" w:rsidP="0089332D">
      <w:pPr>
        <w:widowControl/>
        <w:bidi w:val="0"/>
        <w:jc w:val="both"/>
        <w:rPr>
          <w:rStyle w:val="PlaceholderText"/>
          <w:b/>
          <w:color w:val="000000"/>
        </w:rPr>
      </w:pPr>
    </w:p>
    <w:p w:rsidR="0089332D" w:rsidP="0089332D">
      <w:pPr>
        <w:widowControl/>
        <w:bidi w:val="0"/>
        <w:jc w:val="both"/>
        <w:rPr>
          <w:rStyle w:val="PlaceholderText"/>
          <w:b/>
          <w:color w:val="000000"/>
        </w:rPr>
      </w:pPr>
    </w:p>
    <w:p w:rsidR="0089332D" w:rsidP="0089332D">
      <w:pPr>
        <w:widowControl/>
        <w:bidi w:val="0"/>
        <w:jc w:val="both"/>
        <w:rPr>
          <w:rStyle w:val="PlaceholderText"/>
          <w:b/>
          <w:color w:val="000000"/>
        </w:rPr>
      </w:pPr>
    </w:p>
    <w:p w:rsidR="0089332D" w:rsidRPr="0089332D" w:rsidP="0089332D">
      <w:pPr>
        <w:widowControl/>
        <w:bidi w:val="0"/>
        <w:jc w:val="both"/>
        <w:rPr>
          <w:rStyle w:val="PlaceholderText"/>
          <w:color w:val="000000"/>
        </w:rPr>
      </w:pPr>
      <w:r w:rsidRPr="0089332D">
        <w:rPr>
          <w:rStyle w:val="PlaceholderText"/>
          <w:b/>
          <w:color w:val="000000"/>
        </w:rPr>
        <w:t>K bodu 2 (§ 16b ods. 3)</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S prihliadnutím  na technicko-organizačné problémy, ktoré sa vyskytli  pri ukladaní pokuty na mieste rozhodnutím  (napr. nie je zabezpečený externý prístup do informačného systému FS, nedostatočný počet tlačiarní a notebookov) sa navrhuje, aby sa v odôvodnených prípadoch mohla uložiť pokuta nielen na mieste, ale aj v lehote do piatich pracovných dní od zistenia správneho deliktu.</w:t>
      </w:r>
    </w:p>
    <w:p w:rsidR="0089332D" w:rsidRPr="0089332D" w:rsidP="0089332D">
      <w:pPr>
        <w:widowControl/>
        <w:bidi w:val="0"/>
        <w:ind w:firstLine="708"/>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3 (K § 16b ods. 4)</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 xml:space="preserve">Pokuty sa navrhuje ukladať na základe zistení uvedených v zápisnici o miestnom zisťovaní, ktorej náležitosti upravuje § 19 daňového poriadku. V nadväznosti na túto skutočnosť sa navrhuje vypustiť slová „o ústnom pojednávaní“ a rozšíriť poznámku pod čiarou k odkazu 18b o ustanovenie § 37 ods. 4 daňového poriadku. </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článku IV</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1 (K § 47a)</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Navrhuje sa, aby počas daňovej kontroly mohol byť vyhotovený čiastkový protokol, na základe ktorého by bolo možné, napr. priznať a vrátiť preverenú časť z vykázaného nadmerného odpočtu v čase, keď daňová kontrole ešte nie je ukončená.</w:t>
      </w:r>
    </w:p>
    <w:p w:rsidR="0089332D" w:rsidRPr="0089332D" w:rsidP="0089332D">
      <w:pPr>
        <w:widowControl/>
        <w:bidi w:val="0"/>
        <w:ind w:firstLine="72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bodom 2 a 5 (K § 50 ods. 6, § 55 ods. 2 a 12, § 55 ods. 6 a 7)</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Navrhuje sa ustanoviť presné poradenie nedoplatkov, resp. pohľadávok, na ktoré bude nesprávne označená platba použitá. Nadväzne na to bolo potrebné upraviť ustanovenia, ktoré na uvedené ustanovenia odkazujú.</w:t>
      </w:r>
    </w:p>
    <w:p w:rsidR="0089332D" w:rsidRPr="0089332D" w:rsidP="0089332D">
      <w:pPr>
        <w:widowControl/>
        <w:bidi w:val="0"/>
        <w:ind w:firstLine="72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bodom 3 a 4 (K § 52 ods. 6 a 7)</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Z dôvodu jednoznačnejšieho a operatívnejšieho overovania platiteľov dane z pridanej hodnoty uverejnených  zozname sa navrhuje v zozname zverejňovať aj IČO, ak bolo platiteľovi pridelené. Zároveň sa navrhuje skrátiť obdobie, v ktorom je platiteľ dane z pridanej hodnoty v zozname zverejnený, a to z 12 mesiacov na 6 mesiacov.</w:t>
      </w:r>
    </w:p>
    <w:p w:rsidR="0089332D" w:rsidRPr="0089332D" w:rsidP="0089332D">
      <w:pPr>
        <w:widowControl/>
        <w:bidi w:val="0"/>
        <w:ind w:firstLine="72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6 (K § 165d)</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K novej úprave § 52 ods. 7 sa navrhuje prechodné ustanovenie tak, aby sa nová právna úprava vzťahovala aj na platiteľov dane z pridanej hodnoty, ktorí už sú zverejnení v zozname. Zároveň sa navrhuje, aby tí platitelia dane, ktorí splnili novonavrhnuté podmienky výmazu do 31.12.2014, boli zo zoznamu vymazaní do 31. januára 2015.</w:t>
      </w:r>
    </w:p>
    <w:p w:rsidR="0089332D" w:rsidRPr="0089332D" w:rsidP="0089332D">
      <w:pPr>
        <w:widowControl/>
        <w:bidi w:val="0"/>
        <w:jc w:val="both"/>
        <w:rPr>
          <w:rStyle w:val="PlaceholderText"/>
          <w:color w:val="000000"/>
        </w:rPr>
      </w:pPr>
      <w:r w:rsidRPr="0089332D">
        <w:rPr>
          <w:rStyle w:val="PlaceholderText"/>
          <w:color w:val="000000"/>
        </w:rPr>
        <w:t> </w:t>
      </w:r>
    </w:p>
    <w:p w:rsidR="0089332D" w:rsidP="0089332D">
      <w:pPr>
        <w:widowControl/>
        <w:bidi w:val="0"/>
        <w:jc w:val="both"/>
        <w:rPr>
          <w:rStyle w:val="PlaceholderText"/>
          <w:b/>
          <w:color w:val="000000"/>
        </w:rPr>
      </w:pPr>
    </w:p>
    <w:p w:rsidR="0089332D" w:rsidP="0089332D">
      <w:pPr>
        <w:widowControl/>
        <w:bidi w:val="0"/>
        <w:jc w:val="both"/>
        <w:rPr>
          <w:rStyle w:val="PlaceholderText"/>
          <w:b/>
          <w:color w:val="000000"/>
        </w:rPr>
      </w:pPr>
    </w:p>
    <w:p w:rsidR="0089332D" w:rsidP="0089332D">
      <w:pPr>
        <w:widowControl/>
        <w:bidi w:val="0"/>
        <w:jc w:val="both"/>
        <w:rPr>
          <w:rStyle w:val="PlaceholderText"/>
          <w:b/>
          <w:color w:val="000000"/>
        </w:rPr>
      </w:pPr>
    </w:p>
    <w:p w:rsidR="0089332D" w:rsidRPr="0089332D" w:rsidP="0089332D">
      <w:pPr>
        <w:widowControl/>
        <w:bidi w:val="0"/>
        <w:jc w:val="both"/>
        <w:rPr>
          <w:rStyle w:val="PlaceholderText"/>
          <w:color w:val="000000"/>
        </w:rPr>
      </w:pPr>
      <w:r w:rsidRPr="0089332D">
        <w:rPr>
          <w:rStyle w:val="PlaceholderText"/>
          <w:b/>
          <w:color w:val="000000"/>
        </w:rPr>
        <w:t>K článku V</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1 (K § 2 ods. 1)</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 xml:space="preserve">V nadväznosti na nadobudnutie účinnosti smernice Rady 2013/61/EÚ, ktorou sa mení územná pôsobnosť smernice Rady 2008/118/ES sa znenie ustanovenia upravuje tak, že sa daňové právne predpisy Európskej únie neuplatňujú aj na  územie Mayotte. </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2 (K § 53 ods. 6)</w:t>
      </w:r>
      <w:r w:rsidRPr="0089332D">
        <w:rPr>
          <w:rStyle w:val="PlaceholderText"/>
          <w:color w:val="000000"/>
        </w:rPr>
        <w:t xml:space="preserve"> </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Ustanovenie sa upravuje tak, aby bolo zrejmé, že odberateľ kontrolných známok, ktorým je dovozca spotrebiteľských balení alebo príjemca (odberateľ) liehu podľa § 26 ods. 1 zákona, môže objednať minimálne 500 kusov kontrolných známok alebo ich násobok, pričom správca dane pri schvaľovaní objednávky vždy musí zohľadniť výšku zloženej zábezpeky na daň, ktorú zložil  dovozca spotrebiteľských balení alebo príjemca (odberateľ) liehu podľa § 26 ods. 1.</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bodom 3 a 4 (K § 53 ods. 19 písm. d/ a § 53 ods. 20 písm. e/)</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Ustanovuje sa limit na množstvo kontrolných známok, ktoré boli nenávratne zničené v technologickom zariadení slúžiacom na nalepovanie kontrolných známok, pričom za preukázané použitie kontrolných známok zničených v tomto technologickom zariadení bude možné považovať iba množstvo pripadajúce na túto stanovenú stratu. Zároveň sa navrhuje v tejto súvislosti ustanoviť, aby odberateľ kontrolných zámok v evidencii, ktorú je povinný viesť podľa § 53 ods. 20, v prípade kontrolných známok nenávratne zničených v technologickom zariadení uvádzal iba ich počet.</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bodu 5 (K § 53 ods. 22 a 23)</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20"/>
        <w:jc w:val="both"/>
        <w:rPr>
          <w:rStyle w:val="PlaceholderText"/>
          <w:color w:val="000000"/>
        </w:rPr>
      </w:pPr>
      <w:r w:rsidRPr="0089332D">
        <w:rPr>
          <w:rStyle w:val="PlaceholderText"/>
          <w:color w:val="000000"/>
        </w:rPr>
        <w:t xml:space="preserve">Ustanovenie § 53 zákona sa dopĺňa o povinnosť odberateľa kontrolných známok zaslať jednorazovo finančnému riaditeľstvu zoznam s údajmi o všetkých spotrebiteľských baleniach, ktoré uvádza do daňového voľného obehu, t. j. zoznam všetkých spotrebiteľských balení tvoriacich jeho portfólio. Súčasťou zoznamu môže byť aj vizualizácia spotrebiteľského balenia. Povinnosť zaslať zoznam spotrebiteľských balení liehu je iba jednorazová, a odberateľ kontrolných známok ho poskytne pred prvou žiadosťou o vydanie kontrolných známok. Následne bude odberateľ kontrolných známok povinný iba oznámiť zmenu v týchto údajoch, napríklad ak doplní portfólio o nový sortiment. Údaje zaslané odberateľom kontrolných známok budú využívané v rámci jednotného aplikačného programového vybavenia a budú použité aj na účely overenia správnosti označenia spotrebiteľských balení, ako správcom dane, tak aj verejnosťou. </w:t>
      </w:r>
    </w:p>
    <w:p w:rsidR="0089332D" w:rsidRPr="0089332D" w:rsidP="0089332D">
      <w:pPr>
        <w:widowControl/>
        <w:bidi w:val="0"/>
        <w:ind w:firstLine="720"/>
        <w:jc w:val="both"/>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bodom 6 a 7 (K § 70 ods. 1 a 2)</w:t>
      </w:r>
    </w:p>
    <w:p w:rsidR="0089332D" w:rsidRPr="0089332D" w:rsidP="0089332D">
      <w:pPr>
        <w:widowControl/>
        <w:bidi w:val="0"/>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 xml:space="preserve">Navrhuje sa zaviesť sankciu pre odberateľa kontrolných známok, ktorý odobral a nepoužil kontrolné známky v lehote 10 mesiacov odo dňa ich prevzatia, a súčasne pre odberateľa kontrolných známok, ktorý prekročil povolené množstvo nenávratne zničených kontrolných známok vložených do technologického zariadenia. </w:t>
      </w:r>
    </w:p>
    <w:p w:rsidR="0089332D" w:rsidRPr="0089332D" w:rsidP="0089332D">
      <w:pPr>
        <w:widowControl/>
        <w:bidi w:val="0"/>
        <w:jc w:val="both"/>
        <w:rPr>
          <w:rStyle w:val="PlaceholderText"/>
          <w:color w:val="000000"/>
        </w:rPr>
      </w:pPr>
      <w:r w:rsidRPr="0089332D">
        <w:rPr>
          <w:rStyle w:val="PlaceholderText"/>
          <w:b/>
          <w:color w:val="000000"/>
        </w:rPr>
        <w:t>K bodu 8 (K prílohe č. 2)</w:t>
      </w:r>
    </w:p>
    <w:p w:rsidR="0089332D" w:rsidRPr="0089332D" w:rsidP="0089332D">
      <w:pPr>
        <w:widowControl/>
        <w:bidi w:val="0"/>
        <w:jc w:val="both"/>
        <w:rPr>
          <w:rStyle w:val="PlaceholderText"/>
          <w:color w:val="000000"/>
        </w:rPr>
      </w:pPr>
      <w:r w:rsidRPr="0089332D">
        <w:rPr>
          <w:rStyle w:val="PlaceholderText"/>
          <w:b/>
          <w:color w:val="000000"/>
        </w:rPr>
        <w:t xml:space="preserve">            </w:t>
      </w:r>
    </w:p>
    <w:p w:rsidR="0089332D" w:rsidRPr="0089332D" w:rsidP="0089332D">
      <w:pPr>
        <w:widowControl/>
        <w:bidi w:val="0"/>
        <w:ind w:firstLine="720"/>
        <w:jc w:val="both"/>
        <w:rPr>
          <w:rStyle w:val="PlaceholderText"/>
          <w:color w:val="000000"/>
        </w:rPr>
      </w:pPr>
      <w:r w:rsidRPr="0089332D">
        <w:rPr>
          <w:rStyle w:val="PlaceholderText"/>
          <w:color w:val="000000"/>
        </w:rPr>
        <w:t>V nadväznosti na úpravu k bodu 1, sa dopĺňa zoznam preberaných právne záväzných aktov Európskej únie uvedený v prílohe č. 2 zákona o novú smernicu Rady 2013/61/EÚ, ktorou sa mení územná pôsobnosť smernice Rady 2008/118/ES.</w:t>
      </w:r>
    </w:p>
    <w:p w:rsidR="0089332D" w:rsidRPr="0089332D" w:rsidP="0089332D">
      <w:pPr>
        <w:widowControl/>
        <w:bidi w:val="0"/>
        <w:rPr>
          <w:rStyle w:val="PlaceholderText"/>
          <w:color w:val="000000"/>
        </w:rPr>
      </w:pPr>
      <w:r w:rsidRPr="0089332D">
        <w:rPr>
          <w:rStyle w:val="PlaceholderText"/>
          <w:color w:val="000000"/>
        </w:rPr>
        <w:t> </w:t>
      </w:r>
    </w:p>
    <w:p w:rsidR="0089332D" w:rsidRPr="0089332D" w:rsidP="0089332D">
      <w:pPr>
        <w:widowControl/>
        <w:bidi w:val="0"/>
        <w:jc w:val="both"/>
        <w:rPr>
          <w:rStyle w:val="PlaceholderText"/>
          <w:color w:val="000000"/>
        </w:rPr>
      </w:pPr>
      <w:r w:rsidRPr="0089332D">
        <w:rPr>
          <w:rStyle w:val="PlaceholderText"/>
          <w:b/>
          <w:color w:val="000000"/>
        </w:rPr>
        <w:t>K článku VI</w:t>
      </w:r>
    </w:p>
    <w:p w:rsidR="0089332D" w:rsidRPr="0089332D" w:rsidP="0089332D">
      <w:pPr>
        <w:widowControl/>
        <w:bidi w:val="0"/>
        <w:ind w:firstLine="708"/>
        <w:jc w:val="both"/>
        <w:rPr>
          <w:rStyle w:val="PlaceholderText"/>
          <w:color w:val="000000"/>
        </w:rPr>
      </w:pPr>
      <w:r w:rsidRPr="0089332D">
        <w:rPr>
          <w:rStyle w:val="PlaceholderText"/>
          <w:color w:val="000000"/>
        </w:rPr>
        <w:t> </w:t>
      </w:r>
    </w:p>
    <w:p w:rsidR="0089332D" w:rsidRPr="0089332D" w:rsidP="0089332D">
      <w:pPr>
        <w:widowControl/>
        <w:bidi w:val="0"/>
        <w:ind w:firstLine="708"/>
        <w:jc w:val="both"/>
        <w:rPr>
          <w:rStyle w:val="PlaceholderText"/>
          <w:color w:val="000000"/>
        </w:rPr>
      </w:pPr>
      <w:r w:rsidRPr="0089332D">
        <w:rPr>
          <w:rStyle w:val="PlaceholderText"/>
          <w:color w:val="000000"/>
        </w:rPr>
        <w:t xml:space="preserve">Účinnosť novely zákona o DPH sa navrhuje od 1. januára 2015 okrem bodov 15 a 16 (§ 80 ods. 2 a § 85kc - prechodné ustanovenia na základe nariadenia Rady (EÚ) č. 967/2012 z 9. októbra 2012, ktorým sa mení a dopĺňa vykonávacie nariadenie (EÚ) č. 282/2011, pokiaľ ide o osobitné úpravy pre neusadené zdaniteľné osoby, ktoré poskytujú telekomunikačné služby, služby rozhlasového a televízneho vysielania alebo elektronické služby nezdaniteľným osobám), pri ktorých sa navrhuje účinnosť od 1. októbra 2014. </w:t>
      </w:r>
    </w:p>
    <w:p w:rsidR="0089332D" w:rsidRPr="0089332D" w:rsidP="0089332D">
      <w:pPr>
        <w:widowControl/>
        <w:bidi w:val="0"/>
        <w:ind w:firstLine="708"/>
        <w:jc w:val="both"/>
        <w:rPr>
          <w:rStyle w:val="PlaceholderText"/>
          <w:color w:val="000000"/>
        </w:rPr>
      </w:pPr>
      <w:r w:rsidRPr="0089332D">
        <w:rPr>
          <w:rStyle w:val="PlaceholderText"/>
          <w:color w:val="000000"/>
        </w:rPr>
        <w:t>Účinnosť novely zákona o spotrebnej dani z tabakových výrobkov sa navrhuje od 1. októbra 2014.</w:t>
      </w:r>
    </w:p>
    <w:p w:rsidR="0089332D" w:rsidRPr="0089332D" w:rsidP="0089332D">
      <w:pPr>
        <w:widowControl/>
        <w:bidi w:val="0"/>
        <w:ind w:firstLine="708"/>
        <w:jc w:val="both"/>
        <w:rPr>
          <w:rStyle w:val="PlaceholderText"/>
          <w:color w:val="000000"/>
        </w:rPr>
      </w:pPr>
      <w:r w:rsidRPr="0089332D">
        <w:rPr>
          <w:rStyle w:val="PlaceholderText"/>
          <w:color w:val="000000"/>
        </w:rPr>
        <w:t>Účinnosť novely zákona o používaní elektronickej registračnej pokladnice sa navrhuje od 1. októbra 2014 okrem bodu 1, u ktorého sa navrhuje účinnosť od 1. januára 2015.</w:t>
      </w:r>
    </w:p>
    <w:p w:rsidR="0089332D" w:rsidRPr="0089332D" w:rsidP="0089332D">
      <w:pPr>
        <w:widowControl/>
        <w:bidi w:val="0"/>
        <w:ind w:firstLine="708"/>
        <w:jc w:val="both"/>
        <w:rPr>
          <w:rStyle w:val="PlaceholderText"/>
          <w:color w:val="000000"/>
        </w:rPr>
      </w:pPr>
      <w:r w:rsidRPr="0089332D">
        <w:rPr>
          <w:rStyle w:val="PlaceholderText"/>
          <w:color w:val="000000"/>
        </w:rPr>
        <w:t xml:space="preserve">Účinnosť novely Daňového poriadku sa navrhuje od 1. januára 2015. </w:t>
      </w:r>
    </w:p>
    <w:p w:rsidR="0089332D" w:rsidRPr="0089332D" w:rsidP="0089332D">
      <w:pPr>
        <w:widowControl/>
        <w:bidi w:val="0"/>
        <w:ind w:firstLine="720"/>
        <w:jc w:val="both"/>
        <w:rPr>
          <w:rStyle w:val="PlaceholderText"/>
          <w:color w:val="000000"/>
        </w:rPr>
      </w:pPr>
      <w:r w:rsidRPr="0089332D">
        <w:rPr>
          <w:rStyle w:val="PlaceholderText"/>
          <w:color w:val="000000"/>
        </w:rPr>
        <w:t>Účinnosť novely zákona o spotrebnej dani z alkoholických nápojov sa navrhuje od 1. októbra 2014.</w:t>
      </w:r>
    </w:p>
    <w:p w:rsidR="0089332D" w:rsidRPr="0089332D" w:rsidP="0089332D">
      <w:pPr>
        <w:widowControl/>
        <w:bidi w:val="0"/>
        <w:spacing w:after="280" w:afterAutospacing="1"/>
        <w:rPr>
          <w:rStyle w:val="PlaceholderText"/>
          <w:color w:val="000000"/>
        </w:rPr>
      </w:pPr>
      <w:r w:rsidRPr="0089332D">
        <w:rPr>
          <w:rStyle w:val="PlaceholderText"/>
          <w:color w:val="000000"/>
        </w:rPr>
        <w:t> </w:t>
      </w:r>
    </w:p>
    <w:p w:rsidR="004C4A10" w:rsidP="004C4A10">
      <w:pPr>
        <w:bidi w:val="0"/>
        <w:ind w:firstLine="709"/>
        <w:jc w:val="both"/>
        <w:rPr>
          <w:rFonts w:ascii="Times New Roman" w:hAnsi="Times New Roman"/>
        </w:rPr>
      </w:pPr>
      <w:r>
        <w:rPr>
          <w:rFonts w:ascii="Times New Roman" w:hAnsi="Times New Roman"/>
        </w:rPr>
        <w:t>Schválené na 103. rokovaní vlády Slovenskej republiky dňa 16. apríla 2014.</w:t>
      </w:r>
    </w:p>
    <w:p w:rsidR="004C4A10" w:rsidP="004C4A10">
      <w:pPr>
        <w:bidi w:val="0"/>
        <w:jc w:val="both"/>
        <w:rPr>
          <w:rFonts w:ascii="Times New Roman" w:hAnsi="Times New Roman"/>
        </w:rPr>
      </w:pPr>
    </w:p>
    <w:p w:rsidR="004C4A10" w:rsidP="004C4A10">
      <w:pPr>
        <w:bidi w:val="0"/>
        <w:jc w:val="both"/>
        <w:rPr>
          <w:rFonts w:ascii="Times New Roman" w:hAnsi="Times New Roman"/>
        </w:rPr>
      </w:pPr>
    </w:p>
    <w:p w:rsidR="004C4A10" w:rsidP="004C4A10">
      <w:pPr>
        <w:bidi w:val="0"/>
        <w:jc w:val="both"/>
        <w:rPr>
          <w:rFonts w:ascii="Times New Roman" w:hAnsi="Times New Roman"/>
        </w:rPr>
      </w:pPr>
    </w:p>
    <w:p w:rsidR="004C4A10" w:rsidP="004C4A10">
      <w:pPr>
        <w:bidi w:val="0"/>
        <w:jc w:val="center"/>
        <w:rPr>
          <w:rFonts w:ascii="Times New Roman" w:hAnsi="Times New Roman"/>
        </w:rPr>
      </w:pPr>
    </w:p>
    <w:p w:rsidR="004C4A10" w:rsidRPr="00B15A80" w:rsidP="004C4A10">
      <w:pPr>
        <w:bidi w:val="0"/>
        <w:jc w:val="center"/>
        <w:rPr>
          <w:rFonts w:ascii="Times New Roman" w:hAnsi="Times New Roman"/>
          <w:b/>
        </w:rPr>
      </w:pPr>
      <w:r w:rsidRPr="00B15A80">
        <w:rPr>
          <w:rFonts w:ascii="Times New Roman" w:hAnsi="Times New Roman"/>
          <w:b/>
        </w:rPr>
        <w:t>Robert Fico</w:t>
      </w:r>
      <w:r>
        <w:rPr>
          <w:rFonts w:ascii="Times New Roman" w:hAnsi="Times New Roman"/>
          <w:b/>
        </w:rPr>
        <w:t xml:space="preserve"> v. r.</w:t>
      </w:r>
    </w:p>
    <w:p w:rsidR="004C4A10" w:rsidP="004C4A10">
      <w:pPr>
        <w:bidi w:val="0"/>
        <w:jc w:val="center"/>
        <w:rPr>
          <w:rFonts w:ascii="Times New Roman" w:hAnsi="Times New Roman"/>
        </w:rPr>
      </w:pPr>
    </w:p>
    <w:p w:rsidR="004C4A10" w:rsidP="004C4A10">
      <w:pPr>
        <w:bidi w:val="0"/>
        <w:jc w:val="center"/>
        <w:rPr>
          <w:rFonts w:ascii="Times New Roman" w:hAnsi="Times New Roman"/>
        </w:rPr>
      </w:pPr>
      <w:r>
        <w:rPr>
          <w:rFonts w:ascii="Times New Roman" w:hAnsi="Times New Roman"/>
        </w:rPr>
        <w:t>predseda vlády Slovenskej republiky</w:t>
      </w:r>
    </w:p>
    <w:p w:rsidR="004C4A10" w:rsidP="004C4A10">
      <w:pPr>
        <w:bidi w:val="0"/>
        <w:jc w:val="center"/>
        <w:rPr>
          <w:rFonts w:ascii="Times New Roman" w:hAnsi="Times New Roman"/>
        </w:rPr>
      </w:pPr>
    </w:p>
    <w:p w:rsidR="004C4A10" w:rsidP="004C4A10">
      <w:pPr>
        <w:bidi w:val="0"/>
        <w:jc w:val="center"/>
        <w:rPr>
          <w:rFonts w:ascii="Times New Roman" w:hAnsi="Times New Roman"/>
        </w:rPr>
      </w:pPr>
    </w:p>
    <w:p w:rsidR="004C4A10" w:rsidP="004C4A10">
      <w:pPr>
        <w:bidi w:val="0"/>
        <w:jc w:val="center"/>
        <w:rPr>
          <w:rFonts w:ascii="Times New Roman" w:hAnsi="Times New Roman"/>
        </w:rPr>
      </w:pPr>
    </w:p>
    <w:p w:rsidR="004C4A10" w:rsidRPr="00B15A80" w:rsidP="004C4A10">
      <w:pPr>
        <w:bidi w:val="0"/>
        <w:jc w:val="center"/>
        <w:rPr>
          <w:rFonts w:ascii="Times New Roman" w:hAnsi="Times New Roman"/>
          <w:b/>
        </w:rPr>
      </w:pPr>
      <w:r w:rsidRPr="00B15A80">
        <w:rPr>
          <w:rFonts w:ascii="Times New Roman" w:hAnsi="Times New Roman"/>
          <w:b/>
        </w:rPr>
        <w:t>Peter Kažimír</w:t>
      </w:r>
      <w:r>
        <w:rPr>
          <w:rFonts w:ascii="Times New Roman" w:hAnsi="Times New Roman"/>
          <w:b/>
        </w:rPr>
        <w:t xml:space="preserve"> v. r.</w:t>
      </w:r>
    </w:p>
    <w:p w:rsidR="004C4A10" w:rsidP="004C4A10">
      <w:pPr>
        <w:bidi w:val="0"/>
        <w:jc w:val="center"/>
        <w:rPr>
          <w:rFonts w:ascii="Times New Roman" w:hAnsi="Times New Roman"/>
        </w:rPr>
      </w:pPr>
    </w:p>
    <w:p w:rsidR="004C4A10" w:rsidP="004C4A10">
      <w:pPr>
        <w:bidi w:val="0"/>
        <w:jc w:val="center"/>
        <w:rPr>
          <w:rFonts w:ascii="Times New Roman" w:hAnsi="Times New Roman"/>
        </w:rPr>
      </w:pPr>
      <w:r>
        <w:rPr>
          <w:rFonts w:ascii="Times New Roman" w:hAnsi="Times New Roman"/>
        </w:rPr>
        <w:t xml:space="preserve">podpredseda vlády a minister financií </w:t>
      </w:r>
    </w:p>
    <w:p w:rsidR="004C4A10" w:rsidP="004C4A10">
      <w:pPr>
        <w:bidi w:val="0"/>
        <w:jc w:val="center"/>
        <w:rPr>
          <w:rFonts w:ascii="Times New Roman" w:hAnsi="Times New Roman"/>
        </w:rPr>
      </w:pPr>
      <w:r>
        <w:rPr>
          <w:rFonts w:ascii="Times New Roman" w:hAnsi="Times New Roman"/>
        </w:rPr>
        <w:t>Slovenskej republiky</w:t>
      </w:r>
    </w:p>
    <w:p w:rsidR="004C4A10" w:rsidP="004C4A10">
      <w:pPr>
        <w:bidi w:val="0"/>
        <w:jc w:val="center"/>
        <w:rPr>
          <w:rFonts w:ascii="Times New Roman" w:hAnsi="Times New Roman"/>
        </w:rPr>
      </w:pPr>
    </w:p>
    <w:p w:rsidR="0089332D" w:rsidRPr="0089332D">
      <w:pPr>
        <w:widowControl/>
        <w:bidi w:val="0"/>
        <w:spacing w:after="280" w:afterAutospacing="1"/>
        <w:rPr>
          <w:rStyle w:val="PlaceholderText"/>
          <w:color w:val="000000"/>
        </w:rPr>
      </w:pPr>
    </w:p>
    <w:sectPr>
      <w:footerReference w:type="default" r:id="rId6"/>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2D" w:rsidP="00FB0C9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9332D">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2D" w:rsidP="00FB0C9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544A7">
      <w:rPr>
        <w:rStyle w:val="PageNumber"/>
        <w:rFonts w:ascii="Times New Roman" w:hAnsi="Times New Roman"/>
        <w:noProof/>
      </w:rPr>
      <w:t>7</w:t>
    </w:r>
    <w:r>
      <w:rPr>
        <w:rStyle w:val="PageNumber"/>
        <w:rFonts w:ascii="Times New Roman" w:hAnsi="Times New Roman"/>
      </w:rPr>
      <w:fldChar w:fldCharType="end"/>
    </w:r>
  </w:p>
  <w:p w:rsidR="0089332D">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2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544A7">
      <w:rPr>
        <w:rFonts w:ascii="Times New Roman" w:hAnsi="Times New Roman"/>
        <w:noProof/>
      </w:rPr>
      <w:t>21</w:t>
    </w:r>
    <w:r>
      <w:rPr>
        <w:rFonts w:ascii="Times New Roman" w:hAnsi="Times New Roman"/>
      </w:rPr>
      <w:fldChar w:fldCharType="end"/>
    </w:r>
  </w:p>
  <w:p w:rsidR="0089332D">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89332D"/>
    <w:rsid w:val="001544A7"/>
    <w:rsid w:val="004C4A10"/>
    <w:rsid w:val="005109F5"/>
    <w:rsid w:val="005D5B0F"/>
    <w:rsid w:val="0074404F"/>
    <w:rsid w:val="0089332D"/>
    <w:rsid w:val="008B25A6"/>
    <w:rsid w:val="00A64D2D"/>
    <w:rsid w:val="00B15A80"/>
    <w:rsid w:val="00BD7837"/>
    <w:rsid w:val="00C0489E"/>
    <w:rsid w:val="00DE6B1D"/>
    <w:rsid w:val="00FB0C9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Header">
    <w:name w:val="header"/>
    <w:basedOn w:val="Normal"/>
    <w:link w:val="HlavikaChar"/>
    <w:uiPriority w:val="99"/>
    <w:unhideWhenUsed/>
    <w:rsid w:val="0089332D"/>
    <w:pPr>
      <w:tabs>
        <w:tab w:val="center" w:pos="4536"/>
        <w:tab w:val="right" w:pos="9072"/>
      </w:tabs>
      <w:jc w:val="left"/>
    </w:pPr>
  </w:style>
  <w:style w:type="character" w:customStyle="1" w:styleId="HlavikaChar">
    <w:name w:val="Hlavička Char"/>
    <w:basedOn w:val="DefaultParagraphFont"/>
    <w:link w:val="Header"/>
    <w:uiPriority w:val="99"/>
    <w:locked/>
    <w:rsid w:val="0089332D"/>
    <w:rPr>
      <w:rFonts w:ascii="Times New Roman" w:hAnsi="Times New Roman" w:cs="Times New Roman"/>
      <w:sz w:val="24"/>
      <w:szCs w:val="24"/>
      <w:rtl w:val="0"/>
      <w:cs w:val="0"/>
    </w:rPr>
  </w:style>
  <w:style w:type="paragraph" w:styleId="Footer">
    <w:name w:val="footer"/>
    <w:basedOn w:val="Normal"/>
    <w:link w:val="PtaChar"/>
    <w:uiPriority w:val="99"/>
    <w:unhideWhenUsed/>
    <w:rsid w:val="0089332D"/>
    <w:pPr>
      <w:tabs>
        <w:tab w:val="center" w:pos="4536"/>
        <w:tab w:val="right" w:pos="9072"/>
      </w:tabs>
      <w:jc w:val="left"/>
    </w:pPr>
  </w:style>
  <w:style w:type="character" w:customStyle="1" w:styleId="PtaChar">
    <w:name w:val="Päta Char"/>
    <w:basedOn w:val="DefaultParagraphFont"/>
    <w:link w:val="Footer"/>
    <w:uiPriority w:val="99"/>
    <w:locked/>
    <w:rsid w:val="0089332D"/>
    <w:rPr>
      <w:rFonts w:ascii="Times New Roman" w:hAnsi="Times New Roman" w:cs="Times New Roman"/>
      <w:sz w:val="24"/>
      <w:szCs w:val="24"/>
      <w:rtl w:val="0"/>
      <w:cs w:val="0"/>
    </w:rPr>
  </w:style>
  <w:style w:type="paragraph" w:styleId="Title">
    <w:name w:val="Title"/>
    <w:basedOn w:val="Normal"/>
    <w:link w:val="NzovChar"/>
    <w:uiPriority w:val="10"/>
    <w:qFormat/>
    <w:locked/>
    <w:rsid w:val="0089332D"/>
    <w:pPr>
      <w:widowControl/>
      <w:adjustRightInd/>
      <w:jc w:val="center"/>
    </w:pPr>
    <w:rPr>
      <w:b/>
      <w:bCs/>
    </w:rPr>
  </w:style>
  <w:style w:type="character" w:customStyle="1" w:styleId="NzovChar">
    <w:name w:val="Názov Char"/>
    <w:basedOn w:val="DefaultParagraphFont"/>
    <w:link w:val="Title"/>
    <w:uiPriority w:val="10"/>
    <w:locked/>
    <w:rsid w:val="0089332D"/>
    <w:rPr>
      <w:rFonts w:ascii="Times New Roman" w:hAnsi="Times New Roman" w:cs="Times New Roman"/>
      <w:b/>
      <w:bCs/>
      <w:sz w:val="24"/>
      <w:szCs w:val="24"/>
      <w:rtl w:val="0"/>
      <w:cs w:val="0"/>
    </w:rPr>
  </w:style>
  <w:style w:type="paragraph" w:styleId="BodyText">
    <w:name w:val="Body Text"/>
    <w:basedOn w:val="Normal"/>
    <w:link w:val="ZkladntextChar"/>
    <w:uiPriority w:val="99"/>
    <w:rsid w:val="0089332D"/>
    <w:pPr>
      <w:widowControl/>
      <w:adjustRightInd/>
      <w:spacing w:after="120"/>
      <w:jc w:val="left"/>
    </w:pPr>
  </w:style>
  <w:style w:type="character" w:customStyle="1" w:styleId="ZkladntextChar">
    <w:name w:val="Základný text Char"/>
    <w:basedOn w:val="DefaultParagraphFont"/>
    <w:link w:val="BodyText"/>
    <w:uiPriority w:val="99"/>
    <w:locked/>
    <w:rsid w:val="0089332D"/>
    <w:rPr>
      <w:rFonts w:ascii="Times New Roman" w:hAnsi="Times New Roman" w:cs="Times New Roman"/>
      <w:sz w:val="24"/>
      <w:szCs w:val="24"/>
      <w:rtl w:val="0"/>
      <w:cs w:val="0"/>
    </w:rPr>
  </w:style>
  <w:style w:type="paragraph" w:styleId="NormalWeb">
    <w:name w:val="Normal (Web)"/>
    <w:aliases w:val="webb"/>
    <w:basedOn w:val="Normal"/>
    <w:uiPriority w:val="99"/>
    <w:unhideWhenUsed/>
    <w:rsid w:val="0089332D"/>
    <w:pPr>
      <w:widowControl/>
      <w:adjustRightInd/>
      <w:spacing w:before="75" w:after="90"/>
      <w:ind w:left="30"/>
      <w:jc w:val="left"/>
    </w:pPr>
    <w:rPr>
      <w:color w:val="444444"/>
    </w:rPr>
  </w:style>
  <w:style w:type="character" w:styleId="PageNumber">
    <w:name w:val="page number"/>
    <w:basedOn w:val="DefaultParagraphFont"/>
    <w:uiPriority w:val="99"/>
    <w:rsid w:val="0089332D"/>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TotalTime>
  <Pages>21</Pages>
  <Words>7514</Words>
  <Characters>42833</Characters>
  <Application>Microsoft Office Word</Application>
  <DocSecurity>0</DocSecurity>
  <Lines>0</Lines>
  <Paragraphs>0</Paragraphs>
  <ScaleCrop>false</ScaleCrop>
  <Company>Abyss</Company>
  <LinksUpToDate>false</LinksUpToDate>
  <CharactersWithSpaces>50247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Rybansky Ludovit</cp:lastModifiedBy>
  <cp:revision>4</cp:revision>
  <dcterms:created xsi:type="dcterms:W3CDTF">2014-04-16T13:39:00Z</dcterms:created>
  <dcterms:modified xsi:type="dcterms:W3CDTF">2014-04-16T15:06:00Z</dcterms:modified>
</cp:coreProperties>
</file>