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89332D" w:rsidP="008B25A6">
      <w:pPr>
        <w:widowControl/>
        <w:bidi w:val="0"/>
        <w:jc w:val="center"/>
        <w:rPr>
          <w:rFonts w:ascii="Times New Roman" w:hAnsi="Times New Roman"/>
          <w:b/>
          <w:caps/>
          <w:color w:val="000000"/>
          <w:spacing w:val="30"/>
        </w:rPr>
      </w:pPr>
      <w:r w:rsidRPr="0089332D">
        <w:rPr>
          <w:rFonts w:ascii="Times New Roman" w:hAnsi="Times New Roman"/>
          <w:b/>
          <w:caps/>
          <w:color w:val="000000"/>
          <w:spacing w:val="30"/>
        </w:rPr>
        <w:t>Dôvodová správa</w:t>
      </w:r>
    </w:p>
    <w:p w:rsidR="008B25A6" w:rsidRPr="0089332D" w:rsidP="008B25A6">
      <w:pPr>
        <w:widowControl/>
        <w:bidi w:val="0"/>
        <w:jc w:val="both"/>
        <w:rPr>
          <w:rFonts w:ascii="Times New Roman" w:hAnsi="Times New Roman"/>
          <w:color w:val="000000"/>
        </w:rPr>
      </w:pPr>
    </w:p>
    <w:p w:rsidR="008B25A6" w:rsidRPr="0089332D" w:rsidP="008B25A6">
      <w:pPr>
        <w:widowControl/>
        <w:bidi w:val="0"/>
        <w:jc w:val="both"/>
        <w:rPr>
          <w:rFonts w:ascii="Times New Roman" w:hAnsi="Times New Roman"/>
          <w:color w:val="000000"/>
        </w:rPr>
      </w:pPr>
    </w:p>
    <w:p w:rsidR="008B25A6" w:rsidRPr="0089332D" w:rsidP="008B25A6">
      <w:pPr>
        <w:widowControl/>
        <w:bidi w:val="0"/>
        <w:jc w:val="both"/>
        <w:rPr>
          <w:rFonts w:ascii="Times New Roman" w:hAnsi="Times New Roman"/>
          <w:b/>
          <w:color w:val="000000"/>
        </w:rPr>
      </w:pPr>
      <w:r w:rsidRPr="0089332D">
        <w:rPr>
          <w:rFonts w:ascii="Times New Roman" w:hAnsi="Times New Roman"/>
          <w:b/>
          <w:color w:val="000000"/>
        </w:rPr>
        <w:t>A. Všeobecná časť</w:t>
      </w:r>
    </w:p>
    <w:p w:rsidR="008B25A6" w:rsidRPr="0089332D" w:rsidP="008B25A6">
      <w:pPr>
        <w:widowControl/>
        <w:bidi w:val="0"/>
        <w:jc w:val="both"/>
        <w:rPr>
          <w:rFonts w:ascii="Times New Roman" w:hAnsi="Times New Roman"/>
          <w:color w:val="000000"/>
        </w:rPr>
      </w:pPr>
    </w:p>
    <w:p w:rsidR="008B25A6" w:rsidRPr="0089332D">
      <w:pPr>
        <w:widowControl/>
        <w:bidi w:val="0"/>
        <w:ind w:firstLine="708"/>
        <w:jc w:val="both"/>
        <w:rPr>
          <w:rFonts w:ascii="Times New Roman" w:hAnsi="Times New Roman"/>
          <w:color w:val="000000"/>
        </w:rPr>
      </w:pPr>
      <w:r w:rsidRPr="0089332D" w:rsidR="00C0489E">
        <w:rPr>
          <w:rStyle w:val="PlaceholderText"/>
          <w:color w:val="000000"/>
        </w:rPr>
        <w:t xml:space="preserve">V súvislosti so vstupom Slovenskej republiky do Európskej únie nadobudol 1. mája 2004 účinnosť zákon č. 222/2004 Z. z. o dani z pridanej hodnoty, ktorý vychádza z právnych predpisov Európskych spoločenstiev upravujúcich uplatňovanie tejto dane. Ide predovšetkým o sekundárnu legislatívu Európskych spoločenstiev, konkrétne smernicu Rady 2006/112/ES z 28. novembra 2006 o spoločnom systéme dane z pridanej hodnoty v znení jej zmien a doplnkov, ktorá je základnou smernicou upravujúcou uplatňovanie dane z pridanej hodnoty v Európskej únii. </w:t>
      </w:r>
    </w:p>
    <w:p w:rsidR="00C0489E" w:rsidRPr="0089332D">
      <w:pPr>
        <w:widowControl/>
        <w:bidi w:val="0"/>
        <w:ind w:firstLine="708"/>
        <w:jc w:val="both"/>
        <w:rPr>
          <w:rStyle w:val="PlaceholderText"/>
          <w:color w:val="000000"/>
        </w:rPr>
      </w:pPr>
      <w:r w:rsidRPr="0089332D">
        <w:rPr>
          <w:rStyle w:val="PlaceholderText"/>
          <w:color w:val="000000"/>
        </w:rPr>
        <w:t> </w:t>
      </w:r>
    </w:p>
    <w:p w:rsidR="00C0489E" w:rsidRPr="0089332D">
      <w:pPr>
        <w:widowControl/>
        <w:bidi w:val="0"/>
        <w:ind w:firstLine="708"/>
        <w:jc w:val="both"/>
        <w:rPr>
          <w:rStyle w:val="PlaceholderText"/>
          <w:color w:val="000000"/>
        </w:rPr>
      </w:pPr>
      <w:r w:rsidRPr="0089332D">
        <w:rPr>
          <w:rStyle w:val="PlaceholderText"/>
          <w:color w:val="000000"/>
        </w:rPr>
        <w:t>Zámerom novely zákona o DPH je prebrať do slovenskej právnej úpravy čl. 5 smernice Rady 2008/8/ES z 12. februára 2008, ktorou sa mení a dopĺňa smernica 2006/112/ES, pokiaľ ide o miesto poskytovania služieb. Uvedená smernica stanovila ako všeobecné pravidlo miesta poskytnutia služieb nezdaniteľným osobám miesto, kde má poskytovateľ zriadené sídlo, prípadne prevádzkareň. S cieľom dosiahnuť zdanenie v mieste skutočnej spotreby sa pri určitých typoch služieb uplatňuje osobitná výnimka z tohto pravidla. Jedna z takýchto výnimiek sa vzťahuje na poskytovanie telekomunikačných služieb, služieb rozhlasového a televízneho  vysielania a elektronických služieb. Ak sa tieto služby budú poskytovať nezdaniteľným osobám, od 1. januára 2015 bude miestom ich dodania miesto, kde má nezdaniteľná osoba sídlo, bydlisko alebo miesto, kde sa obvykle zdržiava.</w:t>
      </w:r>
    </w:p>
    <w:p w:rsidR="00C0489E" w:rsidRPr="0089332D">
      <w:pPr>
        <w:widowControl/>
        <w:bidi w:val="0"/>
        <w:ind w:firstLine="708"/>
        <w:jc w:val="both"/>
        <w:rPr>
          <w:rStyle w:val="PlaceholderText"/>
          <w:color w:val="000000"/>
        </w:rPr>
      </w:pPr>
      <w:r w:rsidRPr="0089332D">
        <w:rPr>
          <w:rStyle w:val="PlaceholderText"/>
          <w:color w:val="000000"/>
        </w:rPr>
        <w:t> </w:t>
      </w:r>
    </w:p>
    <w:p w:rsidR="00C0489E" w:rsidRPr="0089332D">
      <w:pPr>
        <w:widowControl/>
        <w:bidi w:val="0"/>
        <w:ind w:firstLine="708"/>
        <w:jc w:val="both"/>
        <w:rPr>
          <w:rStyle w:val="PlaceholderText"/>
          <w:color w:val="000000"/>
        </w:rPr>
      </w:pPr>
      <w:r w:rsidRPr="0089332D">
        <w:rPr>
          <w:rStyle w:val="PlaceholderText"/>
          <w:color w:val="000000"/>
        </w:rPr>
        <w:t xml:space="preserve">Novelou zákona o DPH sa v tejto súvislosti rozširuje vecná a personálna pôsobnosť osobitnej úpravy nazvanej odbornou verejnosťou ako tzv. mini one-stop-shop. Kým v súčasnosti sa táto úprava využíva výhradne len pre elektronické služby poskytované poskytovateľmi neusadenými na území Európskej únie, pretváranie vnútorného trhu, globalizácia, deregulácia a technologické zmeny vyústili do potreby od 1. januára 2015 rozšíriť jej použitie aj na telekomunikačné služby a služby rozhlasového a televízneho  vysielania. Z hľadiska personálnej pôsobnosti bude využívanie tejto úpravy rozšírené aj pre poskytovateľov usadených na území Európskej únie, nie však v členskom štáte, kde je miesto dodania týchto služieb (tzv. členský štát spotreby). </w:t>
      </w:r>
    </w:p>
    <w:p w:rsidR="00C0489E" w:rsidRPr="0089332D">
      <w:pPr>
        <w:widowControl/>
        <w:bidi w:val="0"/>
        <w:ind w:firstLine="708"/>
        <w:jc w:val="both"/>
        <w:rPr>
          <w:rStyle w:val="PlaceholderText"/>
          <w:color w:val="000000"/>
        </w:rPr>
      </w:pPr>
      <w:r w:rsidRPr="0089332D">
        <w:rPr>
          <w:rStyle w:val="PlaceholderText"/>
          <w:color w:val="000000"/>
        </w:rPr>
        <w:t> </w:t>
      </w:r>
    </w:p>
    <w:p w:rsidR="00C0489E" w:rsidRPr="0089332D">
      <w:pPr>
        <w:widowControl/>
        <w:bidi w:val="0"/>
        <w:ind w:firstLine="708"/>
        <w:jc w:val="both"/>
        <w:rPr>
          <w:rStyle w:val="PlaceholderText"/>
          <w:color w:val="000000"/>
        </w:rPr>
      </w:pPr>
      <w:r w:rsidRPr="0089332D">
        <w:rPr>
          <w:rStyle w:val="PlaceholderText"/>
          <w:color w:val="000000"/>
        </w:rPr>
        <w:t>Využívanie tejto úpravy nie je povinné, ale dobrovoľné. Ak si ju však poskytovateľ zvolí, je povinný uplatniť ju na všetky telekomunikačné služby, služby rozhlasového a televízneho vysielania a elektronické služby, ktoré na území Európskej únie poskytuje. Najväčšou výhodou využívania tejto úpravy je zbavenie sa administratívnej záťaže v podobe povinnosti poskytovateľa týchto služieb registrovať sa v každom členskom štáte spotreby. To znamená, že poskytovatelia usadení aj neusadení na území Európskej únie, ktorí budú poskytovať telekomunikačné služby,  služby rozhlasového a televízneho vysielania a elektronické služby zákazníkom na území Európskej únie, sa nebudú musieť komplikovane registrovať pre daň z pridanej hodnoty vo všetkých členských štátoch, kde sú usadení ich zákazníci a kde je miesto dodania týchto služieb. Svoju povinnosť priznať a uhradiť daň, ktorá prislúcha členskému štátu spotreby, si splnia poskytovatelia využívajúci túto úpravu prostredníctvom jedného daňového priznania podaného cez elektronický portál v členskom štáte, kde sa identifikujú pre využívanie tejto úpravy (tzv. členský štát identifikácie).</w:t>
      </w:r>
    </w:p>
    <w:p w:rsidR="00C0489E" w:rsidRPr="0089332D">
      <w:pPr>
        <w:widowControl/>
        <w:bidi w:val="0"/>
        <w:ind w:firstLine="708"/>
        <w:jc w:val="both"/>
        <w:rPr>
          <w:rStyle w:val="PlaceholderText"/>
          <w:color w:val="000000"/>
        </w:rPr>
      </w:pPr>
      <w:r w:rsidRPr="0089332D">
        <w:rPr>
          <w:rStyle w:val="PlaceholderText"/>
          <w:color w:val="000000"/>
        </w:rPr>
        <w:t> </w:t>
      </w:r>
    </w:p>
    <w:p w:rsidR="00C0489E" w:rsidRPr="0089332D">
      <w:pPr>
        <w:widowControl/>
        <w:bidi w:val="0"/>
        <w:ind w:firstLine="708"/>
        <w:jc w:val="both"/>
        <w:rPr>
          <w:rStyle w:val="PlaceholderText"/>
          <w:color w:val="000000"/>
        </w:rPr>
      </w:pPr>
      <w:r w:rsidRPr="0089332D">
        <w:rPr>
          <w:rStyle w:val="PlaceholderText"/>
          <w:color w:val="000000"/>
        </w:rPr>
        <w:t xml:space="preserve">Daňové priznanie sa bude podávať štvrťročne v členskom štáte identifikácie elektronickými prostriedkami, pričom s jeho podaním bude spojená aj povinnosť uhradiť splatnú daň. Členský štát identifikácie odošle elektronickými prostriedkami daňové priznanie spolu s uhradenou sumou dane tomu členskému štátu spotreby, ktorému táto daň patrí.  </w:t>
      </w:r>
    </w:p>
    <w:p w:rsidR="00C0489E" w:rsidRPr="0089332D">
      <w:pPr>
        <w:widowControl/>
        <w:bidi w:val="0"/>
        <w:ind w:firstLine="708"/>
        <w:jc w:val="both"/>
        <w:rPr>
          <w:rStyle w:val="PlaceholderText"/>
          <w:color w:val="000000"/>
        </w:rPr>
      </w:pPr>
      <w:r w:rsidRPr="0089332D">
        <w:rPr>
          <w:rStyle w:val="PlaceholderText"/>
          <w:color w:val="000000"/>
        </w:rPr>
        <w:t> </w:t>
      </w:r>
    </w:p>
    <w:p w:rsidR="00C0489E" w:rsidRPr="0089332D">
      <w:pPr>
        <w:widowControl/>
        <w:bidi w:val="0"/>
        <w:ind w:firstLine="708"/>
        <w:jc w:val="both"/>
        <w:rPr>
          <w:rStyle w:val="PlaceholderText"/>
          <w:color w:val="000000"/>
        </w:rPr>
      </w:pPr>
      <w:r w:rsidRPr="0089332D">
        <w:rPr>
          <w:rStyle w:val="PlaceholderText"/>
          <w:color w:val="000000"/>
        </w:rPr>
        <w:t>Niektoré pravidlá využívania tejto úpravy sa líšia v závislosti od toho, či poskytovateľ týchto služieb je zdaniteľnou osobou usadenou v Európskej únii, to znamená, že má v niektorom z členských štátov sídlo alebo prevádzkareň (úprava pre osoby usadené v EÚ), alebo je považovaný za zdaniteľnú osobu neusadenú na území Európskej únie, pretože nemá v žiadnom z členských štátov sídlo alebo prevádzkareň (úprava pre osoby neusadené v EÚ).</w:t>
      </w:r>
    </w:p>
    <w:p w:rsidR="00C0489E" w:rsidRPr="0089332D">
      <w:pPr>
        <w:widowControl/>
        <w:bidi w:val="0"/>
        <w:ind w:firstLine="708"/>
        <w:jc w:val="both"/>
        <w:rPr>
          <w:rStyle w:val="PlaceholderText"/>
          <w:color w:val="000000"/>
        </w:rPr>
      </w:pPr>
      <w:r w:rsidRPr="0089332D">
        <w:rPr>
          <w:rStyle w:val="PlaceholderText"/>
          <w:color w:val="000000"/>
        </w:rPr>
        <w:t> </w:t>
      </w:r>
    </w:p>
    <w:p w:rsidR="00C0489E" w:rsidRPr="0089332D">
      <w:pPr>
        <w:widowControl/>
        <w:bidi w:val="0"/>
        <w:ind w:firstLine="708"/>
        <w:jc w:val="both"/>
        <w:rPr>
          <w:rStyle w:val="PlaceholderText"/>
          <w:color w:val="000000"/>
        </w:rPr>
      </w:pPr>
      <w:r w:rsidRPr="0089332D">
        <w:rPr>
          <w:rStyle w:val="PlaceholderText"/>
          <w:color w:val="000000"/>
        </w:rPr>
        <w:t>Kým napríklad proces podávania daňových priznaní, úhrady splatnej dane, vedenia a uchovávania záznamov je pre obidve úpravy zhodný, proces registrácie, vrátane prideľovania identifikačných čísel, a postupy vrátenia dane uplatnenej pri nákupe tovarov a služieb súvisiacich s uplatňovaním týchto úprav sú pre úpravu pre osoby usadené v EÚ a úpravu pre osoby neusadené v EÚ odlišné.</w:t>
      </w:r>
    </w:p>
    <w:p w:rsidR="00C0489E" w:rsidRPr="0089332D">
      <w:pPr>
        <w:widowControl/>
        <w:bidi w:val="0"/>
        <w:ind w:firstLine="708"/>
        <w:jc w:val="both"/>
        <w:rPr>
          <w:rStyle w:val="PlaceholderText"/>
          <w:color w:val="000000"/>
        </w:rPr>
      </w:pPr>
      <w:r w:rsidRPr="0089332D">
        <w:rPr>
          <w:rStyle w:val="PlaceholderText"/>
          <w:color w:val="000000"/>
        </w:rPr>
        <w:t> </w:t>
      </w:r>
    </w:p>
    <w:p w:rsidR="00C0489E" w:rsidRPr="0089332D">
      <w:pPr>
        <w:widowControl/>
        <w:bidi w:val="0"/>
        <w:ind w:firstLine="708"/>
        <w:jc w:val="both"/>
        <w:rPr>
          <w:rStyle w:val="PlaceholderText"/>
          <w:color w:val="000000"/>
        </w:rPr>
      </w:pPr>
      <w:r w:rsidRPr="0089332D">
        <w:rPr>
          <w:rStyle w:val="PlaceholderText"/>
          <w:color w:val="000000"/>
        </w:rPr>
        <w:t xml:space="preserve">Rozdiely vyplývajú najmä z toho, že úprava pre osoby usadené v EÚ je určená pre tých poskytovateľov telekomunikačných služieb, služieb rozhlasového a televízneho vysielania a elektronických služieb, ktorí majú v niektorom z členských štátov Európskej únie sídlo, prípadne prevádzkareň. Títo poskytovatelia si musia zvoliť povinne za členský štát identifikácie ten štát, v ktorom majú sídlo. Ak však sídlo na území Európskej únie nemajú, ale napríklad majú na území viacerých členských štátov prevádzkarne, môžu si za členský štát identifikácie zvoliť hociktorý členský štát, v ktorom majú prevádzkareň. Členský štát nemusí takéhoto poskytovateľa identifikovať nanovo, ale použije identifikačné číslo pre daň, ktoré mu už predtým pridelil. Hoci sa uvádza, že ak sa poskytovateľ rozhodne využívať túto úpravu, je povinný do nej zahrnúť všetky telekomunikačné služby, služby rozhlasového a televízneho vysielania a elektronické služby, ktoré zákazníkom na území Európskej únie poskytne, úprava pre osoby usadené v EÚ poskytovateľovi neumožňuje využiť ju v tých členských štátoch, v ktorých má sídlo alebo prevádzkareň a ktoré sú zároveň členským štátom spotreby. To znamená, že ak poskytovateľ, ktorého členským štátom identifikácie je tuzemsko, pretože tu má sídlo svojej ekonomickej činnosti, poskytne telekomunikačné služby, služby rozhlasového a televízneho vysielania a elektronické služby nezdaniteľným osobám v tuzemsku, zahrnie ich do riadneho daňového priznania, ktoré podáva v tuzemsku. </w:t>
      </w:r>
    </w:p>
    <w:p w:rsidR="00C0489E" w:rsidRPr="0089332D">
      <w:pPr>
        <w:widowControl/>
        <w:bidi w:val="0"/>
        <w:ind w:firstLine="708"/>
        <w:jc w:val="both"/>
        <w:rPr>
          <w:rStyle w:val="PlaceholderText"/>
          <w:color w:val="000000"/>
        </w:rPr>
      </w:pPr>
      <w:r w:rsidRPr="0089332D">
        <w:rPr>
          <w:rStyle w:val="PlaceholderText"/>
          <w:color w:val="000000"/>
        </w:rPr>
        <w:t> </w:t>
      </w:r>
    </w:p>
    <w:p w:rsidR="00C0489E" w:rsidRPr="0089332D">
      <w:pPr>
        <w:widowControl/>
        <w:bidi w:val="0"/>
        <w:ind w:firstLine="708"/>
        <w:jc w:val="both"/>
        <w:rPr>
          <w:rStyle w:val="PlaceholderText"/>
          <w:color w:val="000000"/>
        </w:rPr>
      </w:pPr>
      <w:r w:rsidRPr="0089332D">
        <w:rPr>
          <w:rStyle w:val="PlaceholderText"/>
          <w:color w:val="000000"/>
        </w:rPr>
        <w:t>Na druhej strane úprava pre osoby neusadené v EÚ prikazuje členským štátom takýchto poskytovateľov identifikovať pridelením osobitného čísla. Keďže na území Európskej únie nie sú usadení, pretože tu nemajú sídlo alebo prevádzkareň, do daňového priznania, podaného v členskom štáte identifikácie, zahrnú poskytnutie všetkých elektronických služieb, telekomunikačných služieb a služieb rozhlasového a televízneho vysielania na území Európskej únie, vrátane členského štátu identifikácie.</w:t>
      </w:r>
    </w:p>
    <w:p w:rsidR="00C0489E" w:rsidRPr="0089332D">
      <w:pPr>
        <w:widowControl/>
        <w:bidi w:val="0"/>
        <w:ind w:firstLine="708"/>
        <w:jc w:val="both"/>
        <w:rPr>
          <w:rStyle w:val="PlaceholderText"/>
          <w:color w:val="000000"/>
        </w:rPr>
      </w:pPr>
      <w:r w:rsidRPr="0089332D">
        <w:rPr>
          <w:rStyle w:val="PlaceholderText"/>
          <w:color w:val="000000"/>
        </w:rPr>
        <w:t> </w:t>
      </w:r>
    </w:p>
    <w:p w:rsidR="00C0489E" w:rsidRPr="0089332D">
      <w:pPr>
        <w:widowControl/>
        <w:bidi w:val="0"/>
        <w:ind w:firstLine="708"/>
        <w:jc w:val="both"/>
        <w:rPr>
          <w:rStyle w:val="PlaceholderText"/>
          <w:color w:val="000000"/>
        </w:rPr>
      </w:pPr>
      <w:r w:rsidRPr="0089332D">
        <w:rPr>
          <w:rStyle w:val="PlaceholderText"/>
          <w:color w:val="000000"/>
        </w:rPr>
        <w:t>Kým poskytovatelia v rámci úpravy pre osoby usadené v EÚ postupujú pri žiadostiach o vrátenie dane z tovarov a služieb dodaných v členskom štáte spotreby cez tzv. refundačný mechanizmus vrátenia dane pre osoby z iných členských štátov, poskytovatelia v rámci úpravy pre osoby neusadené v EÚ tak robia cez existujúci systém vrátenia dane pre osoby z tretích štátov.</w:t>
      </w:r>
    </w:p>
    <w:p w:rsidR="00C0489E" w:rsidRPr="0089332D">
      <w:pPr>
        <w:widowControl/>
        <w:bidi w:val="0"/>
        <w:ind w:firstLine="708"/>
        <w:jc w:val="both"/>
        <w:rPr>
          <w:rStyle w:val="PlaceholderText"/>
          <w:color w:val="000000"/>
        </w:rPr>
      </w:pPr>
      <w:r w:rsidRPr="0089332D">
        <w:rPr>
          <w:rStyle w:val="PlaceholderText"/>
          <w:color w:val="000000"/>
        </w:rPr>
        <w:t> </w:t>
      </w:r>
    </w:p>
    <w:p w:rsidR="00C0489E" w:rsidRPr="0089332D">
      <w:pPr>
        <w:widowControl/>
        <w:bidi w:val="0"/>
        <w:ind w:firstLine="708"/>
        <w:jc w:val="both"/>
        <w:rPr>
          <w:rStyle w:val="PlaceholderText"/>
          <w:color w:val="000000"/>
        </w:rPr>
      </w:pPr>
      <w:r w:rsidRPr="0089332D">
        <w:rPr>
          <w:rStyle w:val="PlaceholderText"/>
          <w:color w:val="000000"/>
        </w:rPr>
        <w:t>Novela zákona o DPH stanovuje základné pravidlá využívania úpravy pre osoby usadené v EÚ a úpravy pre osoby neusadené v EÚ, tak ako je uvedené v čl. 5 smernice Rady 2008/8/ES, ktorou sa mení a dopĺňa smernica Rady 2006/112/ES, pokiaľ ide o miesto poskytovania služieb. Podrobné postupy pre využívanie oboch úprav sú uvedené v súvisiacich právnych predpisoch, ktorými sú:</w:t>
      </w:r>
    </w:p>
    <w:p w:rsidR="00C0489E" w:rsidRPr="0089332D">
      <w:pPr>
        <w:widowControl/>
        <w:bidi w:val="0"/>
        <w:ind w:firstLine="708"/>
        <w:jc w:val="both"/>
        <w:rPr>
          <w:rStyle w:val="PlaceholderText"/>
          <w:color w:val="000000"/>
        </w:rPr>
      </w:pPr>
      <w:r w:rsidRPr="0089332D">
        <w:rPr>
          <w:rStyle w:val="PlaceholderText"/>
          <w:color w:val="000000"/>
        </w:rPr>
        <w:t> </w:t>
      </w:r>
    </w:p>
    <w:p w:rsidR="00C0489E" w:rsidRPr="0089332D">
      <w:pPr>
        <w:widowControl/>
        <w:bidi w:val="0"/>
        <w:ind w:firstLine="708"/>
        <w:jc w:val="both"/>
        <w:rPr>
          <w:rStyle w:val="PlaceholderText"/>
          <w:color w:val="000000"/>
        </w:rPr>
      </w:pPr>
      <w:r w:rsidRPr="0089332D">
        <w:rPr>
          <w:rStyle w:val="PlaceholderText"/>
          <w:color w:val="000000"/>
        </w:rPr>
        <w:t>- nariadenie Rady (EÚ) č. 904/2010 zo 7. októbra 2010 o administratívnej spolupráci a boji proti podvodom v oblasti dane z pridanej hodnoty (prepracované znenie),</w:t>
      </w:r>
    </w:p>
    <w:p w:rsidR="00C0489E" w:rsidRPr="0089332D">
      <w:pPr>
        <w:widowControl/>
        <w:bidi w:val="0"/>
        <w:ind w:firstLine="708"/>
        <w:jc w:val="both"/>
        <w:rPr>
          <w:rStyle w:val="PlaceholderText"/>
          <w:color w:val="000000"/>
        </w:rPr>
      </w:pPr>
      <w:r w:rsidRPr="0089332D">
        <w:rPr>
          <w:rStyle w:val="PlaceholderText"/>
          <w:color w:val="000000"/>
        </w:rPr>
        <w:t> </w:t>
      </w:r>
    </w:p>
    <w:p w:rsidR="00C0489E" w:rsidRPr="0089332D">
      <w:pPr>
        <w:widowControl/>
        <w:bidi w:val="0"/>
        <w:ind w:firstLine="708"/>
        <w:jc w:val="both"/>
        <w:rPr>
          <w:rStyle w:val="PlaceholderText"/>
          <w:color w:val="000000"/>
        </w:rPr>
      </w:pPr>
      <w:r w:rsidRPr="0089332D">
        <w:rPr>
          <w:rStyle w:val="PlaceholderText"/>
          <w:color w:val="000000"/>
        </w:rPr>
        <w:t xml:space="preserve">- nariadenie Rady (EÚ) č. 967/2012 z 9. októbra 2012, ktorým sa mení a dopĺňa vykonávacie nariadenie (EÚ) č. 282/2011, pokiaľ ide o osobitné úpravy pre neusadené zdaniteľné osoby, ktoré poskytujú telekomunikačné služby, služby rozhlasového a televízneho vysielania alebo elektronické služby nezdaniteľným osobám, </w:t>
      </w:r>
    </w:p>
    <w:p w:rsidR="00C0489E" w:rsidRPr="0089332D">
      <w:pPr>
        <w:widowControl/>
        <w:bidi w:val="0"/>
        <w:ind w:firstLine="708"/>
        <w:jc w:val="both"/>
        <w:rPr>
          <w:rStyle w:val="PlaceholderText"/>
          <w:color w:val="000000"/>
        </w:rPr>
      </w:pPr>
      <w:r w:rsidRPr="0089332D">
        <w:rPr>
          <w:rStyle w:val="PlaceholderText"/>
          <w:color w:val="000000"/>
        </w:rPr>
        <w:t xml:space="preserve">- vykonávacie nariadenie Komisie (EÚ) č. 815/2012 z 13. septembra 2012, ktorým sa ustanovujú podrobné pravidlá uplatňovania nariadenia Rady (EÚ) č. 904/2010, pokiaľ ide o osobitné úpravy pre neusadené zdaniteľné osoby, ktoré poskytujú telekomunikačné služby, služby rozhlasového a televízneho vysielania alebo elektronické služby nezdaniteľným osobám. </w:t>
      </w:r>
    </w:p>
    <w:p w:rsidR="00C0489E" w:rsidRPr="0089332D">
      <w:pPr>
        <w:widowControl/>
        <w:bidi w:val="0"/>
        <w:jc w:val="both"/>
        <w:rPr>
          <w:rStyle w:val="PlaceholderText"/>
          <w:color w:val="000000"/>
        </w:rPr>
      </w:pPr>
      <w:r w:rsidRPr="0089332D">
        <w:rPr>
          <w:rStyle w:val="PlaceholderText"/>
          <w:color w:val="000000"/>
        </w:rPr>
        <w:t> </w:t>
      </w:r>
    </w:p>
    <w:p w:rsidR="00C0489E" w:rsidRPr="0089332D">
      <w:pPr>
        <w:widowControl/>
        <w:bidi w:val="0"/>
        <w:ind w:firstLine="708"/>
        <w:jc w:val="both"/>
        <w:rPr>
          <w:rStyle w:val="PlaceholderText"/>
          <w:color w:val="000000"/>
        </w:rPr>
      </w:pPr>
      <w:r w:rsidRPr="0089332D">
        <w:rPr>
          <w:rStyle w:val="PlaceholderText"/>
          <w:color w:val="000000"/>
        </w:rPr>
        <w:t>Účinnosť novely zákona o DPH sa navrhuje od 1. januára 2015, s výnimkou ustanovenia upravujúceho obdobie, za ktoré sa podáva súhrnný výkaz, a s výnimkou ustanovení upravujúcich prijímanie žiadostí a vydávanie povolení pre využívanie úpravy pre osoby usadené v EÚ a úpravy pre osoby neusadené v EÚ, ktoré musia byť účinné od 1. októbra 2014.</w:t>
      </w:r>
    </w:p>
    <w:p w:rsidR="00C0489E" w:rsidRPr="0089332D">
      <w:pPr>
        <w:widowControl/>
        <w:bidi w:val="0"/>
        <w:jc w:val="both"/>
        <w:rPr>
          <w:rStyle w:val="PlaceholderText"/>
          <w:color w:val="000000"/>
        </w:rPr>
      </w:pPr>
      <w:r w:rsidRPr="0089332D">
        <w:rPr>
          <w:rStyle w:val="PlaceholderText"/>
          <w:color w:val="000000"/>
        </w:rPr>
        <w:t> </w:t>
      </w:r>
    </w:p>
    <w:p w:rsidR="00C0489E" w:rsidRPr="0089332D">
      <w:pPr>
        <w:widowControl/>
        <w:bidi w:val="0"/>
        <w:ind w:firstLine="708"/>
        <w:jc w:val="both"/>
        <w:rPr>
          <w:rStyle w:val="PlaceholderText"/>
          <w:color w:val="000000"/>
        </w:rPr>
      </w:pPr>
      <w:r w:rsidRPr="0089332D">
        <w:rPr>
          <w:rStyle w:val="PlaceholderText"/>
          <w:color w:val="000000"/>
        </w:rPr>
        <w:t xml:space="preserve">Podľa platného znenia zákona o používaní elektronickej registračnej pokladnice môže domácemu podnikateľovi prideliť daňový kód elektronickej registračnej pokladnice len miestne príslušný daňový úrad a zahraničnému podnikateľovi môže prideliť daňový kód elektronickej registračnej pokladnice ktorýkoľvek daňový úrad. V záujme operatívnejšej registrácie elektronickej registračnej pokladnice u domácich a aj zahraničných podnikateľov sa novelou zákona o používaní elektronickej registračnej pokladnice navrhuje, aby daňový kód elektronickej registračnej pokladnice mohol prideliť ktorýkoľvek daňový úrad. Zároveň sa z technicko-organizačných dôvodov navrhuje, aby sa pokuty ukladali na mieste alebo v lehote do piatich pracovných dní. Pri zistení porušenia povinností sa bude vyhotovovať zápisnica z miestneho zisťovania. </w:t>
      </w:r>
    </w:p>
    <w:p w:rsidR="00C0489E" w:rsidRPr="0089332D">
      <w:pPr>
        <w:widowControl/>
        <w:bidi w:val="0"/>
        <w:ind w:firstLine="708"/>
        <w:jc w:val="both"/>
        <w:rPr>
          <w:rStyle w:val="PlaceholderText"/>
          <w:color w:val="000000"/>
        </w:rPr>
      </w:pPr>
      <w:r w:rsidRPr="0089332D">
        <w:rPr>
          <w:rStyle w:val="PlaceholderText"/>
          <w:color w:val="000000"/>
        </w:rPr>
        <w:t>Navrhovanou novelou daňového poriadku sa z dôvodu zabezpečenia flexibility daňovej kontroly navrhuje, aby správca dane počas daňovej kontroly mohol vyhotoviť čiastkový protokol, na základe ktorého by napr. vrátil preverenú časť nadmerného odpočtu ešte pred ukončením daňovej kontroly. S cieľom zlepšiť podnikateľské prostredie sa navrhuje skrátiť sledované obdobie, v ktorom je platiteľ dane z pridanej hodnoty v zozname zverejnený, z dvanásť mesiacov na šesť mesiacov.</w:t>
      </w:r>
    </w:p>
    <w:p w:rsidR="00C0489E" w:rsidRPr="0089332D">
      <w:pPr>
        <w:widowControl/>
        <w:bidi w:val="0"/>
        <w:ind w:firstLine="708"/>
        <w:jc w:val="both"/>
        <w:rPr>
          <w:rStyle w:val="PlaceholderText"/>
          <w:color w:val="000000"/>
        </w:rPr>
      </w:pPr>
      <w:r w:rsidRPr="0089332D">
        <w:rPr>
          <w:rStyle w:val="PlaceholderText"/>
          <w:color w:val="000000"/>
        </w:rPr>
        <w:t>Navrhovanými novelami zákona o spotrebnej dani z alkoholických nápojov a zákona o spotrebnej dani z tabakových výrobkov sa transponuje smernica Rady 2013/61/EÚ, ktorou sa mení územná pôsobnosť smernice Rady 2008/118/ES, a spresňujú sa niektoré ustanovenia upravujúce objednávanie a používanie kontrolných známok odberateľom kontrolných známok.</w:t>
      </w:r>
    </w:p>
    <w:p w:rsidR="00C0489E" w:rsidRPr="0089332D">
      <w:pPr>
        <w:widowControl/>
        <w:bidi w:val="0"/>
        <w:jc w:val="both"/>
        <w:rPr>
          <w:rStyle w:val="PlaceholderText"/>
          <w:color w:val="000000"/>
        </w:rPr>
      </w:pPr>
      <w:r w:rsidRPr="0089332D">
        <w:rPr>
          <w:rStyle w:val="PlaceholderText"/>
          <w:color w:val="000000"/>
        </w:rPr>
        <w:t> </w:t>
      </w:r>
    </w:p>
    <w:p w:rsidR="00C0489E" w:rsidRPr="0089332D">
      <w:pPr>
        <w:widowControl/>
        <w:bidi w:val="0"/>
        <w:ind w:firstLine="708"/>
        <w:jc w:val="both"/>
        <w:rPr>
          <w:rStyle w:val="PlaceholderText"/>
          <w:color w:val="000000"/>
        </w:rPr>
      </w:pPr>
      <w:r w:rsidRPr="0089332D">
        <w:rPr>
          <w:rStyle w:val="PlaceholderText"/>
          <w:color w:val="000000"/>
        </w:rPr>
        <w:t>Dopady návrhu zákona na rozpočet verejnej správy, na podnikateľské prostredie, na sociálne prostredie, vplyv na životné prostredie a vplyv na informatizáciu spoločnosti sú uvedené v doložke vybraných vplyvov.</w:t>
      </w:r>
    </w:p>
    <w:p w:rsidR="00C0489E" w:rsidRPr="0089332D">
      <w:pPr>
        <w:widowControl/>
        <w:bidi w:val="0"/>
        <w:jc w:val="both"/>
        <w:rPr>
          <w:rStyle w:val="PlaceholderText"/>
          <w:color w:val="000000"/>
        </w:rPr>
      </w:pPr>
      <w:r w:rsidRPr="0089332D">
        <w:rPr>
          <w:rStyle w:val="PlaceholderText"/>
          <w:color w:val="000000"/>
        </w:rPr>
        <w:t> </w:t>
      </w:r>
    </w:p>
    <w:p w:rsidR="00C0489E" w:rsidRPr="0089332D">
      <w:pPr>
        <w:widowControl/>
        <w:bidi w:val="0"/>
        <w:ind w:firstLine="708"/>
        <w:jc w:val="both"/>
        <w:rPr>
          <w:rStyle w:val="PlaceholderText"/>
          <w:color w:val="000000"/>
        </w:rPr>
      </w:pPr>
      <w:r w:rsidRPr="0089332D">
        <w:rPr>
          <w:rStyle w:val="PlaceholderText"/>
          <w:color w:val="000000"/>
        </w:rPr>
        <w:t xml:space="preserve">Predkladaný návrh zákona nebude mať vplyv na rozpočty obcí a vyšších územných celkov. </w:t>
      </w:r>
    </w:p>
    <w:p w:rsidR="00C0489E" w:rsidRPr="0089332D">
      <w:pPr>
        <w:widowControl/>
        <w:bidi w:val="0"/>
        <w:ind w:firstLine="708"/>
        <w:jc w:val="both"/>
        <w:rPr>
          <w:rStyle w:val="PlaceholderText"/>
          <w:color w:val="000000"/>
        </w:rPr>
      </w:pPr>
      <w:r w:rsidRPr="0089332D">
        <w:rPr>
          <w:rStyle w:val="PlaceholderText"/>
          <w:color w:val="000000"/>
        </w:rPr>
        <w:t> </w:t>
      </w:r>
    </w:p>
    <w:p w:rsidR="00C0489E" w:rsidRPr="0089332D" w:rsidP="001544A7">
      <w:pPr>
        <w:widowControl/>
        <w:bidi w:val="0"/>
        <w:ind w:firstLine="708"/>
        <w:jc w:val="both"/>
        <w:rPr>
          <w:rStyle w:val="PlaceholderText"/>
          <w:color w:val="000000"/>
        </w:rPr>
      </w:pPr>
      <w:r w:rsidRPr="0089332D">
        <w:rPr>
          <w:rStyle w:val="PlaceholderText"/>
          <w:color w:val="000000"/>
        </w:rPr>
        <w:t>Predkladaný návrh zákona je v súlade s Ústavou Slovenskej republiky a inými právnymi predpismi, medzinárodnými zmluvami a dokumentmi, ktorými je Slovenská republika viazaná, ako aj v súlade s právom Európskej únie.</w:t>
      </w:r>
    </w:p>
    <w:p w:rsidR="00C0489E" w:rsidRPr="0089332D" w:rsidP="001544A7">
      <w:pPr>
        <w:widowControl/>
        <w:bidi w:val="0"/>
        <w:rPr>
          <w:rStyle w:val="PlaceholderText"/>
          <w:color w:val="000000"/>
        </w:rPr>
      </w:pPr>
      <w:r w:rsidRPr="0089332D">
        <w:rPr>
          <w:rStyle w:val="PlaceholderText"/>
          <w:color w:val="000000"/>
        </w:rPr>
        <w:t> </w:t>
      </w:r>
    </w:p>
    <w:p w:rsidR="0089332D" w:rsidRPr="0089332D" w:rsidP="001544A7">
      <w:pPr>
        <w:bidi w:val="0"/>
        <w:jc w:val="center"/>
        <w:rPr>
          <w:rFonts w:ascii="Times New Roman" w:hAnsi="Times New Roman"/>
          <w:b/>
          <w:bCs/>
          <w:color w:val="000000"/>
        </w:rPr>
      </w:pPr>
      <w:r w:rsidRPr="0089332D">
        <w:rPr>
          <w:rFonts w:ascii="Times New Roman" w:hAnsi="Times New Roman"/>
          <w:b/>
          <w:bCs/>
          <w:color w:val="000000"/>
        </w:rPr>
        <w:t>Doložka vybraných vplyvov</w:t>
      </w:r>
    </w:p>
    <w:p w:rsidR="0089332D" w:rsidRPr="0089332D" w:rsidP="0089332D">
      <w:pPr>
        <w:bidi w:val="0"/>
        <w:jc w:val="center"/>
        <w:rPr>
          <w:rFonts w:ascii="Times New Roman" w:hAnsi="Times New Roman"/>
          <w:b/>
          <w:bCs/>
          <w:color w:val="000000"/>
          <w:spacing w:val="30"/>
        </w:rPr>
      </w:pPr>
    </w:p>
    <w:p w:rsidR="0089332D" w:rsidRPr="0089332D" w:rsidP="0089332D">
      <w:pPr>
        <w:bidi w:val="0"/>
        <w:jc w:val="both"/>
        <w:rPr>
          <w:rFonts w:ascii="Times New Roman" w:hAnsi="Times New Roman"/>
        </w:rPr>
      </w:pPr>
      <w:r w:rsidRPr="0089332D">
        <w:rPr>
          <w:rFonts w:ascii="Times New Roman" w:hAnsi="Times New Roman"/>
          <w:b/>
          <w:bCs/>
          <w:color w:val="000000"/>
        </w:rPr>
        <w:t>A.1. Názov materiálu:</w:t>
      </w:r>
      <w:r w:rsidRPr="0089332D">
        <w:rPr>
          <w:rFonts w:ascii="Times New Roman" w:hAnsi="Times New Roman"/>
          <w:bCs/>
          <w:color w:val="000000"/>
        </w:rPr>
        <w:t xml:space="preserve"> N</w:t>
      </w:r>
      <w:r w:rsidRPr="0089332D">
        <w:rPr>
          <w:rFonts w:ascii="Times New Roman" w:hAnsi="Times New Roman"/>
        </w:rPr>
        <w:t>ávrh zákona, ktorým sa mení a dopĺňa zákon č. 222/2004 Z. z. o dani z pridanej hodnoty v znení neskorších predpisov a ktorým sa menia a dopĺňajú niektoré zákony.</w:t>
      </w:r>
    </w:p>
    <w:p w:rsidR="0089332D" w:rsidRPr="0089332D" w:rsidP="0089332D">
      <w:pPr>
        <w:bidi w:val="0"/>
        <w:jc w:val="both"/>
        <w:rPr>
          <w:rFonts w:ascii="Times New Roman" w:hAnsi="Times New Roman"/>
          <w:b/>
          <w:bCs/>
          <w:color w:val="000000"/>
        </w:rPr>
      </w:pPr>
      <w:r w:rsidRPr="0089332D">
        <w:rPr>
          <w:rFonts w:ascii="Times New Roman" w:hAnsi="Times New Roman"/>
          <w:b/>
          <w:bCs/>
          <w:color w:val="000000"/>
        </w:rPr>
        <w:t xml:space="preserve">        Termín začatia a ukončenia PPK:</w:t>
      </w:r>
      <w:r w:rsidRPr="0089332D">
        <w:rPr>
          <w:rFonts w:ascii="Times New Roman" w:hAnsi="Times New Roman"/>
          <w:color w:val="000000"/>
        </w:rPr>
        <w:t xml:space="preserve"> od           do </w:t>
      </w:r>
    </w:p>
    <w:p w:rsidR="0089332D" w:rsidRPr="0089332D" w:rsidP="0089332D">
      <w:pPr>
        <w:bidi w:val="0"/>
        <w:jc w:val="both"/>
        <w:rPr>
          <w:rFonts w:ascii="Times New Roman" w:hAnsi="Times New Roman"/>
          <w:b/>
          <w:bCs/>
          <w:color w:val="000000"/>
        </w:rPr>
      </w:pPr>
    </w:p>
    <w:p w:rsidR="0089332D" w:rsidRPr="0089332D" w:rsidP="0089332D">
      <w:pPr>
        <w:bidi w:val="0"/>
        <w:jc w:val="both"/>
        <w:rPr>
          <w:rFonts w:ascii="Times New Roman" w:hAnsi="Times New Roman"/>
          <w:b/>
          <w:bCs/>
          <w:color w:val="000000"/>
        </w:rPr>
      </w:pPr>
      <w:r w:rsidRPr="0089332D">
        <w:rPr>
          <w:rFonts w:ascii="Times New Roman" w:hAnsi="Times New Roman"/>
          <w:b/>
          <w:bCs/>
          <w:color w:val="000000"/>
        </w:rPr>
        <w:t>A.2. Vplyvy:</w:t>
      </w:r>
    </w:p>
    <w:p w:rsidR="0089332D" w:rsidRPr="0089332D" w:rsidP="0089332D">
      <w:pPr>
        <w:bidi w:val="0"/>
        <w:jc w:val="both"/>
        <w:rPr>
          <w:rFonts w:ascii="Times New Roman" w:hAnsi="Times New Roman"/>
          <w:b/>
          <w:bCs/>
          <w:color w:val="000000"/>
        </w:rPr>
      </w:pP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17"/>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r w:rsidRPr="0089332D">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r w:rsidRPr="0089332D">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r w:rsidRPr="0089332D">
              <w:rPr>
                <w:rFonts w:ascii="Times New Roman" w:hAnsi="Times New Roman"/>
                <w:color w:val="000000"/>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rPr>
                <w:rFonts w:ascii="Times New Roman" w:hAnsi="Times New Roman"/>
                <w:color w:val="000000"/>
              </w:rPr>
            </w:pPr>
            <w:r w:rsidRPr="0089332D">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r w:rsidRPr="0089332D">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r w:rsidRPr="0089332D">
              <w:rPr>
                <w:rFonts w:ascii="Times New Roman" w:hAnsi="Times New Roman"/>
                <w:color w:val="000000"/>
              </w:rPr>
              <w:t>x</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rPr>
                <w:rFonts w:ascii="Times New Roman" w:hAnsi="Times New Roman"/>
                <w:color w:val="000000"/>
              </w:rPr>
            </w:pPr>
            <w:r w:rsidRPr="0089332D">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r w:rsidRPr="0089332D">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rPr>
                <w:rFonts w:ascii="Times New Roman" w:hAnsi="Times New Roman"/>
                <w:color w:val="000000"/>
              </w:rPr>
            </w:pPr>
            <w:r w:rsidRPr="0089332D">
              <w:rPr>
                <w:rFonts w:ascii="Times New Roman" w:hAnsi="Times New Roman"/>
                <w:color w:val="000000"/>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r w:rsidRPr="0089332D">
              <w:rPr>
                <w:rFonts w:ascii="Times New Roman" w:hAnsi="Times New Roman"/>
                <w:color w:val="000000"/>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rPr>
                <w:rFonts w:ascii="Times New Roman" w:hAnsi="Times New Roman"/>
                <w:color w:val="000000"/>
              </w:rPr>
            </w:pPr>
            <w:r w:rsidRPr="0089332D">
              <w:rPr>
                <w:rFonts w:ascii="Times New Roman" w:hAnsi="Times New Roman"/>
                <w:color w:val="000000"/>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rPr>
                <w:rFonts w:ascii="Times New Roman" w:hAnsi="Times New Roman"/>
                <w:color w:val="000000"/>
              </w:rPr>
            </w:pPr>
            <w:r w:rsidRPr="0089332D">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rPr>
                <w:rFonts w:ascii="Times New Roman" w:hAnsi="Times New Roman"/>
                <w:color w:val="000000"/>
              </w:rPr>
            </w:pPr>
            <w:r w:rsidRPr="0089332D">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rPr>
                <w:rFonts w:ascii="Times New Roman" w:hAnsi="Times New Roman"/>
                <w:color w:val="000000"/>
              </w:rPr>
            </w:pPr>
            <w:r w:rsidRPr="0089332D">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r w:rsidRPr="0089332D">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rPr>
                <w:rFonts w:ascii="Times New Roman" w:hAnsi="Times New Roman"/>
                <w:color w:val="000000"/>
              </w:rPr>
            </w:pPr>
            <w:r w:rsidRPr="0089332D">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r w:rsidRPr="0089332D">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9332D" w:rsidRPr="0089332D" w:rsidP="00DE6B1D">
            <w:pPr>
              <w:bidi w:val="0"/>
              <w:spacing w:after="0" w:line="240" w:lineRule="auto"/>
              <w:jc w:val="center"/>
              <w:rPr>
                <w:rFonts w:ascii="Times New Roman" w:hAnsi="Times New Roman"/>
                <w:color w:val="000000"/>
              </w:rPr>
            </w:pPr>
          </w:p>
        </w:tc>
      </w:tr>
    </w:tbl>
    <w:p w:rsidR="0089332D" w:rsidRPr="0089332D" w:rsidP="0089332D">
      <w:pPr>
        <w:bidi w:val="0"/>
        <w:rPr>
          <w:rFonts w:ascii="Times New Roman" w:hAnsi="Times New Roman"/>
          <w:color w:val="000000"/>
        </w:rPr>
      </w:pPr>
      <w:r w:rsidRPr="0089332D">
        <w:rPr>
          <w:rFonts w:ascii="Times New Roman" w:hAnsi="Times New Roman"/>
          <w:color w:val="000000"/>
        </w:rPr>
        <w:t> </w:t>
      </w:r>
    </w:p>
    <w:p w:rsidR="0089332D" w:rsidRPr="0089332D" w:rsidP="0089332D">
      <w:pPr>
        <w:bidi w:val="0"/>
        <w:jc w:val="both"/>
        <w:rPr>
          <w:rFonts w:ascii="Times New Roman" w:hAnsi="Times New Roman"/>
          <w:b/>
          <w:bCs/>
          <w:color w:val="000000"/>
        </w:rPr>
      </w:pPr>
    </w:p>
    <w:p w:rsidR="0089332D" w:rsidRPr="0089332D" w:rsidP="0089332D">
      <w:pPr>
        <w:bidi w:val="0"/>
        <w:jc w:val="both"/>
        <w:rPr>
          <w:rFonts w:ascii="Times New Roman" w:hAnsi="Times New Roman"/>
          <w:b/>
          <w:bCs/>
          <w:color w:val="000000"/>
        </w:rPr>
      </w:pPr>
      <w:r w:rsidRPr="0089332D">
        <w:rPr>
          <w:rFonts w:ascii="Times New Roman" w:hAnsi="Times New Roman"/>
          <w:b/>
          <w:bCs/>
          <w:color w:val="000000"/>
        </w:rPr>
        <w:t>A.3. Poznámky</w:t>
      </w:r>
    </w:p>
    <w:p w:rsidR="0089332D" w:rsidRPr="0089332D" w:rsidP="0089332D">
      <w:pPr>
        <w:bidi w:val="0"/>
        <w:jc w:val="both"/>
        <w:rPr>
          <w:rFonts w:ascii="Times New Roman" w:hAnsi="Times New Roman"/>
          <w:color w:val="000000"/>
        </w:rPr>
      </w:pPr>
      <w:r w:rsidRPr="0089332D">
        <w:rPr>
          <w:rFonts w:ascii="Times New Roman" w:hAnsi="Times New Roman"/>
          <w:color w:val="000000"/>
        </w:rPr>
        <w:t> </w:t>
      </w:r>
    </w:p>
    <w:p w:rsidR="0089332D" w:rsidRPr="0089332D" w:rsidP="0089332D">
      <w:pPr>
        <w:bidi w:val="0"/>
        <w:jc w:val="both"/>
        <w:rPr>
          <w:rFonts w:ascii="Times New Roman" w:hAnsi="Times New Roman"/>
          <w:i/>
          <w:color w:val="000000"/>
        </w:rPr>
      </w:pPr>
      <w:r w:rsidRPr="0089332D">
        <w:rPr>
          <w:rFonts w:ascii="Times New Roman" w:hAnsi="Times New Roman"/>
          <w:i/>
          <w:color w:val="000000"/>
        </w:rPr>
        <w:t>bezpredmetné</w:t>
      </w:r>
    </w:p>
    <w:p w:rsidR="0089332D" w:rsidRPr="0089332D" w:rsidP="0089332D">
      <w:pPr>
        <w:bidi w:val="0"/>
        <w:jc w:val="both"/>
        <w:rPr>
          <w:rFonts w:ascii="Times New Roman" w:hAnsi="Times New Roman"/>
          <w:i/>
          <w:iCs/>
          <w:color w:val="000000"/>
        </w:rPr>
      </w:pPr>
      <w:r w:rsidRPr="0089332D">
        <w:rPr>
          <w:rFonts w:ascii="Times New Roman" w:hAnsi="Times New Roman"/>
          <w:i/>
          <w:iCs/>
          <w:color w:val="000000"/>
        </w:rPr>
        <w:t xml:space="preserve">      </w:t>
      </w:r>
    </w:p>
    <w:p w:rsidR="0089332D" w:rsidRPr="0089332D" w:rsidP="0089332D">
      <w:pPr>
        <w:bidi w:val="0"/>
        <w:jc w:val="both"/>
        <w:rPr>
          <w:rFonts w:ascii="Times New Roman" w:hAnsi="Times New Roman"/>
          <w:b/>
          <w:bCs/>
          <w:color w:val="000000"/>
        </w:rPr>
      </w:pPr>
      <w:r w:rsidRPr="0089332D">
        <w:rPr>
          <w:rFonts w:ascii="Times New Roman" w:hAnsi="Times New Roman"/>
          <w:b/>
          <w:bCs/>
          <w:color w:val="000000"/>
        </w:rPr>
        <w:t>A.4. Alternatívne riešenia</w:t>
      </w:r>
    </w:p>
    <w:p w:rsidR="0089332D" w:rsidRPr="0089332D" w:rsidP="0089332D">
      <w:pPr>
        <w:bidi w:val="0"/>
        <w:jc w:val="both"/>
        <w:rPr>
          <w:rFonts w:ascii="Times New Roman" w:hAnsi="Times New Roman"/>
          <w:b/>
          <w:bCs/>
          <w:color w:val="000000"/>
        </w:rPr>
      </w:pPr>
      <w:r w:rsidRPr="0089332D">
        <w:rPr>
          <w:rFonts w:ascii="Times New Roman" w:hAnsi="Times New Roman"/>
          <w:color w:val="000000"/>
        </w:rPr>
        <w:t> </w:t>
      </w:r>
    </w:p>
    <w:p w:rsidR="0089332D" w:rsidRPr="0089332D" w:rsidP="0089332D">
      <w:pPr>
        <w:bidi w:val="0"/>
        <w:jc w:val="both"/>
        <w:rPr>
          <w:rFonts w:ascii="Times New Roman" w:hAnsi="Times New Roman"/>
          <w:i/>
          <w:color w:val="000000"/>
        </w:rPr>
      </w:pPr>
      <w:r w:rsidRPr="0089332D">
        <w:rPr>
          <w:rFonts w:ascii="Times New Roman" w:hAnsi="Times New Roman"/>
          <w:i/>
          <w:color w:val="000000"/>
        </w:rPr>
        <w:t>bezpredmetné</w:t>
      </w:r>
    </w:p>
    <w:p w:rsidR="0089332D" w:rsidRPr="0089332D" w:rsidP="0089332D">
      <w:pPr>
        <w:bidi w:val="0"/>
        <w:jc w:val="both"/>
        <w:rPr>
          <w:rFonts w:ascii="Times New Roman" w:hAnsi="Times New Roman"/>
          <w:b/>
          <w:bCs/>
          <w:color w:val="000000"/>
        </w:rPr>
      </w:pPr>
    </w:p>
    <w:p w:rsidR="0089332D" w:rsidRPr="0089332D" w:rsidP="0089332D">
      <w:pPr>
        <w:bidi w:val="0"/>
        <w:jc w:val="both"/>
        <w:rPr>
          <w:rFonts w:ascii="Times New Roman" w:hAnsi="Times New Roman"/>
          <w:b/>
          <w:bCs/>
          <w:color w:val="000000"/>
        </w:rPr>
      </w:pPr>
      <w:r w:rsidRPr="0089332D">
        <w:rPr>
          <w:rFonts w:ascii="Times New Roman" w:hAnsi="Times New Roman"/>
          <w:b/>
          <w:bCs/>
          <w:color w:val="000000"/>
        </w:rPr>
        <w:t>A.5. Stanovisko gestorov</w:t>
      </w:r>
    </w:p>
    <w:p w:rsidR="0089332D" w:rsidRPr="0089332D" w:rsidP="0089332D">
      <w:pPr>
        <w:bidi w:val="0"/>
        <w:jc w:val="both"/>
        <w:rPr>
          <w:rFonts w:ascii="Times New Roman" w:hAnsi="Times New Roman"/>
          <w:b/>
          <w:bCs/>
        </w:rPr>
      </w:pPr>
    </w:p>
    <w:p w:rsidR="0089332D" w:rsidRPr="0089332D" w:rsidP="0089332D">
      <w:pPr>
        <w:bidi w:val="0"/>
        <w:jc w:val="center"/>
        <w:rPr>
          <w:rFonts w:ascii="Times New Roman" w:hAnsi="Times New Roman"/>
          <w:b/>
          <w:bCs/>
        </w:rPr>
      </w:pPr>
      <w:r w:rsidRPr="0089332D">
        <w:rPr>
          <w:rFonts w:ascii="Times New Roman" w:hAnsi="Times New Roman"/>
          <w:b/>
          <w:bCs/>
        </w:rPr>
        <w:t>Vplyvy na rozpočet verejnej správy,</w:t>
      </w:r>
    </w:p>
    <w:p w:rsidR="0089332D" w:rsidRPr="0089332D" w:rsidP="0089332D">
      <w:pPr>
        <w:bidi w:val="0"/>
        <w:jc w:val="center"/>
        <w:rPr>
          <w:rFonts w:ascii="Times New Roman" w:hAnsi="Times New Roman"/>
          <w:b/>
          <w:bCs/>
        </w:rPr>
      </w:pPr>
      <w:r w:rsidRPr="0089332D">
        <w:rPr>
          <w:rFonts w:ascii="Times New Roman" w:hAnsi="Times New Roman"/>
          <w:b/>
          <w:bCs/>
        </w:rPr>
        <w:t>na zamestnanosť vo verejnej správe a financovanie návrhu</w:t>
      </w:r>
    </w:p>
    <w:p w:rsidR="0089332D" w:rsidRPr="0089332D" w:rsidP="0089332D">
      <w:pPr>
        <w:bidi w:val="0"/>
        <w:rPr>
          <w:rFonts w:ascii="Times New Roman" w:hAnsi="Times New Roman"/>
        </w:rPr>
      </w:pPr>
    </w:p>
    <w:p w:rsidR="0089332D" w:rsidRPr="0089332D" w:rsidP="0089332D">
      <w:pPr>
        <w:bidi w:val="0"/>
        <w:rPr>
          <w:rFonts w:ascii="Times New Roman" w:hAnsi="Times New Roman"/>
          <w:b/>
        </w:rPr>
      </w:pPr>
      <w:r w:rsidRPr="0089332D">
        <w:rPr>
          <w:rFonts w:ascii="Times New Roman" w:hAnsi="Times New Roman"/>
          <w:b/>
        </w:rPr>
        <w:t>2.1. Zhrnutie vplyvov na rozpočet verejnej správy v návrhu</w:t>
      </w:r>
    </w:p>
    <w:p w:rsidR="0089332D" w:rsidRPr="0089332D" w:rsidP="0089332D">
      <w:pPr>
        <w:bidi w:val="0"/>
        <w:jc w:val="right"/>
        <w:rPr>
          <w:rFonts w:ascii="Times New Roman" w:hAnsi="Times New Roman"/>
        </w:rPr>
      </w:pPr>
      <w:r w:rsidRPr="0089332D">
        <w:rPr>
          <w:rFonts w:ascii="Times New Roman" w:hAnsi="Times New Roman"/>
        </w:rPr>
        <w:t xml:space="preserve">Tabuľka č. 1 </w:t>
      </w:r>
    </w:p>
    <w:tbl>
      <w:tblPr>
        <w:tblStyle w:val="TableNormal"/>
        <w:tblW w:w="9688"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26"/>
        <w:gridCol w:w="1267"/>
        <w:gridCol w:w="1267"/>
        <w:gridCol w:w="1267"/>
      </w:tblGrid>
      <w:tr>
        <w:tblPrEx>
          <w:tblW w:w="9688"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3"/>
          <w:wAfter w:w="3801" w:type="dxa"/>
          <w:cantSplit/>
          <w:trHeight w:val="276"/>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9332D" w:rsidRPr="0089332D" w:rsidP="00DE6B1D">
            <w:pPr>
              <w:bidi w:val="0"/>
              <w:spacing w:after="0" w:line="240" w:lineRule="auto"/>
              <w:jc w:val="center"/>
              <w:rPr>
                <w:rFonts w:ascii="Times New Roman" w:hAnsi="Times New Roman"/>
                <w:b/>
                <w:bCs/>
              </w:rPr>
            </w:pPr>
            <w:r w:rsidRPr="0089332D">
              <w:rPr>
                <w:rFonts w:ascii="Times New Roman" w:hAnsi="Times New Roman"/>
                <w:b/>
                <w:bCs/>
              </w:rPr>
              <w:t>Vplyvy na rozpočet verejnej správy (v mil. eur)</w:t>
            </w:r>
          </w:p>
        </w:tc>
        <w:tc>
          <w:tcPr>
            <w:tcW w:w="122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9332D" w:rsidRPr="0089332D" w:rsidP="00DE6B1D">
            <w:pPr>
              <w:bidi w:val="0"/>
              <w:spacing w:after="0" w:line="240" w:lineRule="auto"/>
              <w:jc w:val="center"/>
              <w:rPr>
                <w:rFonts w:ascii="Times New Roman" w:hAnsi="Times New Roman"/>
                <w:b/>
                <w:bCs/>
              </w:rPr>
            </w:pPr>
          </w:p>
        </w:tc>
      </w:tr>
      <w:tr>
        <w:tblPrEx>
          <w:tblW w:w="9688"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89332D" w:rsidRPr="0089332D" w:rsidP="00DE6B1D">
            <w:pPr>
              <w:bidi w:val="0"/>
              <w:spacing w:after="0" w:line="240" w:lineRule="auto"/>
              <w:jc w:val="center"/>
              <w:rPr>
                <w:rFonts w:ascii="Times New Roman" w:hAnsi="Times New Roman"/>
                <w:b/>
                <w:bCs/>
              </w:rPr>
            </w:pPr>
          </w:p>
        </w:tc>
        <w:tc>
          <w:tcPr>
            <w:tcW w:w="122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9332D" w:rsidRPr="0089332D" w:rsidP="00DE6B1D">
            <w:pPr>
              <w:bidi w:val="0"/>
              <w:spacing w:after="0" w:line="240" w:lineRule="auto"/>
              <w:jc w:val="center"/>
              <w:rPr>
                <w:rFonts w:ascii="Times New Roman" w:hAnsi="Times New Roman"/>
                <w:b/>
                <w:bCs/>
              </w:rPr>
            </w:pPr>
            <w:r w:rsidRPr="0089332D">
              <w:rPr>
                <w:rFonts w:ascii="Times New Roman" w:hAnsi="Times New Roman"/>
                <w:b/>
                <w:bCs/>
              </w:rPr>
              <w:t>2014</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9332D" w:rsidRPr="0089332D" w:rsidP="00DE6B1D">
            <w:pPr>
              <w:bidi w:val="0"/>
              <w:spacing w:after="0" w:line="240" w:lineRule="auto"/>
              <w:jc w:val="center"/>
              <w:rPr>
                <w:rFonts w:ascii="Times New Roman" w:hAnsi="Times New Roman"/>
                <w:b/>
                <w:bCs/>
              </w:rPr>
            </w:pPr>
            <w:r w:rsidRPr="0089332D">
              <w:rPr>
                <w:rFonts w:ascii="Times New Roman" w:hAnsi="Times New Roman"/>
                <w:b/>
                <w:bCs/>
              </w:rPr>
              <w:t>2015</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9332D" w:rsidRPr="0089332D" w:rsidP="00DE6B1D">
            <w:pPr>
              <w:bidi w:val="0"/>
              <w:spacing w:after="0" w:line="240" w:lineRule="auto"/>
              <w:jc w:val="center"/>
              <w:rPr>
                <w:rFonts w:ascii="Times New Roman" w:hAnsi="Times New Roman"/>
                <w:b/>
                <w:bCs/>
              </w:rPr>
            </w:pPr>
            <w:r w:rsidRPr="0089332D">
              <w:rPr>
                <w:rFonts w:ascii="Times New Roman" w:hAnsi="Times New Roman"/>
                <w:b/>
                <w:bCs/>
              </w:rPr>
              <w:t>2016</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9332D" w:rsidRPr="0089332D" w:rsidP="00DE6B1D">
            <w:pPr>
              <w:bidi w:val="0"/>
              <w:spacing w:after="0" w:line="240" w:lineRule="auto"/>
              <w:jc w:val="center"/>
              <w:rPr>
                <w:rFonts w:ascii="Times New Roman" w:hAnsi="Times New Roman"/>
                <w:b/>
                <w:bCs/>
              </w:rPr>
            </w:pPr>
            <w:r w:rsidRPr="0089332D">
              <w:rPr>
                <w:rFonts w:ascii="Times New Roman" w:hAnsi="Times New Roman"/>
                <w:b/>
                <w:bCs/>
              </w:rPr>
              <w:t>2017</w:t>
            </w:r>
          </w:p>
        </w:tc>
      </w:tr>
      <w:tr>
        <w:tblPrEx>
          <w:tblW w:w="9688"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9332D" w:rsidRPr="0089332D" w:rsidP="00DE6B1D">
            <w:pPr>
              <w:bidi w:val="0"/>
              <w:spacing w:after="0" w:line="240" w:lineRule="auto"/>
              <w:rPr>
                <w:rFonts w:ascii="Times New Roman" w:hAnsi="Times New Roman"/>
              </w:rPr>
            </w:pPr>
            <w:r w:rsidRPr="0089332D">
              <w:rPr>
                <w:rFonts w:ascii="Times New Roman" w:hAnsi="Times New Roman"/>
                <w:b/>
                <w:bCs/>
              </w:rPr>
              <w:t>Príjmy verejnej správy celkom</w:t>
            </w:r>
          </w:p>
        </w:tc>
        <w:tc>
          <w:tcPr>
            <w:tcW w:w="122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89332D" w:rsidRPr="0089332D" w:rsidP="00DE6B1D">
            <w:pPr>
              <w:bidi w:val="0"/>
              <w:spacing w:after="0" w:line="240" w:lineRule="auto"/>
              <w:jc w:val="right"/>
              <w:rPr>
                <w:rFonts w:ascii="Times New Roman" w:hAnsi="Times New Roman"/>
                <w:b/>
              </w:rPr>
            </w:pPr>
            <w:r w:rsidRPr="0089332D">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89332D" w:rsidRPr="0089332D" w:rsidP="00DE6B1D">
            <w:pPr>
              <w:bidi w:val="0"/>
              <w:spacing w:after="0" w:line="240" w:lineRule="auto"/>
              <w:jc w:val="right"/>
              <w:rPr>
                <w:rFonts w:ascii="Times New Roman" w:hAnsi="Times New Roman"/>
                <w:b/>
              </w:rPr>
            </w:pPr>
            <w:r w:rsidRPr="0089332D">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89332D" w:rsidRPr="0089332D" w:rsidP="00DE6B1D">
            <w:pPr>
              <w:bidi w:val="0"/>
              <w:spacing w:after="0" w:line="240" w:lineRule="auto"/>
              <w:jc w:val="right"/>
              <w:rPr>
                <w:rFonts w:ascii="Times New Roman" w:hAnsi="Times New Roman"/>
                <w:b/>
              </w:rPr>
            </w:pPr>
            <w:r w:rsidRPr="0089332D">
              <w:rPr>
                <w:rFonts w:ascii="Times New Roman" w:hAnsi="Times New Roman"/>
                <w:b/>
              </w:rPr>
              <w:t>0</w:t>
            </w:r>
          </w:p>
        </w:tc>
      </w:tr>
      <w:tr>
        <w:tblPrEx>
          <w:tblW w:w="9688"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rPr>
                <w:rFonts w:ascii="Times New Roman" w:hAnsi="Times New Roman"/>
              </w:rPr>
            </w:pPr>
            <w:r w:rsidRPr="0089332D">
              <w:rPr>
                <w:rFonts w:ascii="Times New Roman" w:hAnsi="Times New Roman"/>
              </w:rPr>
              <w:t>v tom: za každý subjekt verejnej správy zvlášť VPS</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jc w:val="right"/>
              <w:rPr>
                <w:rFonts w:ascii="Times New Roman" w:hAnsi="Times New Roman"/>
                <w:b/>
              </w:rPr>
            </w:pPr>
            <w:r w:rsidRPr="0089332D">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iCs/>
              </w:rPr>
            </w:pPr>
            <w:r w:rsidRPr="0089332D">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iCs/>
              </w:rPr>
            </w:pPr>
            <w:r w:rsidRPr="0089332D">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iCs/>
              </w:rPr>
            </w:pPr>
            <w:r w:rsidRPr="0089332D">
              <w:rPr>
                <w:rFonts w:ascii="Times New Roman" w:hAnsi="Times New Roman"/>
                <w:b/>
                <w:bCs/>
                <w:iCs/>
              </w:rPr>
              <w:t>0</w:t>
            </w:r>
          </w:p>
        </w:tc>
      </w:tr>
      <w:tr>
        <w:tblPrEx>
          <w:tblW w:w="9688"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rPr>
                <w:rFonts w:ascii="Times New Roman" w:hAnsi="Times New Roman"/>
                <w:b/>
                <w:bCs/>
                <w:i/>
                <w:iCs/>
              </w:rPr>
            </w:pPr>
            <w:r w:rsidRPr="0089332D">
              <w:rPr>
                <w:rFonts w:ascii="Times New Roman" w:hAnsi="Times New Roman"/>
                <w:b/>
                <w:bCs/>
                <w:i/>
                <w:iCs/>
              </w:rPr>
              <w:t xml:space="preserve">z toho:  </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iCs/>
              </w:rPr>
            </w:pPr>
          </w:p>
        </w:tc>
      </w:tr>
      <w:tr>
        <w:tblPrEx>
          <w:tblW w:w="9688"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rPr>
                <w:rFonts w:ascii="Times New Roman" w:hAnsi="Times New Roman"/>
                <w:b/>
                <w:bCs/>
                <w:i/>
                <w:iCs/>
              </w:rPr>
            </w:pPr>
            <w:r w:rsidRPr="0089332D">
              <w:rPr>
                <w:rFonts w:ascii="Times New Roman" w:hAnsi="Times New Roman"/>
                <w:b/>
                <w:bCs/>
                <w:i/>
                <w:iCs/>
              </w:rPr>
              <w:t>- vplyv na ŠR VPS</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jc w:val="right"/>
              <w:rPr>
                <w:rFonts w:ascii="Times New Roman" w:hAnsi="Times New Roman"/>
                <w:b/>
              </w:rPr>
            </w:pPr>
            <w:r w:rsidRPr="0089332D">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iCs/>
              </w:rPr>
            </w:pPr>
            <w:r w:rsidRPr="0089332D">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iCs/>
              </w:rPr>
            </w:pPr>
            <w:r w:rsidRPr="0089332D">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iCs/>
              </w:rPr>
            </w:pPr>
            <w:r w:rsidRPr="0089332D">
              <w:rPr>
                <w:rFonts w:ascii="Times New Roman" w:hAnsi="Times New Roman"/>
                <w:b/>
                <w:bCs/>
                <w:iCs/>
              </w:rPr>
              <w:t>0</w:t>
            </w:r>
          </w:p>
        </w:tc>
      </w:tr>
      <w:tr>
        <w:tblPrEx>
          <w:tblW w:w="9688"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rPr>
                <w:rFonts w:ascii="Times New Roman" w:hAnsi="Times New Roman"/>
                <w:b/>
                <w:bCs/>
                <w:i/>
                <w:iCs/>
              </w:rPr>
            </w:pPr>
            <w:r w:rsidRPr="0089332D">
              <w:rPr>
                <w:rFonts w:ascii="Times New Roman" w:hAnsi="Times New Roman"/>
                <w:b/>
                <w:bCs/>
                <w:i/>
                <w:iCs/>
              </w:rPr>
              <w:t>- vplyv na územnú samosprávu</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jc w:val="right"/>
              <w:rPr>
                <w:rFonts w:ascii="Times New Roman" w:hAnsi="Times New Roman"/>
                <w:b/>
                <w:bCs/>
                <w:iCs/>
              </w:rPr>
            </w:pPr>
            <w:r w:rsidRPr="0089332D">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iCs/>
              </w:rPr>
            </w:pPr>
            <w:r w:rsidRPr="0089332D">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iCs/>
              </w:rPr>
            </w:pPr>
            <w:r w:rsidRPr="0089332D">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iCs/>
              </w:rPr>
            </w:pPr>
            <w:r w:rsidRPr="0089332D">
              <w:rPr>
                <w:rFonts w:ascii="Times New Roman" w:hAnsi="Times New Roman"/>
                <w:b/>
                <w:bCs/>
                <w:iCs/>
              </w:rPr>
              <w:t>0</w:t>
            </w:r>
          </w:p>
        </w:tc>
      </w:tr>
      <w:tr>
        <w:tblPrEx>
          <w:tblW w:w="9688"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9332D" w:rsidRPr="0089332D" w:rsidP="00DE6B1D">
            <w:pPr>
              <w:bidi w:val="0"/>
              <w:spacing w:after="0" w:line="240" w:lineRule="auto"/>
              <w:rPr>
                <w:rFonts w:ascii="Times New Roman" w:hAnsi="Times New Roman"/>
                <w:b/>
                <w:bCs/>
              </w:rPr>
            </w:pPr>
            <w:r w:rsidRPr="0089332D">
              <w:rPr>
                <w:rFonts w:ascii="Times New Roman" w:hAnsi="Times New Roman"/>
                <w:b/>
                <w:bCs/>
              </w:rPr>
              <w:t>Výdavky verejnej správy celkom</w:t>
            </w:r>
          </w:p>
        </w:tc>
        <w:tc>
          <w:tcPr>
            <w:tcW w:w="122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1</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r>
      <w:tr>
        <w:tblPrEx>
          <w:tblW w:w="9688"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rPr>
                <w:rFonts w:ascii="Times New Roman" w:hAnsi="Times New Roman"/>
              </w:rPr>
            </w:pPr>
            <w:r w:rsidRPr="0089332D">
              <w:rPr>
                <w:rFonts w:ascii="Times New Roman" w:hAnsi="Times New Roman"/>
              </w:rPr>
              <w:t>v tom: za každý subjekt verejnej správy / program zvlášť</w:t>
            </w:r>
          </w:p>
          <w:p w:rsidR="0089332D" w:rsidRPr="0089332D" w:rsidP="00DE6B1D">
            <w:pPr>
              <w:bidi w:val="0"/>
              <w:spacing w:after="0" w:line="240" w:lineRule="auto"/>
              <w:rPr>
                <w:rFonts w:ascii="Times New Roman" w:hAnsi="Times New Roman"/>
              </w:rPr>
            </w:pPr>
            <w:r w:rsidRPr="0089332D">
              <w:rPr>
                <w:rFonts w:ascii="Times New Roman" w:hAnsi="Times New Roman"/>
              </w:rPr>
              <w:t>kapitola MF SR, program 072 Výber daní a cla</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jc w:val="right"/>
              <w:rPr>
                <w:rFonts w:ascii="Times New Roman" w:hAnsi="Times New Roman"/>
              </w:rPr>
            </w:pPr>
          </w:p>
          <w:p w:rsidR="0089332D" w:rsidRPr="0089332D" w:rsidP="00DE6B1D">
            <w:pPr>
              <w:bidi w:val="0"/>
              <w:spacing w:after="0" w:line="240" w:lineRule="auto"/>
              <w:jc w:val="right"/>
              <w:rPr>
                <w:rFonts w:ascii="Times New Roman" w:hAnsi="Times New Roman"/>
              </w:rPr>
            </w:pPr>
            <w:r w:rsidRPr="0089332D">
              <w:rPr>
                <w:rFonts w:ascii="Times New Roman" w:hAnsi="Times New Roman"/>
              </w:rPr>
              <w:t>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Cs/>
              </w:rPr>
            </w:pPr>
            <w:r w:rsidRPr="0089332D">
              <w:rPr>
                <w:rFonts w:ascii="Times New Roman" w:hAnsi="Times New Roman"/>
                <w:b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Cs/>
              </w:rPr>
            </w:pPr>
            <w:r w:rsidRPr="0089332D">
              <w:rPr>
                <w:rFonts w:ascii="Times New Roman" w:hAnsi="Times New Roman"/>
                <w:b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Cs/>
              </w:rPr>
            </w:pPr>
            <w:r w:rsidRPr="0089332D">
              <w:rPr>
                <w:rFonts w:ascii="Times New Roman" w:hAnsi="Times New Roman"/>
                <w:bCs/>
              </w:rPr>
              <w:t>0</w:t>
            </w:r>
          </w:p>
        </w:tc>
      </w:tr>
      <w:tr>
        <w:tblPrEx>
          <w:tblW w:w="9688"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rPr>
                <w:rFonts w:ascii="Times New Roman" w:hAnsi="Times New Roman"/>
                <w:b/>
                <w:bCs/>
                <w:i/>
                <w:iCs/>
              </w:rPr>
            </w:pPr>
            <w:r w:rsidRPr="0089332D">
              <w:rPr>
                <w:rFonts w:ascii="Times New Roman" w:hAnsi="Times New Roman"/>
                <w:b/>
                <w:bCs/>
                <w:i/>
                <w:iCs/>
              </w:rPr>
              <w:t xml:space="preserve">z toho: </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iCs/>
              </w:rPr>
            </w:pPr>
          </w:p>
        </w:tc>
      </w:tr>
      <w:tr>
        <w:tblPrEx>
          <w:tblW w:w="9688"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rPr>
                <w:rFonts w:ascii="Times New Roman" w:hAnsi="Times New Roman"/>
                <w:b/>
                <w:bCs/>
                <w:i/>
                <w:iCs/>
              </w:rPr>
            </w:pPr>
            <w:r w:rsidRPr="0089332D">
              <w:rPr>
                <w:rFonts w:ascii="Times New Roman" w:hAnsi="Times New Roman"/>
                <w:b/>
                <w:bCs/>
                <w:i/>
                <w:iCs/>
              </w:rPr>
              <w:t xml:space="preserve">- vplyv na ŠR </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r>
      <w:tr>
        <w:tblPrEx>
          <w:tblW w:w="9688"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rPr>
                <w:rFonts w:ascii="Times New Roman" w:hAnsi="Times New Roman"/>
                <w:b/>
                <w:bCs/>
                <w:i/>
                <w:iCs/>
              </w:rPr>
            </w:pPr>
            <w:r w:rsidRPr="0089332D">
              <w:rPr>
                <w:rFonts w:ascii="Times New Roman" w:hAnsi="Times New Roman"/>
                <w:b/>
                <w:bCs/>
                <w:i/>
                <w:iCs/>
              </w:rPr>
              <w:t>- vplyv na územnú samosprávu</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jc w:val="right"/>
              <w:rPr>
                <w:rFonts w:ascii="Times New Roman" w:hAnsi="Times New Roman"/>
                <w:b/>
                <w:bCs/>
                <w:i/>
                <w:iCs/>
              </w:rPr>
            </w:pPr>
            <w:r w:rsidRPr="0089332D">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i/>
                <w:iCs/>
              </w:rPr>
            </w:pPr>
            <w:r w:rsidRPr="0089332D">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i/>
                <w:iCs/>
              </w:rPr>
            </w:pPr>
            <w:r w:rsidRPr="0089332D">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b/>
                <w:bCs/>
                <w:i/>
                <w:iCs/>
              </w:rPr>
            </w:pPr>
            <w:r w:rsidRPr="0089332D">
              <w:rPr>
                <w:rFonts w:ascii="Times New Roman" w:hAnsi="Times New Roman"/>
                <w:b/>
                <w:bCs/>
                <w:i/>
                <w:iCs/>
              </w:rPr>
              <w:t>0</w:t>
            </w:r>
          </w:p>
        </w:tc>
      </w:tr>
      <w:tr>
        <w:tblPrEx>
          <w:tblW w:w="9688"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9332D" w:rsidRPr="0089332D" w:rsidP="00DE6B1D">
            <w:pPr>
              <w:bidi w:val="0"/>
              <w:spacing w:after="0" w:line="240" w:lineRule="auto"/>
              <w:rPr>
                <w:rFonts w:ascii="Times New Roman" w:hAnsi="Times New Roman"/>
                <w:b/>
                <w:bCs/>
              </w:rPr>
            </w:pPr>
            <w:r w:rsidRPr="0089332D">
              <w:rPr>
                <w:rFonts w:ascii="Times New Roman" w:hAnsi="Times New Roman"/>
                <w:b/>
                <w:bCs/>
              </w:rPr>
              <w:t xml:space="preserve">Celková zamestnanosť </w:t>
            </w:r>
          </w:p>
        </w:tc>
        <w:tc>
          <w:tcPr>
            <w:tcW w:w="122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r>
      <w:tr>
        <w:tblPrEx>
          <w:tblW w:w="9688"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rPr>
                <w:rFonts w:ascii="Times New Roman" w:hAnsi="Times New Roman"/>
              </w:rPr>
            </w:pPr>
            <w:r w:rsidRPr="0089332D">
              <w:rPr>
                <w:rFonts w:ascii="Times New Roman" w:hAnsi="Times New Roman"/>
                <w:b/>
                <w:i/>
              </w:rPr>
              <w:t>- z toho vplyv na ŠR</w:t>
            </w:r>
            <w:r w:rsidRPr="0089332D">
              <w:rPr>
                <w:rFonts w:ascii="Times New Roman" w:hAnsi="Times New Roman"/>
              </w:rPr>
              <w:t xml:space="preserve"> </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jc w:val="right"/>
              <w:rPr>
                <w:rFonts w:ascii="Times New Roman" w:hAnsi="Times New Roman"/>
              </w:rPr>
            </w:pPr>
            <w:r w:rsidRPr="0089332D">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0</w:t>
            </w:r>
          </w:p>
        </w:tc>
      </w:tr>
      <w:tr>
        <w:tblPrEx>
          <w:tblW w:w="9688"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9332D" w:rsidRPr="0089332D" w:rsidP="00DE6B1D">
            <w:pPr>
              <w:bidi w:val="0"/>
              <w:spacing w:after="0" w:line="240" w:lineRule="auto"/>
              <w:rPr>
                <w:rFonts w:ascii="Times New Roman" w:hAnsi="Times New Roman"/>
                <w:b/>
                <w:bCs/>
              </w:rPr>
            </w:pPr>
            <w:r w:rsidRPr="0089332D">
              <w:rPr>
                <w:rFonts w:ascii="Times New Roman" w:hAnsi="Times New Roman"/>
                <w:b/>
                <w:bCs/>
              </w:rPr>
              <w:t>Financovanie zabezpečené v rozpočte</w:t>
            </w:r>
          </w:p>
        </w:tc>
        <w:tc>
          <w:tcPr>
            <w:tcW w:w="122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r>
      <w:tr>
        <w:tblPrEx>
          <w:tblW w:w="9688"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rPr>
                <w:rFonts w:ascii="Times New Roman" w:hAnsi="Times New Roman"/>
              </w:rPr>
            </w:pPr>
            <w:r w:rsidRPr="0089332D">
              <w:rPr>
                <w:rFonts w:ascii="Times New Roman" w:hAnsi="Times New Roman"/>
              </w:rPr>
              <w:t>v tom: za každý subjekt verejnej správy / program zvlášť</w:t>
            </w:r>
          </w:p>
          <w:p w:rsidR="0089332D" w:rsidRPr="0089332D" w:rsidP="00DE6B1D">
            <w:pPr>
              <w:bidi w:val="0"/>
              <w:spacing w:after="0" w:line="240" w:lineRule="auto"/>
              <w:rPr>
                <w:rFonts w:ascii="Times New Roman" w:hAnsi="Times New Roman"/>
              </w:rPr>
            </w:pPr>
            <w:r w:rsidRPr="0089332D">
              <w:rPr>
                <w:rFonts w:ascii="Times New Roman" w:hAnsi="Times New Roman"/>
              </w:rPr>
              <w:t>kapitola MF SR, program 072 Výber daní a cla</w:t>
            </w:r>
          </w:p>
        </w:tc>
        <w:tc>
          <w:tcPr>
            <w:tcW w:w="1226"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jc w:val="right"/>
              <w:rPr>
                <w:rFonts w:ascii="Times New Roman" w:hAnsi="Times New Roman"/>
              </w:rPr>
            </w:pPr>
          </w:p>
          <w:p w:rsidR="0089332D" w:rsidRPr="0089332D" w:rsidP="00DE6B1D">
            <w:pPr>
              <w:bidi w:val="0"/>
              <w:spacing w:after="0" w:line="240" w:lineRule="auto"/>
              <w:jc w:val="right"/>
              <w:rPr>
                <w:rFonts w:ascii="Times New Roman" w:hAnsi="Times New Roman"/>
              </w:rPr>
            </w:pPr>
            <w:r w:rsidRPr="0089332D">
              <w:rPr>
                <w:rFonts w:ascii="Times New Roman" w:hAnsi="Times New Roman"/>
              </w:rPr>
              <w:t>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0</w:t>
            </w:r>
          </w:p>
        </w:tc>
      </w:tr>
    </w:tbl>
    <w:p w:rsidR="0089332D" w:rsidRPr="0089332D" w:rsidP="0089332D">
      <w:pPr>
        <w:bidi w:val="0"/>
        <w:rPr>
          <w:rFonts w:ascii="Times New Roman" w:hAnsi="Times New Roman"/>
          <w:color w:val="000000"/>
        </w:rPr>
      </w:pPr>
      <w:r w:rsidRPr="0089332D">
        <w:rPr>
          <w:rFonts w:ascii="Times New Roman" w:hAnsi="Times New Roman"/>
          <w:color w:val="000000"/>
        </w:rPr>
        <w:t xml:space="preserve">      Vplyv na výnos DPH na hotovostnej báze</w:t>
      </w:r>
    </w:p>
    <w:p w:rsidR="0089332D" w:rsidRPr="0089332D" w:rsidP="0089332D">
      <w:pPr>
        <w:bidi w:val="0"/>
        <w:rPr>
          <w:rFonts w:ascii="Times New Roman" w:hAnsi="Times New Roman"/>
        </w:rPr>
      </w:pPr>
    </w:p>
    <w:p w:rsidR="0089332D" w:rsidRPr="0089332D" w:rsidP="0089332D">
      <w:pPr>
        <w:bidi w:val="0"/>
        <w:rPr>
          <w:rFonts w:ascii="Times New Roman" w:hAnsi="Times New Roman"/>
        </w:rPr>
      </w:pPr>
      <w:r w:rsidRPr="0089332D">
        <w:rPr>
          <w:rFonts w:ascii="Times New Roman" w:hAnsi="Times New Roman"/>
          <w:b/>
          <w:bCs/>
        </w:rPr>
        <w:t>2.2. Financovanie návrhu</w:t>
      </w:r>
    </w:p>
    <w:p w:rsidR="0089332D" w:rsidRPr="0089332D" w:rsidP="0089332D">
      <w:pPr>
        <w:bidi w:val="0"/>
        <w:jc w:val="right"/>
        <w:rPr>
          <w:rFonts w:ascii="Times New Roman" w:hAnsi="Times New Roman"/>
        </w:rPr>
      </w:pPr>
      <w:r w:rsidRPr="0089332D">
        <w:rPr>
          <w:rFonts w:ascii="Times New Roman" w:hAnsi="Times New Roman"/>
        </w:rPr>
        <w:t>Tabuľka č. 2</w:t>
      </w:r>
    </w:p>
    <w:tbl>
      <w:tblPr>
        <w:tblStyle w:val="TableNormal"/>
        <w:tblW w:w="9360" w:type="dxa"/>
        <w:tblCellMar>
          <w:left w:w="0" w:type="dxa"/>
          <w:right w:w="0" w:type="dxa"/>
        </w:tblCellMar>
      </w:tblPr>
      <w:tblGrid>
        <w:gridCol w:w="4304"/>
        <w:gridCol w:w="1264"/>
        <w:gridCol w:w="1264"/>
        <w:gridCol w:w="1264"/>
        <w:gridCol w:w="1264"/>
      </w:tblGrid>
      <w:tr>
        <w:tblPrEx>
          <w:tblW w:w="9360" w:type="dxa"/>
          <w:tblCellMar>
            <w:left w:w="0" w:type="dxa"/>
            <w:right w:w="0" w:type="dxa"/>
          </w:tblCellMar>
        </w:tblPrEx>
        <w:trPr>
          <w:trHeight w:val="70"/>
        </w:trPr>
        <w:tc>
          <w:tcPr>
            <w:tcW w:w="430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9332D" w:rsidRPr="0089332D" w:rsidP="00DE6B1D">
            <w:pPr>
              <w:bidi w:val="0"/>
              <w:spacing w:after="0" w:line="240" w:lineRule="auto"/>
              <w:jc w:val="center"/>
              <w:rPr>
                <w:rFonts w:ascii="Times New Roman" w:hAnsi="Times New Roman"/>
              </w:rPr>
            </w:pPr>
            <w:r w:rsidRPr="0089332D">
              <w:rPr>
                <w:rFonts w:ascii="Times New Roman" w:hAnsi="Times New Roman"/>
                <w:b/>
                <w:bCs/>
                <w:color w:val="FFFFFF"/>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9332D" w:rsidRPr="0089332D" w:rsidP="00DE6B1D">
            <w:pPr>
              <w:bidi w:val="0"/>
              <w:spacing w:after="0" w:line="240" w:lineRule="auto"/>
              <w:jc w:val="center"/>
              <w:rPr>
                <w:rFonts w:ascii="Times New Roman" w:hAnsi="Times New Roman"/>
              </w:rPr>
            </w:pPr>
            <w:r w:rsidRPr="0089332D">
              <w:rPr>
                <w:rFonts w:ascii="Times New Roman" w:hAnsi="Times New Roman"/>
                <w:b/>
                <w:bCs/>
                <w:color w:val="FFFFFF"/>
              </w:rPr>
              <w:t xml:space="preserve">Vplyv na rozpočet verejnej správy </w:t>
            </w:r>
            <w:r w:rsidRPr="0089332D">
              <w:rPr>
                <w:rFonts w:ascii="Times New Roman" w:hAnsi="Times New Roman"/>
                <w:b/>
                <w:bCs/>
              </w:rPr>
              <w:t>(v mil. eur)</w:t>
            </w:r>
          </w:p>
        </w:tc>
      </w:tr>
      <w:tr>
        <w:tblPrEx>
          <w:tblW w:w="9360"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89332D" w:rsidRPr="0089332D" w:rsidP="00DE6B1D">
            <w:pPr>
              <w:bidi w:val="0"/>
              <w:spacing w:after="0" w:line="240" w:lineRule="auto"/>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9332D" w:rsidRPr="0089332D" w:rsidP="00DE6B1D">
            <w:pPr>
              <w:bidi w:val="0"/>
              <w:spacing w:after="0" w:line="240" w:lineRule="auto"/>
              <w:jc w:val="center"/>
              <w:rPr>
                <w:rFonts w:ascii="Times New Roman" w:hAnsi="Times New Roman"/>
                <w:b/>
              </w:rPr>
            </w:pPr>
            <w:r w:rsidRPr="0089332D">
              <w:rPr>
                <w:rFonts w:ascii="Times New Roman" w:hAnsi="Times New Roman"/>
                <w:b/>
              </w:rPr>
              <w:t>2014</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9332D" w:rsidRPr="0089332D" w:rsidP="00DE6B1D">
            <w:pPr>
              <w:bidi w:val="0"/>
              <w:spacing w:after="0" w:line="240" w:lineRule="auto"/>
              <w:jc w:val="center"/>
              <w:rPr>
                <w:rFonts w:ascii="Times New Roman" w:hAnsi="Times New Roman"/>
                <w:b/>
              </w:rPr>
            </w:pPr>
            <w:r w:rsidRPr="0089332D">
              <w:rPr>
                <w:rFonts w:ascii="Times New Roman" w:hAnsi="Times New Roman"/>
                <w:b/>
              </w:rPr>
              <w:t>2015</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9332D" w:rsidRPr="0089332D" w:rsidP="00DE6B1D">
            <w:pPr>
              <w:bidi w:val="0"/>
              <w:spacing w:after="0" w:line="240" w:lineRule="auto"/>
              <w:jc w:val="center"/>
              <w:rPr>
                <w:rFonts w:ascii="Times New Roman" w:hAnsi="Times New Roman"/>
                <w:b/>
              </w:rPr>
            </w:pPr>
            <w:r w:rsidRPr="0089332D">
              <w:rPr>
                <w:rFonts w:ascii="Times New Roman" w:hAnsi="Times New Roman"/>
                <w:b/>
              </w:rPr>
              <w:t>2016</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9332D" w:rsidRPr="0089332D" w:rsidP="00DE6B1D">
            <w:pPr>
              <w:bidi w:val="0"/>
              <w:spacing w:after="0" w:line="240" w:lineRule="auto"/>
              <w:jc w:val="center"/>
              <w:rPr>
                <w:rFonts w:ascii="Times New Roman" w:hAnsi="Times New Roman"/>
                <w:b/>
              </w:rPr>
            </w:pPr>
            <w:r w:rsidRPr="0089332D">
              <w:rPr>
                <w:rFonts w:ascii="Times New Roman" w:hAnsi="Times New Roman"/>
                <w:b/>
              </w:rPr>
              <w:t>2017</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rPr>
                <w:rFonts w:ascii="Times New Roman" w:hAnsi="Times New Roman"/>
              </w:rPr>
            </w:pPr>
            <w:r w:rsidRPr="0089332D">
              <w:rPr>
                <w:rFonts w:ascii="Times New Roman" w:hAnsi="Times New Roman"/>
                <w:b/>
                <w:bCs/>
              </w:rPr>
              <w:t>Celkový vplyv na rozpočet verejnej správy ( - príjmy, + výdavky)</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1</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rPr>
                <w:rFonts w:ascii="Times New Roman" w:hAnsi="Times New Roman"/>
              </w:rPr>
            </w:pPr>
            <w:r w:rsidRPr="0089332D">
              <w:rPr>
                <w:rFonts w:ascii="Times New Roman" w:hAnsi="Times New Roman"/>
              </w:rPr>
              <w:t>  z toho vplyv na ŠR</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1</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Cs/>
              </w:rPr>
            </w:pPr>
            <w:r w:rsidRPr="0089332D">
              <w:rPr>
                <w:rFonts w:ascii="Times New Roman" w:hAnsi="Times New Roman"/>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Cs/>
              </w:rPr>
            </w:pPr>
            <w:r w:rsidRPr="0089332D">
              <w:rPr>
                <w:rFonts w:ascii="Times New Roman" w:hAnsi="Times New Roman"/>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Cs/>
              </w:rPr>
            </w:pPr>
            <w:r w:rsidRPr="0089332D">
              <w:rPr>
                <w:rFonts w:ascii="Times New Roman" w:hAnsi="Times New Roman"/>
                <w:bCs/>
              </w:rPr>
              <w:t>0</w:t>
            </w:r>
          </w:p>
        </w:tc>
      </w:tr>
      <w:tr>
        <w:tblPrEx>
          <w:tblW w:w="9360" w:type="dxa"/>
          <w:tblCellMar>
            <w:left w:w="0" w:type="dxa"/>
            <w:right w:w="0" w:type="dxa"/>
          </w:tblCellMar>
        </w:tblPrEx>
        <w:trPr>
          <w:trHeight w:val="151"/>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rPr>
                <w:rFonts w:ascii="Times New Roman" w:hAnsi="Times New Roman"/>
              </w:rPr>
            </w:pPr>
            <w:r w:rsidRPr="0089332D">
              <w:rPr>
                <w:rFonts w:ascii="Times New Roman" w:hAnsi="Times New Roman"/>
              </w:rPr>
              <w:t>  financovanie zabezpečené v rozpočte</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1</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0</w:t>
            </w:r>
          </w:p>
        </w:tc>
      </w:tr>
      <w:tr>
        <w:tblPrEx>
          <w:tblW w:w="9360" w:type="dxa"/>
          <w:tblCellMar>
            <w:left w:w="0" w:type="dxa"/>
            <w:right w:w="0" w:type="dxa"/>
          </w:tblCellMar>
        </w:tblPrEx>
        <w:trPr>
          <w:trHeight w:val="135"/>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rPr>
                <w:rFonts w:ascii="Times New Roman" w:hAnsi="Times New Roman"/>
              </w:rPr>
            </w:pPr>
            <w:r w:rsidRPr="0089332D">
              <w:rPr>
                <w:rFonts w:ascii="Times New Roman" w:hAnsi="Times New Roman"/>
              </w:rPr>
              <w:t>  ostatné zdroje financovania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0</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rPr>
                <w:rFonts w:ascii="Times New Roman" w:hAnsi="Times New Roman"/>
              </w:rPr>
            </w:pPr>
            <w:r w:rsidRPr="0089332D">
              <w:rPr>
                <w:rFonts w:ascii="Times New Roman" w:hAnsi="Times New Roman"/>
                <w:b/>
                <w:bCs/>
              </w:rPr>
              <w:t>Rozpočtovo nekrytý vplyv / úspora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r>
    </w:tbl>
    <w:p w:rsidR="0089332D" w:rsidRPr="0089332D" w:rsidP="0089332D">
      <w:pPr>
        <w:bidi w:val="0"/>
        <w:rPr>
          <w:rFonts w:ascii="Times New Roman" w:hAnsi="Times New Roman"/>
          <w:b/>
          <w:bCs/>
        </w:rPr>
      </w:pPr>
    </w:p>
    <w:p w:rsidR="0089332D" w:rsidRPr="0089332D" w:rsidP="0089332D">
      <w:pPr>
        <w:bidi w:val="0"/>
        <w:rPr>
          <w:rFonts w:ascii="Times New Roman" w:hAnsi="Times New Roman"/>
          <w:b/>
          <w:bCs/>
        </w:rPr>
      </w:pPr>
      <w:r w:rsidRPr="0089332D">
        <w:rPr>
          <w:rFonts w:ascii="Times New Roman" w:hAnsi="Times New Roman"/>
          <w:b/>
          <w:bCs/>
        </w:rPr>
        <w:t>Návrh na riešenie úbytku príjmov alebo zvýšených výdavkov podľa § 33 ods. 1 zákona č. 523/2004 Z. z. o rozpočtových pravidlách verejnej správy:</w:t>
      </w:r>
    </w:p>
    <w:p w:rsidR="0089332D" w:rsidRPr="0089332D" w:rsidP="0089332D">
      <w:pPr>
        <w:bidi w:val="0"/>
        <w:rPr>
          <w:rFonts w:ascii="Times New Roman" w:hAnsi="Times New Roman"/>
        </w:rPr>
      </w:pPr>
    </w:p>
    <w:p w:rsidR="0089332D" w:rsidRPr="0089332D" w:rsidP="0089332D">
      <w:pPr>
        <w:pBdr>
          <w:top w:val="single" w:sz="4" w:space="1" w:color="000000"/>
          <w:left w:val="single" w:sz="4" w:space="4" w:color="000000"/>
          <w:bottom w:val="single" w:sz="4" w:space="1" w:color="000000"/>
          <w:right w:val="single" w:sz="4" w:space="4" w:color="000000"/>
        </w:pBdr>
        <w:bidi w:val="0"/>
        <w:jc w:val="both"/>
        <w:rPr>
          <w:rFonts w:ascii="Times New Roman" w:hAnsi="Times New Roman"/>
        </w:rPr>
      </w:pPr>
      <w:r w:rsidRPr="0089332D">
        <w:rPr>
          <w:rStyle w:val="PlaceholderText"/>
          <w:color w:val="000000"/>
        </w:rPr>
        <w:t>Na implementáciu osobitnej úpravy uplatňovania dane pre telekomunikačné služby, služby rozhlasového vysielania a televízneho vysielania a elektronické služby finančná správa počíta s jednorazovými finančnými výdavkami v roku 2014 v rozsahu cca 1 mil. eur, ktoré budú uhradené z jej rozpočtu.</w:t>
      </w:r>
    </w:p>
    <w:p w:rsidR="0089332D" w:rsidRPr="0089332D" w:rsidP="0089332D">
      <w:pPr>
        <w:bidi w:val="0"/>
        <w:rPr>
          <w:rFonts w:ascii="Times New Roman" w:hAnsi="Times New Roman"/>
        </w:rPr>
      </w:pPr>
    </w:p>
    <w:p w:rsidR="0089332D" w:rsidRPr="0089332D" w:rsidP="0089332D">
      <w:pPr>
        <w:pStyle w:val="NormalWeb"/>
        <w:bidi w:val="0"/>
        <w:spacing w:before="0" w:after="0"/>
        <w:ind w:firstLine="678"/>
        <w:jc w:val="both"/>
        <w:rPr>
          <w:rFonts w:ascii="Times New Roman" w:hAnsi="Times New Roman"/>
          <w:color w:val="auto"/>
        </w:rPr>
      </w:pPr>
      <w:r w:rsidRPr="0089332D">
        <w:rPr>
          <w:rFonts w:ascii="Times New Roman" w:hAnsi="Times New Roman"/>
          <w:color w:val="auto"/>
        </w:rPr>
        <w:t xml:space="preserve">Cieľom novely zákona o DPH je povinná transpozícia čl. 5 smernice Rady 2008/8/ES, ktorou sa mení a dopĺňa smernica Rady 2006/112/ES, pokiaľ ide o miesto poskytovania služieb. </w:t>
      </w:r>
      <w:r w:rsidRPr="0089332D">
        <w:rPr>
          <w:rStyle w:val="PlaceholderText"/>
          <w:color w:val="auto"/>
        </w:rPr>
        <w:t xml:space="preserve">Kým v súčasnosti je všeobecným pravidlom miesta dodania služieb poskytnutých nezdaniteľným osobám miesto, kde má poskytovateľ sídlo alebo prevádzkareň, s účinnosťou od </w:t>
      </w:r>
      <w:r w:rsidRPr="0089332D">
        <w:rPr>
          <w:rFonts w:ascii="Times New Roman" w:hAnsi="Times New Roman"/>
          <w:color w:val="auto"/>
        </w:rPr>
        <w:t>1. januára 2015 sa za</w:t>
      </w:r>
      <w:r w:rsidRPr="0089332D">
        <w:rPr>
          <w:rStyle w:val="PlaceholderText"/>
          <w:color w:val="auto"/>
        </w:rPr>
        <w:t xml:space="preserve"> miesto dodania </w:t>
      </w:r>
      <w:r w:rsidRPr="0089332D">
        <w:rPr>
          <w:rFonts w:ascii="Times New Roman" w:hAnsi="Times New Roman"/>
          <w:color w:val="auto"/>
        </w:rPr>
        <w:t>telekomunikačných služieb, služieb rozhlasového a televízneho vysielania a elektronických služieb poskytnutých nezdaniteľným osobám bude považovať miesto, kde má nezdaniteľná osoba sídlo, bydlisko alebo miesto, kde sa obvykle zdržiava. Zmenu miesta dodania týchto služieb z pohľadu vplyvov na rozpočet verejnej správy nie je možné kvantifikovať, nakoľko, ak boli doteraz uvedené služby zdaňované v mieste, kde mal sídlo poskytovateľ, a ak toto miesto bolo mimo tuzemska, tak vlastne nie sú k dispozícii žiadne údaje o rozsahu ich využívania nezdaniteľnými osobami z tuzemska. Na základe uvedené je možné predpokladať, že vplyv navrhovanej zmeny bude mierne pozitívny vo vzťahu k zdaňovaniu predmetných služieb. Na implementáciu úpravy mini one-stop-shopu finančná správa počíta s jednorazovými finančnými výdavkami v roku 2014 v rozsahu cca 1 mil. eur, ktoré budú uhradené z jej rozpočtu.</w:t>
      </w:r>
    </w:p>
    <w:p w:rsidR="0089332D" w:rsidRPr="0089332D" w:rsidP="0089332D">
      <w:pPr>
        <w:bidi w:val="0"/>
        <w:rPr>
          <w:rFonts w:ascii="Times New Roman" w:hAnsi="Times New Roman"/>
          <w:b/>
          <w:bCs/>
        </w:rPr>
      </w:pPr>
    </w:p>
    <w:p w:rsidR="0089332D" w:rsidRPr="0089332D" w:rsidP="0089332D">
      <w:pPr>
        <w:bidi w:val="0"/>
        <w:rPr>
          <w:rFonts w:ascii="Times New Roman" w:hAnsi="Times New Roman"/>
          <w:b/>
          <w:bCs/>
        </w:rPr>
      </w:pPr>
      <w:r w:rsidRPr="0089332D">
        <w:rPr>
          <w:rFonts w:ascii="Times New Roman" w:hAnsi="Times New Roman"/>
          <w:b/>
          <w:bCs/>
        </w:rPr>
        <w:t>2.3. Popis a charakteristika návrhu</w:t>
      </w:r>
    </w:p>
    <w:p w:rsidR="0089332D" w:rsidRPr="0089332D" w:rsidP="0089332D">
      <w:pPr>
        <w:bidi w:val="0"/>
        <w:rPr>
          <w:rFonts w:ascii="Times New Roman" w:hAnsi="Times New Roman"/>
        </w:rPr>
      </w:pPr>
    </w:p>
    <w:p w:rsidR="0089332D" w:rsidRPr="0089332D" w:rsidP="0089332D">
      <w:pPr>
        <w:bidi w:val="0"/>
        <w:jc w:val="both"/>
        <w:rPr>
          <w:rFonts w:ascii="Times New Roman" w:hAnsi="Times New Roman"/>
          <w:b/>
          <w:bCs/>
        </w:rPr>
      </w:pPr>
      <w:r w:rsidRPr="0089332D">
        <w:rPr>
          <w:rFonts w:ascii="Times New Roman" w:hAnsi="Times New Roman"/>
          <w:b/>
          <w:bCs/>
        </w:rPr>
        <w:t>2.3.1. Popis návrhu:</w:t>
      </w:r>
    </w:p>
    <w:p w:rsidR="0089332D" w:rsidRPr="0089332D" w:rsidP="0089332D">
      <w:pPr>
        <w:bidi w:val="0"/>
        <w:rPr>
          <w:rFonts w:ascii="Times New Roman" w:hAnsi="Times New Roman"/>
        </w:rPr>
      </w:pPr>
    </w:p>
    <w:p w:rsidR="0089332D" w:rsidRPr="0089332D" w:rsidP="0089332D">
      <w:pPr>
        <w:bidi w:val="0"/>
        <w:ind w:firstLine="709"/>
        <w:jc w:val="both"/>
        <w:rPr>
          <w:rFonts w:ascii="Times New Roman" w:hAnsi="Times New Roman"/>
        </w:rPr>
      </w:pPr>
      <w:r w:rsidRPr="0089332D">
        <w:rPr>
          <w:rFonts w:ascii="Times New Roman" w:hAnsi="Times New Roman"/>
        </w:rPr>
        <w:t>Novela zákona o DPH preberá do slovenskej právnej úpravy čl. 5 smernice Rady 2008/8/ES z 12. februára 2008, ktorou sa mení a dopĺňa smernica 2006/112/ES, pokiaľ ide o miesto poskytovania služieb. S cieľom dosiahnuť zdanenie v mieste skutočnej spotreby pri poskytovaní telekomunikačných služieb, služieb rozhlasového a televízneho vysielania a elektronických služieb nezdaniteľným osobám, bude od 1. januára 2015 miestom ich dodania miesto, kde má nezdaniteľná osoba sídlo, bydlisko alebo miesto, kde sa obvykle zdržiava. Novelou sa rozširuje vecná a personálna pôsobnosť osobitnej úpravy nazvanej odbornou verejnosťou ako tzv. mini one-stop-shop. Doteraz sa táto úprava využívala len pre elektronické služby poskytované osobami neusadenými na území Európskej únie. Pretváranie vnútorného trhu, globalizácia, deregulácia a technologické zmeny vyústili do potreby rozšíriť jej použitie aj na telekomunikačné služby a služby rozhlasového a televízneho vysielania. Z hľadiska personálnej pôsobnosti bude využívanie tejto úpravy rozšírené aj pre poskytovateľov usadených na území Európskej únie, nie však v členskom štáte, kde je miesto dodania týchto služieb (tzv. členský štát spotreby).</w:t>
      </w:r>
    </w:p>
    <w:p w:rsidR="0089332D" w:rsidRPr="0089332D" w:rsidP="0089332D">
      <w:pPr>
        <w:bidi w:val="0"/>
        <w:ind w:firstLine="709"/>
        <w:jc w:val="both"/>
        <w:rPr>
          <w:rStyle w:val="PlaceholderText"/>
          <w:color w:val="000000"/>
        </w:rPr>
      </w:pPr>
    </w:p>
    <w:p w:rsidR="0089332D" w:rsidRPr="0089332D" w:rsidP="0089332D">
      <w:pPr>
        <w:bidi w:val="0"/>
        <w:ind w:firstLine="709"/>
        <w:jc w:val="both"/>
        <w:rPr>
          <w:rStyle w:val="PlaceholderText"/>
          <w:color w:val="000000"/>
        </w:rPr>
      </w:pPr>
      <w:r w:rsidRPr="0089332D">
        <w:rPr>
          <w:rFonts w:ascii="Times New Roman" w:hAnsi="Times New Roman"/>
        </w:rPr>
        <w:t xml:space="preserve">Operátorom, ktorí sa rozhodnú využiť túto dobrovoľnú úpravu, sa významne zníži administratívna záťaž tým, že sa nebudú musieť registrovať pre daň z pridanej hodnoty v každom členskom štáte, kde došlo k poskytnutiu telekomunikačných služieb, služieb rozhlasového a televízneho vysielania a elektronických služieb nezdaniteľným osobám. Svoju povinnosť priznať a uhradiť daň si splnia v tom členskom štáte, v ktorom sa pre využívanie tejto úpravy identifikujú, a to podaním jedného daňového priznania elektronickými prostriedkami s následným uhradením splatnej dane. Zníženie administratívnej záťaže prispeje k </w:t>
      </w:r>
      <w:r w:rsidRPr="0089332D">
        <w:rPr>
          <w:rStyle w:val="PlaceholderText"/>
          <w:color w:val="000000"/>
        </w:rPr>
        <w:t>zlepšeniu podnikateľského prostredia.</w:t>
      </w:r>
    </w:p>
    <w:p w:rsidR="0089332D" w:rsidRPr="0089332D" w:rsidP="0089332D">
      <w:pPr>
        <w:bidi w:val="0"/>
        <w:jc w:val="both"/>
        <w:rPr>
          <w:rStyle w:val="PlaceholderText"/>
          <w:color w:val="000000"/>
        </w:rPr>
      </w:pPr>
    </w:p>
    <w:p w:rsidR="0089332D" w:rsidRPr="0089332D" w:rsidP="0089332D">
      <w:pPr>
        <w:bidi w:val="0"/>
        <w:jc w:val="both"/>
        <w:rPr>
          <w:rFonts w:ascii="Times New Roman" w:hAnsi="Times New Roman"/>
        </w:rPr>
      </w:pPr>
      <w:r w:rsidRPr="0089332D">
        <w:rPr>
          <w:rFonts w:ascii="Times New Roman" w:hAnsi="Times New Roman"/>
        </w:rPr>
        <w:tab/>
      </w:r>
      <w:r w:rsidRPr="0089332D">
        <w:rPr>
          <w:rFonts w:ascii="Times New Roman" w:hAnsi="Times New Roman"/>
          <w:color w:val="000000"/>
        </w:rPr>
        <w:tab/>
      </w:r>
    </w:p>
    <w:p w:rsidR="0089332D" w:rsidRPr="0089332D" w:rsidP="0089332D">
      <w:pPr>
        <w:bidi w:val="0"/>
        <w:rPr>
          <w:rFonts w:ascii="Times New Roman" w:hAnsi="Times New Roman"/>
          <w:b/>
          <w:bCs/>
        </w:rPr>
      </w:pPr>
      <w:r w:rsidRPr="0089332D">
        <w:rPr>
          <w:rFonts w:ascii="Times New Roman" w:hAnsi="Times New Roman"/>
          <w:b/>
          <w:bCs/>
        </w:rPr>
        <w:t>2.3.2. Charakteristika návrhu podľa bodu  2.3.2. Metodiky :</w:t>
      </w:r>
    </w:p>
    <w:p w:rsidR="0089332D" w:rsidRPr="0089332D" w:rsidP="0089332D">
      <w:pPr>
        <w:pStyle w:val="BodyText"/>
        <w:bidi w:val="0"/>
        <w:spacing w:after="0"/>
        <w:rPr>
          <w:rFonts w:ascii="Times New Roman" w:hAnsi="Times New Roman"/>
          <w:b/>
        </w:rPr>
      </w:pPr>
      <w:r w:rsidRPr="0089332D">
        <w:rPr>
          <w:rFonts w:ascii="Times New Roman" w:hAnsi="Times New Roman"/>
          <w:bdr w:val="single" w:sz="4" w:space="0" w:color="auto"/>
        </w:rPr>
        <w:t xml:space="preserve">     </w:t>
      </w:r>
      <w:r w:rsidRPr="0089332D">
        <w:rPr>
          <w:rFonts w:ascii="Times New Roman" w:hAnsi="Times New Roman"/>
        </w:rPr>
        <w:t xml:space="preserve">  </w:t>
      </w:r>
      <w:r w:rsidRPr="0089332D">
        <w:rPr>
          <w:rFonts w:ascii="Times New Roman" w:hAnsi="Times New Roman"/>
          <w:b/>
        </w:rPr>
        <w:t>zmena sadzby</w:t>
      </w:r>
    </w:p>
    <w:p w:rsidR="0089332D" w:rsidRPr="0089332D" w:rsidP="0089332D">
      <w:pPr>
        <w:pStyle w:val="BodyText"/>
        <w:bidi w:val="0"/>
        <w:spacing w:after="0"/>
        <w:rPr>
          <w:rFonts w:ascii="Times New Roman" w:hAnsi="Times New Roman"/>
          <w:b/>
        </w:rPr>
      </w:pPr>
      <w:r w:rsidRPr="0089332D">
        <w:rPr>
          <w:rFonts w:ascii="Times New Roman" w:hAnsi="Times New Roman"/>
          <w:b/>
          <w:bdr w:val="single" w:sz="4" w:space="0" w:color="auto"/>
        </w:rPr>
        <w:t xml:space="preserve">     </w:t>
      </w:r>
      <w:r w:rsidRPr="0089332D">
        <w:rPr>
          <w:rFonts w:ascii="Times New Roman" w:hAnsi="Times New Roman"/>
          <w:b/>
        </w:rPr>
        <w:t xml:space="preserve">  zmena v nároku</w:t>
      </w:r>
    </w:p>
    <w:p w:rsidR="0089332D" w:rsidRPr="0089332D" w:rsidP="0089332D">
      <w:pPr>
        <w:pStyle w:val="BodyText"/>
        <w:bidi w:val="0"/>
        <w:spacing w:after="0"/>
        <w:rPr>
          <w:rFonts w:ascii="Times New Roman" w:hAnsi="Times New Roman"/>
          <w:b/>
        </w:rPr>
      </w:pPr>
      <w:r w:rsidRPr="0089332D">
        <w:rPr>
          <w:rFonts w:ascii="Times New Roman" w:hAnsi="Times New Roman"/>
          <w:b/>
          <w:bdr w:val="single" w:sz="4" w:space="0" w:color="auto"/>
        </w:rPr>
        <w:t xml:space="preserve">     </w:t>
      </w:r>
      <w:r w:rsidRPr="0089332D">
        <w:rPr>
          <w:rFonts w:ascii="Times New Roman" w:hAnsi="Times New Roman"/>
          <w:b/>
        </w:rPr>
        <w:t xml:space="preserve">  nová služba alebo nariadenie (alebo ich zrušenie)</w:t>
      </w:r>
    </w:p>
    <w:p w:rsidR="0089332D" w:rsidRPr="0089332D" w:rsidP="0089332D">
      <w:pPr>
        <w:pStyle w:val="BodyText"/>
        <w:bidi w:val="0"/>
        <w:spacing w:after="0"/>
        <w:rPr>
          <w:rFonts w:ascii="Times New Roman" w:hAnsi="Times New Roman"/>
          <w:b/>
        </w:rPr>
      </w:pPr>
      <w:r w:rsidRPr="0089332D">
        <w:rPr>
          <w:rFonts w:ascii="Times New Roman" w:hAnsi="Times New Roman"/>
          <w:b/>
          <w:bdr w:val="single" w:sz="4" w:space="0" w:color="auto"/>
        </w:rPr>
        <w:t xml:space="preserve">     </w:t>
      </w:r>
      <w:r w:rsidRPr="0089332D">
        <w:rPr>
          <w:rFonts w:ascii="Times New Roman" w:hAnsi="Times New Roman"/>
          <w:b/>
        </w:rPr>
        <w:t xml:space="preserve">  kombinovaný návrh</w:t>
      </w:r>
    </w:p>
    <w:p w:rsidR="0089332D" w:rsidRPr="0089332D" w:rsidP="0089332D">
      <w:pPr>
        <w:pStyle w:val="BodyText"/>
        <w:bidi w:val="0"/>
        <w:spacing w:after="0"/>
        <w:rPr>
          <w:rFonts w:ascii="Times New Roman" w:hAnsi="Times New Roman"/>
          <w:b/>
        </w:rPr>
      </w:pPr>
      <w:r w:rsidRPr="0089332D">
        <w:rPr>
          <w:rFonts w:ascii="Times New Roman" w:hAnsi="Times New Roman"/>
          <w:b/>
          <w:bdr w:val="single" w:sz="4" w:space="0" w:color="auto"/>
        </w:rPr>
        <w:t xml:space="preserve"> </w:t>
      </w:r>
      <w:r w:rsidRPr="0089332D">
        <w:rPr>
          <w:rFonts w:ascii="Times New Roman" w:hAnsi="Times New Roman"/>
          <w:bdr w:val="single" w:sz="4" w:space="0" w:color="auto"/>
        </w:rPr>
        <w:t>X</w:t>
      </w:r>
      <w:r w:rsidRPr="0089332D">
        <w:rPr>
          <w:rFonts w:ascii="Times New Roman" w:hAnsi="Times New Roman"/>
          <w:b/>
          <w:bdr w:val="single" w:sz="4" w:space="0" w:color="auto"/>
        </w:rPr>
        <w:t xml:space="preserve"> </w:t>
      </w:r>
      <w:r w:rsidRPr="0089332D">
        <w:rPr>
          <w:rFonts w:ascii="Times New Roman" w:hAnsi="Times New Roman"/>
          <w:b/>
        </w:rPr>
        <w:t xml:space="preserve">  iné </w:t>
      </w:r>
    </w:p>
    <w:p w:rsidR="0089332D" w:rsidRPr="0089332D" w:rsidP="0089332D">
      <w:pPr>
        <w:bidi w:val="0"/>
        <w:rPr>
          <w:rFonts w:ascii="Times New Roman" w:hAnsi="Times New Roman"/>
          <w:b/>
          <w:bCs/>
        </w:rPr>
      </w:pPr>
    </w:p>
    <w:p w:rsidR="0089332D" w:rsidRPr="0089332D" w:rsidP="0089332D">
      <w:pPr>
        <w:bidi w:val="0"/>
        <w:rPr>
          <w:rFonts w:ascii="Times New Roman" w:hAnsi="Times New Roman"/>
          <w:b/>
          <w:bCs/>
        </w:rPr>
      </w:pPr>
      <w:r w:rsidRPr="0089332D">
        <w:rPr>
          <w:rFonts w:ascii="Times New Roman" w:hAnsi="Times New Roman"/>
          <w:b/>
          <w:bCs/>
        </w:rPr>
        <w:t>2.3.3. Predpoklady vývoja objemu aktivít:</w:t>
      </w:r>
    </w:p>
    <w:p w:rsidR="0089332D" w:rsidRPr="0089332D" w:rsidP="0089332D">
      <w:pPr>
        <w:bidi w:val="0"/>
        <w:rPr>
          <w:rFonts w:ascii="Times New Roman" w:hAnsi="Times New Roman"/>
        </w:rPr>
      </w:pPr>
    </w:p>
    <w:p w:rsidR="0089332D" w:rsidRPr="0089332D" w:rsidP="0089332D">
      <w:pPr>
        <w:bidi w:val="0"/>
        <w:ind w:firstLine="709"/>
        <w:jc w:val="both"/>
        <w:rPr>
          <w:rFonts w:ascii="Times New Roman" w:hAnsi="Times New Roman"/>
        </w:rPr>
      </w:pPr>
      <w:r w:rsidRPr="0089332D">
        <w:rPr>
          <w:rFonts w:ascii="Times New Roman" w:hAnsi="Times New Roman"/>
        </w:rPr>
        <w:t>Návrh zákona nemá vplyv na zmenu vývoja objemu aktivít, z tohto dôvodu sa tabuľka č. 3 Predpoklady vývoja objemu aktivít nepredkladá.</w:t>
      </w:r>
    </w:p>
    <w:p w:rsidR="0089332D" w:rsidRPr="0089332D" w:rsidP="0089332D">
      <w:pPr>
        <w:pStyle w:val="BodyText"/>
        <w:tabs>
          <w:tab w:val="num" w:pos="1080"/>
        </w:tabs>
        <w:bidi w:val="0"/>
        <w:spacing w:after="0"/>
        <w:jc w:val="both"/>
        <w:rPr>
          <w:rFonts w:ascii="Times New Roman" w:hAnsi="Times New Roman"/>
          <w:bCs/>
        </w:rPr>
      </w:pPr>
    </w:p>
    <w:p w:rsidR="0089332D" w:rsidRPr="0089332D" w:rsidP="0089332D">
      <w:pPr>
        <w:pStyle w:val="BodyText"/>
        <w:tabs>
          <w:tab w:val="num" w:pos="1080"/>
        </w:tabs>
        <w:bidi w:val="0"/>
        <w:spacing w:after="0"/>
        <w:jc w:val="both"/>
        <w:rPr>
          <w:rFonts w:ascii="Times New Roman" w:hAnsi="Times New Roman"/>
          <w:b/>
          <w:bCs/>
        </w:rPr>
      </w:pPr>
    </w:p>
    <w:p w:rsidR="0089332D" w:rsidRPr="0089332D" w:rsidP="0089332D">
      <w:pPr>
        <w:pStyle w:val="BodyText"/>
        <w:tabs>
          <w:tab w:val="num" w:pos="1080"/>
        </w:tabs>
        <w:bidi w:val="0"/>
        <w:spacing w:after="0"/>
        <w:jc w:val="both"/>
        <w:rPr>
          <w:rFonts w:ascii="Times New Roman" w:hAnsi="Times New Roman"/>
          <w:bCs/>
        </w:rPr>
      </w:pPr>
      <w:r w:rsidRPr="0089332D">
        <w:rPr>
          <w:rFonts w:ascii="Times New Roman" w:hAnsi="Times New Roman"/>
          <w:b/>
          <w:bCs/>
        </w:rPr>
        <w:t>2.3.4. Výpočty vplyvov na verejné financie</w:t>
      </w:r>
    </w:p>
    <w:p w:rsidR="0089332D" w:rsidRPr="0089332D" w:rsidP="0089332D">
      <w:pPr>
        <w:pStyle w:val="BodyText"/>
        <w:tabs>
          <w:tab w:val="num" w:pos="1080"/>
        </w:tabs>
        <w:bidi w:val="0"/>
        <w:spacing w:after="0"/>
        <w:jc w:val="both"/>
        <w:rPr>
          <w:rFonts w:ascii="Times New Roman" w:hAnsi="Times New Roman"/>
          <w:b/>
          <w:bCs/>
        </w:rPr>
      </w:pPr>
    </w:p>
    <w:p w:rsidR="0089332D" w:rsidRPr="0089332D" w:rsidP="0089332D">
      <w:pPr>
        <w:pStyle w:val="BodyText"/>
        <w:tabs>
          <w:tab w:val="num" w:pos="1080"/>
        </w:tabs>
        <w:bidi w:val="0"/>
        <w:spacing w:after="0"/>
        <w:ind w:firstLine="709"/>
        <w:jc w:val="both"/>
        <w:rPr>
          <w:rFonts w:ascii="Times New Roman" w:hAnsi="Times New Roman"/>
          <w:bCs/>
        </w:rPr>
      </w:pPr>
      <w:r w:rsidRPr="0089332D">
        <w:rPr>
          <w:rFonts w:ascii="Times New Roman" w:hAnsi="Times New Roman"/>
          <w:bCs/>
        </w:rPr>
        <w:t>Tabuľka č. 4 Vplyv na rozpočet verejnej správy – príjmy sa nepredkladá.</w:t>
      </w:r>
    </w:p>
    <w:p w:rsidR="0089332D" w:rsidRPr="0089332D" w:rsidP="0089332D">
      <w:pPr>
        <w:pStyle w:val="BodyText"/>
        <w:tabs>
          <w:tab w:val="num" w:pos="1080"/>
        </w:tabs>
        <w:bidi w:val="0"/>
        <w:spacing w:after="0"/>
        <w:jc w:val="both"/>
        <w:rPr>
          <w:rFonts w:ascii="Times New Roman" w:hAnsi="Times New Roman"/>
          <w:b/>
          <w:bCs/>
        </w:rPr>
        <w:sectPr w:rsidSect="005109F5">
          <w:footerReference w:type="even" r:id="rId4"/>
          <w:footerReference w:type="default" r:id="rId5"/>
          <w:pgSz w:w="11905" w:h="16837" w:code="9"/>
          <w:pgMar w:top="1418" w:right="1418" w:bottom="1418" w:left="1418" w:header="567" w:footer="567" w:gutter="0"/>
          <w:lnNumType w:distance="0"/>
          <w:cols w:space="708"/>
          <w:noEndnote w:val="0"/>
          <w:bidi w:val="0"/>
          <w:docGrid w:linePitch="360"/>
        </w:sectPr>
      </w:pPr>
    </w:p>
    <w:p w:rsidR="0089332D" w:rsidRPr="0089332D" w:rsidP="0089332D">
      <w:pPr>
        <w:pStyle w:val="BodyText"/>
        <w:tabs>
          <w:tab w:val="num" w:pos="1080"/>
        </w:tabs>
        <w:bidi w:val="0"/>
        <w:spacing w:after="0"/>
        <w:jc w:val="both"/>
        <w:rPr>
          <w:rFonts w:ascii="Times New Roman" w:hAnsi="Times New Roman"/>
          <w:b/>
          <w:bCs/>
        </w:rPr>
      </w:pPr>
    </w:p>
    <w:p w:rsidR="0089332D" w:rsidRPr="0089332D" w:rsidP="0089332D">
      <w:pPr>
        <w:pStyle w:val="NormalWeb"/>
        <w:bidi w:val="0"/>
        <w:spacing w:before="0" w:after="0"/>
        <w:ind w:left="0"/>
        <w:jc w:val="both"/>
        <w:rPr>
          <w:rFonts w:ascii="Times New Roman" w:hAnsi="Times New Roman"/>
        </w:rPr>
      </w:pPr>
      <w:r w:rsidRPr="0089332D">
        <w:rPr>
          <w:rFonts w:ascii="Times New Roman" w:hAnsi="Times New Roman"/>
        </w:rPr>
        <w:t xml:space="preserve">                                                                                                                                                                                                                                                 </w:t>
      </w:r>
      <w:r w:rsidRPr="0089332D">
        <w:rPr>
          <w:rFonts w:ascii="Times New Roman" w:hAnsi="Times New Roman"/>
          <w:b/>
        </w:rPr>
        <w:t xml:space="preserve"> </w:t>
      </w:r>
      <w:r w:rsidRPr="0089332D">
        <w:rPr>
          <w:rFonts w:ascii="Times New Roman" w:hAnsi="Times New Roman"/>
        </w:rPr>
        <w:t xml:space="preserve">Tabuľka č. 5 </w:t>
      </w:r>
    </w:p>
    <w:p w:rsidR="0089332D" w:rsidRPr="0089332D" w:rsidP="0089332D">
      <w:pPr>
        <w:pStyle w:val="BodyText"/>
        <w:tabs>
          <w:tab w:val="num" w:pos="1080"/>
        </w:tabs>
        <w:bidi w:val="0"/>
        <w:spacing w:after="0"/>
        <w:ind w:firstLine="1077"/>
        <w:jc w:val="both"/>
        <w:rPr>
          <w:rFonts w:ascii="Times New Roman" w:hAnsi="Times New Roman"/>
          <w:bCs/>
        </w:rPr>
      </w:pPr>
    </w:p>
    <w:tbl>
      <w:tblPr>
        <w:tblStyle w:val="TableNormal"/>
        <w:tblW w:w="15450" w:type="dxa"/>
        <w:jc w:val="center"/>
        <w:tblInd w:w="-1223" w:type="dxa"/>
        <w:tblCellMar>
          <w:left w:w="0" w:type="dxa"/>
          <w:right w:w="0" w:type="dxa"/>
        </w:tblCellMar>
      </w:tblPr>
      <w:tblGrid>
        <w:gridCol w:w="7070"/>
        <w:gridCol w:w="1540"/>
        <w:gridCol w:w="1540"/>
        <w:gridCol w:w="1540"/>
        <w:gridCol w:w="1540"/>
        <w:gridCol w:w="2220"/>
      </w:tblGrid>
      <w:tr>
        <w:tblPrEx>
          <w:tblW w:w="15450" w:type="dxa"/>
          <w:jc w:val="center"/>
          <w:tblInd w:w="-1223" w:type="dxa"/>
          <w:tblCellMar>
            <w:left w:w="0" w:type="dxa"/>
            <w:right w:w="0" w:type="dxa"/>
          </w:tblCellMar>
        </w:tblPrEx>
        <w:trPr>
          <w:trHeight w:val="255"/>
          <w:jc w:val="center"/>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9332D" w:rsidRPr="0089332D" w:rsidP="00DE6B1D">
            <w:pPr>
              <w:pStyle w:val="NormalWeb"/>
              <w:bidi w:val="0"/>
              <w:spacing w:before="0" w:after="0" w:line="240" w:lineRule="auto"/>
              <w:ind w:left="0"/>
              <w:jc w:val="center"/>
              <w:rPr>
                <w:rFonts w:ascii="Times New Roman" w:hAnsi="Times New Roman"/>
                <w:sz w:val="22"/>
                <w:szCs w:val="22"/>
              </w:rPr>
            </w:pPr>
            <w:r w:rsidRPr="0089332D">
              <w:rPr>
                <w:rFonts w:ascii="Times New Roman" w:hAnsi="Times New Roman"/>
                <w:b/>
                <w:bCs/>
                <w:color w:val="FFFFFF"/>
                <w:sz w:val="22"/>
                <w:szCs w:val="22"/>
              </w:rPr>
              <w:t>Výdavky (v mil. eur)</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r w:rsidRPr="0089332D">
              <w:rPr>
                <w:rFonts w:ascii="Times New Roman" w:hAnsi="Times New Roman"/>
                <w:b/>
                <w:bCs/>
                <w:color w:val="FFFFFF"/>
                <w:sz w:val="22"/>
                <w:szCs w:val="22"/>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9332D" w:rsidRPr="0089332D" w:rsidP="00DE6B1D">
            <w:pPr>
              <w:pStyle w:val="NormalWeb"/>
              <w:bidi w:val="0"/>
              <w:spacing w:before="0" w:after="0" w:line="240" w:lineRule="auto"/>
              <w:ind w:left="0"/>
              <w:jc w:val="center"/>
              <w:rPr>
                <w:rFonts w:ascii="Times New Roman" w:hAnsi="Times New Roman"/>
                <w:sz w:val="22"/>
                <w:szCs w:val="22"/>
              </w:rPr>
            </w:pPr>
            <w:r w:rsidRPr="0089332D">
              <w:rPr>
                <w:rFonts w:ascii="Times New Roman" w:hAnsi="Times New Roman"/>
                <w:b/>
                <w:bCs/>
                <w:color w:val="FFFFFF"/>
                <w:sz w:val="22"/>
                <w:szCs w:val="22"/>
              </w:rPr>
              <w:t>poznámka</w:t>
            </w:r>
          </w:p>
        </w:tc>
      </w:tr>
      <w:tr>
        <w:tblPrEx>
          <w:tblW w:w="15450" w:type="dxa"/>
          <w:jc w:val="center"/>
          <w:tblInd w:w="-1223" w:type="dxa"/>
          <w:tblCellMar>
            <w:left w:w="0" w:type="dxa"/>
            <w:right w:w="0" w:type="dxa"/>
          </w:tblCellMar>
        </w:tblPrEx>
        <w:trPr>
          <w:trHeight w:val="197"/>
          <w:jc w:val="center"/>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89332D" w:rsidRPr="0089332D" w:rsidP="00DE6B1D">
            <w:pPr>
              <w:bidi w:val="0"/>
              <w:spacing w:after="0" w:line="240" w:lineRule="auto"/>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9332D" w:rsidRPr="0089332D" w:rsidP="00DE6B1D">
            <w:pPr>
              <w:bidi w:val="0"/>
              <w:spacing w:after="0" w:line="240" w:lineRule="auto"/>
              <w:jc w:val="center"/>
              <w:rPr>
                <w:rFonts w:ascii="Times New Roman" w:hAnsi="Times New Roman"/>
                <w:b/>
                <w:bCs/>
                <w:color w:val="FFFFFF"/>
              </w:rPr>
            </w:pPr>
            <w:r w:rsidRPr="0089332D">
              <w:rPr>
                <w:rFonts w:ascii="Times New Roman" w:hAnsi="Times New Roman"/>
                <w:b/>
                <w:bCs/>
                <w:color w:val="FFFFFF"/>
              </w:rPr>
              <w:t>2014</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9332D" w:rsidRPr="0089332D" w:rsidP="00DE6B1D">
            <w:pPr>
              <w:bidi w:val="0"/>
              <w:spacing w:after="0" w:line="240" w:lineRule="auto"/>
              <w:jc w:val="center"/>
              <w:rPr>
                <w:rFonts w:ascii="Times New Roman" w:hAnsi="Times New Roman"/>
                <w:b/>
                <w:bCs/>
                <w:color w:val="FFFFFF"/>
              </w:rPr>
            </w:pPr>
            <w:r w:rsidRPr="0089332D">
              <w:rPr>
                <w:rFonts w:ascii="Times New Roman" w:hAnsi="Times New Roman"/>
                <w:b/>
                <w:bCs/>
                <w:color w:val="FFFFFF"/>
              </w:rPr>
              <w:t>2015</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9332D" w:rsidRPr="0089332D" w:rsidP="00DE6B1D">
            <w:pPr>
              <w:bidi w:val="0"/>
              <w:spacing w:after="0" w:line="240" w:lineRule="auto"/>
              <w:jc w:val="center"/>
              <w:rPr>
                <w:rFonts w:ascii="Times New Roman" w:hAnsi="Times New Roman"/>
                <w:b/>
                <w:bCs/>
                <w:color w:val="FFFFFF"/>
              </w:rPr>
            </w:pPr>
            <w:r w:rsidRPr="0089332D">
              <w:rPr>
                <w:rFonts w:ascii="Times New Roman" w:hAnsi="Times New Roman"/>
                <w:b/>
                <w:bCs/>
                <w:color w:val="FFFFFF"/>
              </w:rPr>
              <w:t>2016</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9332D" w:rsidRPr="0089332D" w:rsidP="00DE6B1D">
            <w:pPr>
              <w:bidi w:val="0"/>
              <w:spacing w:after="0" w:line="240" w:lineRule="auto"/>
              <w:jc w:val="center"/>
              <w:rPr>
                <w:rFonts w:ascii="Times New Roman" w:hAnsi="Times New Roman"/>
                <w:b/>
                <w:bCs/>
                <w:color w:val="FFFFFF"/>
              </w:rPr>
            </w:pPr>
            <w:r w:rsidRPr="0089332D">
              <w:rPr>
                <w:rFonts w:ascii="Times New Roman" w:hAnsi="Times New Roman"/>
                <w:b/>
                <w:bCs/>
                <w:color w:val="FFFFFF"/>
              </w:rPr>
              <w:t>2017</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89332D" w:rsidRPr="0089332D" w:rsidP="00DE6B1D">
            <w:pPr>
              <w:bidi w:val="0"/>
              <w:spacing w:after="0" w:line="240" w:lineRule="auto"/>
              <w:rPr>
                <w:rFonts w:ascii="Times New Roman" w:hAnsi="Times New Roman"/>
              </w:rPr>
            </w:pP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b/>
                <w:bCs/>
                <w:sz w:val="22"/>
                <w:szCs w:val="22"/>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r w:rsidRPr="0089332D">
              <w:rPr>
                <w:rFonts w:ascii="Times New Roman" w:hAnsi="Times New Roman"/>
                <w:sz w:val="22"/>
                <w:szCs w:val="22"/>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r w:rsidRPr="0089332D">
              <w:rPr>
                <w:rFonts w:ascii="Times New Roman" w:hAnsi="Times New Roman"/>
                <w:sz w:val="22"/>
                <w:szCs w:val="22"/>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Tovary a služby (630)</w:t>
            </w:r>
            <w:r w:rsidRPr="0089332D">
              <w:rPr>
                <w:rFonts w:ascii="Times New Roman" w:hAnsi="Times New Roman"/>
                <w:sz w:val="22"/>
                <w:szCs w:val="22"/>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r w:rsidRPr="0089332D">
              <w:rPr>
                <w:rFonts w:ascii="Times New Roman" w:hAnsi="Times New Roman"/>
                <w:sz w:val="22"/>
                <w:szCs w:val="22"/>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Bežné transfery (640)</w:t>
            </w:r>
            <w:r w:rsidRPr="0089332D">
              <w:rPr>
                <w:rFonts w:ascii="Times New Roman" w:hAnsi="Times New Roman"/>
                <w:sz w:val="22"/>
                <w:szCs w:val="22"/>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r w:rsidRPr="0089332D">
              <w:rPr>
                <w:rFonts w:ascii="Times New Roman" w:hAnsi="Times New Roman"/>
                <w:sz w:val="22"/>
                <w:szCs w:val="22"/>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Splácanie úrokov a ostatné platby súvisiace s úvermi, pôžičkami a NFV (650)</w:t>
            </w:r>
            <w:r w:rsidRPr="0089332D">
              <w:rPr>
                <w:rFonts w:ascii="Times New Roman" w:hAnsi="Times New Roman"/>
                <w:sz w:val="22"/>
                <w:szCs w:val="22"/>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Cs/>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Cs/>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Cs/>
              </w:rPr>
            </w:pP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b/>
                <w:bCs/>
                <w:sz w:val="22"/>
                <w:szCs w:val="22"/>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right"/>
              <w:rPr>
                <w:rFonts w:ascii="Times New Roman" w:hAnsi="Times New Roman"/>
                <w:sz w:val="22"/>
                <w:szCs w:val="22"/>
              </w:rPr>
            </w:pPr>
            <w:r w:rsidRPr="0089332D">
              <w:rPr>
                <w:rFonts w:ascii="Times New Roman" w:hAnsi="Times New Roman"/>
                <w:bCs/>
                <w:sz w:val="22"/>
                <w:szCs w:val="22"/>
              </w:rPr>
              <w:t> 1</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right"/>
              <w:rPr>
                <w:rFonts w:ascii="Times New Roman" w:hAnsi="Times New Roman"/>
                <w:sz w:val="22"/>
                <w:szCs w:val="22"/>
              </w:rPr>
            </w:pPr>
            <w:r w:rsidRPr="0089332D">
              <w:rPr>
                <w:rFonts w:ascii="Times New Roman" w:hAnsi="Times New Roman"/>
                <w:sz w:val="22"/>
                <w:szCs w:val="22"/>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right"/>
              <w:rPr>
                <w:rFonts w:ascii="Times New Roman" w:hAnsi="Times New Roman"/>
                <w:sz w:val="22"/>
                <w:szCs w:val="22"/>
              </w:rPr>
            </w:pPr>
            <w:r w:rsidRPr="0089332D">
              <w:rPr>
                <w:rFonts w:ascii="Times New Roman" w:hAnsi="Times New Roman"/>
                <w:sz w:val="22"/>
                <w:szCs w:val="22"/>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right"/>
              <w:rPr>
                <w:rFonts w:ascii="Times New Roman" w:hAnsi="Times New Roman"/>
                <w:sz w:val="22"/>
                <w:szCs w:val="22"/>
              </w:rPr>
            </w:pPr>
            <w:r w:rsidRPr="0089332D">
              <w:rPr>
                <w:rFonts w:ascii="Times New Roman" w:hAnsi="Times New Roman"/>
                <w:sz w:val="22"/>
                <w:szCs w:val="22"/>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Obstarávanie kapitálových aktív (710)</w:t>
            </w:r>
            <w:r w:rsidRPr="0089332D">
              <w:rPr>
                <w:rFonts w:ascii="Times New Roman" w:hAnsi="Times New Roman"/>
                <w:sz w:val="22"/>
                <w:szCs w:val="22"/>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right"/>
              <w:rPr>
                <w:rFonts w:ascii="Times New Roman" w:hAnsi="Times New Roman"/>
                <w:sz w:val="22"/>
                <w:szCs w:val="22"/>
              </w:rPr>
            </w:pPr>
            <w:r w:rsidRPr="0089332D">
              <w:rPr>
                <w:rFonts w:ascii="Times New Roman" w:hAnsi="Times New Roman"/>
                <w:sz w:val="22"/>
                <w:szCs w:val="22"/>
              </w:rPr>
              <w:t>1</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right"/>
              <w:rPr>
                <w:rFonts w:ascii="Times New Roman" w:hAnsi="Times New Roman"/>
                <w:sz w:val="22"/>
                <w:szCs w:val="22"/>
              </w:rPr>
            </w:pPr>
            <w:r w:rsidRPr="0089332D">
              <w:rPr>
                <w:rFonts w:ascii="Times New Roman" w:hAnsi="Times New Roman"/>
                <w:sz w:val="22"/>
                <w:szCs w:val="22"/>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right"/>
              <w:rPr>
                <w:rFonts w:ascii="Times New Roman" w:hAnsi="Times New Roman"/>
                <w:sz w:val="22"/>
                <w:szCs w:val="22"/>
              </w:rPr>
            </w:pPr>
            <w:r w:rsidRPr="0089332D">
              <w:rPr>
                <w:rFonts w:ascii="Times New Roman" w:hAnsi="Times New Roman"/>
                <w:sz w:val="22"/>
                <w:szCs w:val="22"/>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right"/>
              <w:rPr>
                <w:rFonts w:ascii="Times New Roman" w:hAnsi="Times New Roman"/>
                <w:sz w:val="22"/>
                <w:szCs w:val="22"/>
              </w:rPr>
            </w:pPr>
            <w:r w:rsidRPr="0089332D">
              <w:rPr>
                <w:rFonts w:ascii="Times New Roman" w:hAnsi="Times New Roman"/>
                <w:sz w:val="22"/>
                <w:szCs w:val="22"/>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xml:space="preserve">  Nákup pozemkov a nehmotných aktív (711)</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right"/>
              <w:rPr>
                <w:rFonts w:ascii="Times New Roman" w:hAnsi="Times New Roman"/>
                <w:sz w:val="22"/>
                <w:szCs w:val="22"/>
              </w:rPr>
            </w:pPr>
            <w:r w:rsidRPr="0089332D">
              <w:rPr>
                <w:rFonts w:ascii="Times New Roman" w:hAnsi="Times New Roman"/>
                <w:sz w:val="22"/>
                <w:szCs w:val="22"/>
              </w:rPr>
              <w:t>1</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right"/>
              <w:rPr>
                <w:rFonts w:ascii="Times New Roman" w:hAnsi="Times New Roman"/>
                <w:sz w:val="22"/>
                <w:szCs w:val="22"/>
              </w:rPr>
            </w:pPr>
            <w:r w:rsidRPr="0089332D">
              <w:rPr>
                <w:rFonts w:ascii="Times New Roman" w:hAnsi="Times New Roman"/>
                <w:sz w:val="22"/>
                <w:szCs w:val="22"/>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right"/>
              <w:rPr>
                <w:rFonts w:ascii="Times New Roman" w:hAnsi="Times New Roman"/>
                <w:sz w:val="22"/>
                <w:szCs w:val="22"/>
              </w:rPr>
            </w:pPr>
            <w:r w:rsidRPr="0089332D">
              <w:rPr>
                <w:rFonts w:ascii="Times New Roman" w:hAnsi="Times New Roman"/>
                <w:sz w:val="22"/>
                <w:szCs w:val="22"/>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right"/>
              <w:rPr>
                <w:rFonts w:ascii="Times New Roman" w:hAnsi="Times New Roman"/>
                <w:sz w:val="22"/>
                <w:szCs w:val="22"/>
              </w:rPr>
            </w:pPr>
            <w:r w:rsidRPr="0089332D">
              <w:rPr>
                <w:rFonts w:ascii="Times New Roman" w:hAnsi="Times New Roman"/>
                <w:sz w:val="22"/>
                <w:szCs w:val="22"/>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9332D" w:rsidRPr="0089332D" w:rsidP="00DE6B1D">
            <w:pPr>
              <w:pStyle w:val="NormalWeb"/>
              <w:bidi w:val="0"/>
              <w:spacing w:before="0" w:after="0" w:line="240" w:lineRule="auto"/>
              <w:ind w:left="0"/>
              <w:rPr>
                <w:rFonts w:ascii="Times New Roman" w:hAnsi="Times New Roman"/>
                <w:sz w:val="22"/>
                <w:szCs w:val="22"/>
              </w:rPr>
            </w:pP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xml:space="preserve">   - softvéru (711 003)</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right"/>
              <w:rPr>
                <w:rFonts w:ascii="Times New Roman" w:hAnsi="Times New Roman"/>
                <w:sz w:val="22"/>
                <w:szCs w:val="22"/>
              </w:rPr>
            </w:pPr>
            <w:r w:rsidRPr="0089332D">
              <w:rPr>
                <w:rFonts w:ascii="Times New Roman" w:hAnsi="Times New Roman"/>
                <w:sz w:val="22"/>
                <w:szCs w:val="22"/>
              </w:rPr>
              <w:t>1</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right"/>
              <w:rPr>
                <w:rFonts w:ascii="Times New Roman" w:hAnsi="Times New Roman"/>
                <w:sz w:val="22"/>
                <w:szCs w:val="22"/>
              </w:rPr>
            </w:pPr>
            <w:r w:rsidRPr="0089332D">
              <w:rPr>
                <w:rFonts w:ascii="Times New Roman" w:hAnsi="Times New Roman"/>
                <w:sz w:val="22"/>
                <w:szCs w:val="22"/>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right"/>
              <w:rPr>
                <w:rFonts w:ascii="Times New Roman" w:hAnsi="Times New Roman"/>
                <w:sz w:val="22"/>
                <w:szCs w:val="22"/>
              </w:rPr>
            </w:pPr>
            <w:r w:rsidRPr="0089332D">
              <w:rPr>
                <w:rFonts w:ascii="Times New Roman" w:hAnsi="Times New Roman"/>
                <w:sz w:val="22"/>
                <w:szCs w:val="22"/>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right"/>
              <w:rPr>
                <w:rFonts w:ascii="Times New Roman" w:hAnsi="Times New Roman"/>
                <w:sz w:val="22"/>
                <w:szCs w:val="22"/>
              </w:rPr>
            </w:pPr>
            <w:r w:rsidRPr="0089332D">
              <w:rPr>
                <w:rFonts w:ascii="Times New Roman" w:hAnsi="Times New Roman"/>
                <w:sz w:val="22"/>
                <w:szCs w:val="22"/>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9332D" w:rsidRPr="0089332D" w:rsidP="00DE6B1D">
            <w:pPr>
              <w:pStyle w:val="NormalWeb"/>
              <w:bidi w:val="0"/>
              <w:spacing w:before="0" w:after="0" w:line="240" w:lineRule="auto"/>
              <w:ind w:left="0"/>
              <w:rPr>
                <w:rFonts w:ascii="Times New Roman" w:hAnsi="Times New Roman"/>
                <w:sz w:val="22"/>
                <w:szCs w:val="22"/>
              </w:rPr>
            </w:pP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Kapitálové transfery (720)</w:t>
            </w:r>
            <w:r w:rsidRPr="0089332D">
              <w:rPr>
                <w:rFonts w:ascii="Times New Roman" w:hAnsi="Times New Roman"/>
                <w:sz w:val="22"/>
                <w:szCs w:val="22"/>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r w:rsidRPr="0089332D">
              <w:rPr>
                <w:rFonts w:ascii="Times New Roman" w:hAnsi="Times New Roman"/>
                <w:sz w:val="22"/>
                <w:szCs w:val="22"/>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b/>
                <w:bCs/>
                <w:sz w:val="22"/>
                <w:szCs w:val="22"/>
              </w:rPr>
              <w:t>Výdavky z transakcií s finančnými aktívami a finančnými pasívami (800)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r w:rsidRPr="0089332D">
              <w:rPr>
                <w:rFonts w:ascii="Times New Roman" w:hAnsi="Times New Roman"/>
                <w:b/>
                <w:bCs/>
                <w:sz w:val="22"/>
                <w:szCs w:val="22"/>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b/>
                <w:bCs/>
                <w:color w:val="FFFFFF"/>
                <w:sz w:val="22"/>
                <w:szCs w:val="22"/>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1</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222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color w:val="FFFFFF"/>
                <w:sz w:val="22"/>
                <w:szCs w:val="22"/>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b/>
                <w:bCs/>
                <w:sz w:val="22"/>
                <w:szCs w:val="22"/>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rPr>
            </w:pPr>
            <w:r w:rsidRPr="0089332D">
              <w:rPr>
                <w:rFonts w:ascii="Times New Roman" w:hAnsi="Times New Roman"/>
              </w:rPr>
              <w:t>1</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9332D" w:rsidRPr="0089332D" w:rsidP="00DE6B1D">
            <w:pPr>
              <w:bidi w:val="0"/>
              <w:spacing w:after="0" w:line="240" w:lineRule="auto"/>
              <w:jc w:val="right"/>
              <w:rPr>
                <w:rFonts w:ascii="Times New Roman" w:hAnsi="Times New Roman"/>
                <w:b/>
                <w:bCs/>
              </w:rPr>
            </w:pPr>
            <w:r w:rsidRPr="0089332D">
              <w:rPr>
                <w:rFonts w:ascii="Times New Roman" w:hAnsi="Times New Roman"/>
                <w:b/>
                <w:bCs/>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w:t>
            </w:r>
          </w:p>
        </w:tc>
      </w:tr>
      <w:tr>
        <w:tblPrEx>
          <w:tblW w:w="15450" w:type="dxa"/>
          <w:jc w:val="center"/>
          <w:tblInd w:w="-1223" w:type="dxa"/>
          <w:tblCellMar>
            <w:left w:w="0" w:type="dxa"/>
            <w:right w:w="0" w:type="dxa"/>
          </w:tblCellMar>
        </w:tblPrEx>
        <w:trPr>
          <w:trHeight w:val="255"/>
          <w:jc w:val="center"/>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Bežné výdavky</w:t>
            </w:r>
            <w:r w:rsidRPr="0089332D">
              <w:rPr>
                <w:rFonts w:ascii="Times New Roman" w:hAnsi="Times New Roman"/>
                <w:b/>
                <w:bCs/>
                <w:sz w:val="22"/>
                <w:szCs w:val="22"/>
              </w:rPr>
              <w:t xml:space="preserve"> </w:t>
            </w:r>
            <w:r w:rsidRPr="0089332D">
              <w:rPr>
                <w:rFonts w:ascii="Times New Roman" w:hAnsi="Times New Roman"/>
                <w:sz w:val="22"/>
                <w:szCs w:val="22"/>
              </w:rPr>
              <w:t>(600)</w:t>
            </w:r>
            <w:r w:rsidRPr="0089332D">
              <w:rPr>
                <w:rFonts w:ascii="Times New Roman" w:hAnsi="Times New Roman"/>
                <w:b/>
                <w:bCs/>
                <w:sz w:val="22"/>
                <w:szCs w:val="22"/>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r w:rsidRPr="0089332D">
              <w:rPr>
                <w:rFonts w:ascii="Times New Roman" w:hAnsi="Times New Roman"/>
                <w:b/>
                <w:bCs/>
                <w:sz w:val="22"/>
                <w:szCs w:val="22"/>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w:t>
            </w:r>
          </w:p>
        </w:tc>
      </w:tr>
      <w:tr>
        <w:tblPrEx>
          <w:tblW w:w="15450" w:type="dxa"/>
          <w:jc w:val="center"/>
          <w:tblInd w:w="-1223" w:type="dxa"/>
          <w:tblCellMar>
            <w:left w:w="0" w:type="dxa"/>
            <w:right w:w="0" w:type="dxa"/>
          </w:tblCellMar>
        </w:tblPrEx>
        <w:trPr>
          <w:trHeight w:val="255"/>
          <w:jc w:val="center"/>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b/>
                <w:bCs/>
                <w:sz w:val="22"/>
                <w:szCs w:val="22"/>
              </w:rPr>
              <w:t>   </w:t>
            </w:r>
            <w:r w:rsidRPr="0089332D">
              <w:rPr>
                <w:rFonts w:ascii="Times New Roman" w:hAnsi="Times New Roman"/>
                <w:sz w:val="22"/>
                <w:szCs w:val="22"/>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r w:rsidRPr="0089332D">
              <w:rPr>
                <w:rFonts w:ascii="Times New Roman" w:hAnsi="Times New Roman"/>
                <w:b/>
                <w:bCs/>
                <w:sz w:val="22"/>
                <w:szCs w:val="22"/>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ind w:left="0"/>
              <w:jc w:val="center"/>
              <w:rPr>
                <w:rFonts w:ascii="Times New Roman" w:hAnsi="Times New Roman"/>
                <w:sz w:val="22"/>
                <w:szCs w:val="22"/>
              </w:rPr>
            </w:pP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9332D" w:rsidRPr="0089332D" w:rsidP="00DE6B1D">
            <w:pPr>
              <w:pStyle w:val="NormalWeb"/>
              <w:bidi w:val="0"/>
              <w:spacing w:before="0" w:after="0" w:line="240" w:lineRule="auto"/>
              <w:ind w:left="0"/>
              <w:rPr>
                <w:rFonts w:ascii="Times New Roman" w:hAnsi="Times New Roman"/>
                <w:sz w:val="22"/>
                <w:szCs w:val="22"/>
              </w:rPr>
            </w:pPr>
            <w:r w:rsidRPr="0089332D">
              <w:rPr>
                <w:rFonts w:ascii="Times New Roman" w:hAnsi="Times New Roman"/>
                <w:sz w:val="22"/>
                <w:szCs w:val="22"/>
              </w:rPr>
              <w:t> </w:t>
            </w:r>
          </w:p>
        </w:tc>
      </w:tr>
      <w:tr>
        <w:tblPrEx>
          <w:tblW w:w="15450" w:type="dxa"/>
          <w:jc w:val="center"/>
          <w:tblInd w:w="-1223" w:type="dxa"/>
          <w:tblCellMar>
            <w:left w:w="0" w:type="dxa"/>
            <w:right w:w="0" w:type="dxa"/>
          </w:tblCellMar>
        </w:tblPrEx>
        <w:trPr>
          <w:trHeight w:val="255"/>
          <w:jc w:val="center"/>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rPr>
                <w:rFonts w:ascii="Times New Roman" w:hAnsi="Times New Roman"/>
                <w:sz w:val="22"/>
                <w:szCs w:val="22"/>
              </w:rPr>
            </w:pPr>
            <w:r w:rsidRPr="0089332D">
              <w:rPr>
                <w:rFonts w:ascii="Times New Roman" w:hAnsi="Times New Roman"/>
                <w:sz w:val="22"/>
                <w:szCs w:val="22"/>
              </w:rPr>
              <w:t xml:space="preserve">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jc w:val="right"/>
              <w:rPr>
                <w:rFonts w:ascii="Times New Roman" w:hAnsi="Times New Roman"/>
                <w:sz w:val="22"/>
                <w:szCs w:val="22"/>
              </w:rPr>
            </w:pPr>
            <w:r w:rsidRPr="0089332D">
              <w:rPr>
                <w:rFonts w:ascii="Times New Roman" w:hAnsi="Times New Roman"/>
                <w:b/>
                <w:bCs/>
                <w:sz w:val="22"/>
                <w:szCs w:val="22"/>
              </w:rPr>
              <w:t> 1</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jc w:val="right"/>
              <w:rPr>
                <w:rFonts w:ascii="Times New Roman" w:hAnsi="Times New Roman"/>
                <w:sz w:val="22"/>
                <w:szCs w:val="22"/>
              </w:rPr>
            </w:pPr>
            <w:r w:rsidRPr="0089332D">
              <w:rPr>
                <w:rFonts w:ascii="Times New Roman" w:hAnsi="Times New Roman"/>
                <w:b/>
                <w:bCs/>
                <w:sz w:val="22"/>
                <w:szCs w:val="22"/>
              </w:rPr>
              <w:t> 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jc w:val="right"/>
              <w:rPr>
                <w:rFonts w:ascii="Times New Roman" w:hAnsi="Times New Roman"/>
                <w:sz w:val="22"/>
                <w:szCs w:val="22"/>
              </w:rPr>
            </w:pPr>
            <w:r w:rsidRPr="0089332D">
              <w:rPr>
                <w:rFonts w:ascii="Times New Roman" w:hAnsi="Times New Roman"/>
                <w:b/>
                <w:bCs/>
                <w:sz w:val="22"/>
                <w:szCs w:val="22"/>
              </w:rPr>
              <w:t> 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jc w:val="right"/>
              <w:rPr>
                <w:rFonts w:ascii="Times New Roman" w:hAnsi="Times New Roman"/>
                <w:sz w:val="22"/>
                <w:szCs w:val="22"/>
              </w:rPr>
            </w:pPr>
            <w:r w:rsidRPr="0089332D">
              <w:rPr>
                <w:rFonts w:ascii="Times New Roman" w:hAnsi="Times New Roman"/>
                <w:b/>
                <w:bCs/>
                <w:sz w:val="22"/>
                <w:szCs w:val="22"/>
              </w:rPr>
              <w:t> 0</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9332D" w:rsidRPr="0089332D" w:rsidP="00DE6B1D">
            <w:pPr>
              <w:pStyle w:val="NormalWeb"/>
              <w:bidi w:val="0"/>
              <w:spacing w:before="0" w:after="0" w:line="240" w:lineRule="auto"/>
              <w:rPr>
                <w:rFonts w:ascii="Times New Roman" w:hAnsi="Times New Roman"/>
                <w:sz w:val="22"/>
                <w:szCs w:val="22"/>
              </w:rPr>
            </w:pPr>
            <w:r w:rsidRPr="0089332D">
              <w:rPr>
                <w:rFonts w:ascii="Times New Roman" w:hAnsi="Times New Roman"/>
                <w:sz w:val="22"/>
                <w:szCs w:val="22"/>
              </w:rPr>
              <w:t> </w:t>
            </w:r>
          </w:p>
        </w:tc>
      </w:tr>
      <w:tr>
        <w:tblPrEx>
          <w:tblW w:w="15450" w:type="dxa"/>
          <w:jc w:val="center"/>
          <w:tblInd w:w="-1223" w:type="dxa"/>
          <w:tblCellMar>
            <w:left w:w="0" w:type="dxa"/>
            <w:right w:w="0" w:type="dxa"/>
          </w:tblCellMar>
        </w:tblPrEx>
        <w:trPr>
          <w:trHeight w:val="255"/>
          <w:jc w:val="center"/>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rPr>
                <w:rFonts w:ascii="Times New Roman" w:hAnsi="Times New Roman"/>
                <w:sz w:val="22"/>
                <w:szCs w:val="22"/>
              </w:rPr>
            </w:pPr>
            <w:r w:rsidRPr="0089332D">
              <w:rPr>
                <w:rFonts w:ascii="Times New Roman" w:hAnsi="Times New Roman"/>
                <w:sz w:val="22"/>
                <w:szCs w:val="22"/>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jc w:val="center"/>
              <w:rPr>
                <w:rFonts w:ascii="Times New Roman" w:hAnsi="Times New Roman"/>
                <w:sz w:val="22"/>
                <w:szCs w:val="22"/>
              </w:rPr>
            </w:pPr>
            <w:r w:rsidRPr="0089332D">
              <w:rPr>
                <w:rFonts w:ascii="Times New Roman" w:hAnsi="Times New Roman"/>
                <w:b/>
                <w:bCs/>
                <w:sz w:val="22"/>
                <w:szCs w:val="22"/>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jc w:val="center"/>
              <w:rPr>
                <w:rFonts w:ascii="Times New Roman" w:hAnsi="Times New Roman"/>
                <w:sz w:val="22"/>
                <w:szCs w:val="22"/>
              </w:rPr>
            </w:pPr>
            <w:r w:rsidRPr="0089332D">
              <w:rPr>
                <w:rFonts w:ascii="Times New Roman" w:hAnsi="Times New Roman"/>
                <w:b/>
                <w:bCs/>
                <w:sz w:val="22"/>
                <w:szCs w:val="22"/>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jc w:val="center"/>
              <w:rPr>
                <w:rFonts w:ascii="Times New Roman" w:hAnsi="Times New Roman"/>
                <w:sz w:val="22"/>
                <w:szCs w:val="22"/>
              </w:rPr>
            </w:pPr>
            <w:r w:rsidRPr="0089332D">
              <w:rPr>
                <w:rFonts w:ascii="Times New Roman" w:hAnsi="Times New Roman"/>
                <w:b/>
                <w:bCs/>
                <w:sz w:val="22"/>
                <w:szCs w:val="22"/>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9332D" w:rsidRPr="0089332D" w:rsidP="00DE6B1D">
            <w:pPr>
              <w:pStyle w:val="NormalWeb"/>
              <w:bidi w:val="0"/>
              <w:spacing w:before="0" w:after="0" w:line="240" w:lineRule="auto"/>
              <w:jc w:val="center"/>
              <w:rPr>
                <w:rFonts w:ascii="Times New Roman" w:hAnsi="Times New Roman"/>
                <w:sz w:val="22"/>
                <w:szCs w:val="22"/>
              </w:rPr>
            </w:pPr>
            <w:r w:rsidRPr="0089332D">
              <w:rPr>
                <w:rFonts w:ascii="Times New Roman" w:hAnsi="Times New Roman"/>
                <w:b/>
                <w:bCs/>
                <w:sz w:val="22"/>
                <w:szCs w:val="22"/>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9332D" w:rsidRPr="0089332D" w:rsidP="00DE6B1D">
            <w:pPr>
              <w:pStyle w:val="NormalWeb"/>
              <w:bidi w:val="0"/>
              <w:spacing w:before="0" w:after="0" w:line="240" w:lineRule="auto"/>
              <w:rPr>
                <w:rFonts w:ascii="Times New Roman" w:hAnsi="Times New Roman"/>
                <w:sz w:val="22"/>
                <w:szCs w:val="22"/>
              </w:rPr>
            </w:pPr>
            <w:r w:rsidRPr="0089332D">
              <w:rPr>
                <w:rFonts w:ascii="Times New Roman" w:hAnsi="Times New Roman"/>
                <w:sz w:val="22"/>
                <w:szCs w:val="22"/>
              </w:rPr>
              <w:t> </w:t>
            </w:r>
          </w:p>
        </w:tc>
      </w:tr>
    </w:tbl>
    <w:p w:rsidR="0089332D" w:rsidRPr="0089332D" w:rsidP="0089332D">
      <w:pPr>
        <w:pStyle w:val="BodyText"/>
        <w:tabs>
          <w:tab w:val="num" w:pos="1080"/>
        </w:tabs>
        <w:bidi w:val="0"/>
        <w:spacing w:after="0"/>
        <w:jc w:val="both"/>
        <w:rPr>
          <w:rFonts w:ascii="Times New Roman" w:hAnsi="Times New Roman"/>
          <w:bCs/>
        </w:rPr>
        <w:sectPr w:rsidSect="005109F5">
          <w:pgSz w:w="16837" w:h="11905" w:orient="landscape" w:code="9"/>
          <w:pgMar w:top="1418" w:right="1418" w:bottom="1418" w:left="1418" w:header="567" w:footer="567" w:gutter="0"/>
          <w:lnNumType w:distance="0"/>
          <w:cols w:space="708"/>
          <w:noEndnote w:val="0"/>
          <w:bidi w:val="0"/>
          <w:docGrid w:linePitch="360"/>
        </w:sectPr>
      </w:pPr>
    </w:p>
    <w:p w:rsidR="0089332D" w:rsidRPr="0089332D" w:rsidP="0089332D">
      <w:pPr>
        <w:bidi w:val="0"/>
        <w:jc w:val="center"/>
        <w:rPr>
          <w:rFonts w:ascii="Times New Roman" w:hAnsi="Times New Roman"/>
          <w:b/>
          <w:bCs/>
        </w:rPr>
      </w:pPr>
      <w:r w:rsidRPr="0089332D">
        <w:rPr>
          <w:rFonts w:ascii="Times New Roman" w:hAnsi="Times New Roman"/>
          <w:b/>
          <w:bCs/>
        </w:rPr>
        <w:t>Vplyvy na podnikateľské prostredie</w:t>
      </w:r>
    </w:p>
    <w:p w:rsidR="0089332D" w:rsidRPr="0089332D" w:rsidP="0089332D">
      <w:pPr>
        <w:bidi w:val="0"/>
        <w:jc w:val="center"/>
        <w:rPr>
          <w:rFonts w:ascii="Times New Roman" w:hAnsi="Times New Roman"/>
          <w:b/>
          <w:bCs/>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89332D" w:rsidRPr="0089332D" w:rsidP="00DE6B1D">
            <w:pPr>
              <w:bidi w:val="0"/>
              <w:spacing w:after="0" w:line="240" w:lineRule="auto"/>
              <w:jc w:val="center"/>
              <w:rPr>
                <w:rFonts w:ascii="Times New Roman" w:hAnsi="Times New Roman"/>
                <w:b/>
                <w:bCs/>
                <w:color w:val="FFFFFF"/>
              </w:rPr>
            </w:pPr>
            <w:r w:rsidRPr="0089332D">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2835"/>
        </w:trPr>
        <w:tc>
          <w:tcPr>
            <w:tcW w:w="4155" w:type="dxa"/>
            <w:tcBorders>
              <w:top w:val="single" w:sz="4" w:space="0" w:color="auto"/>
              <w:left w:val="single" w:sz="8"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both"/>
              <w:rPr>
                <w:rFonts w:ascii="Times New Roman" w:hAnsi="Times New Roman"/>
              </w:rPr>
            </w:pPr>
          </w:p>
          <w:p w:rsidR="0089332D" w:rsidRPr="0089332D" w:rsidP="00DE6B1D">
            <w:pPr>
              <w:bidi w:val="0"/>
              <w:spacing w:after="0" w:line="240" w:lineRule="auto"/>
              <w:rPr>
                <w:rFonts w:ascii="Times New Roman" w:hAnsi="Times New Roman"/>
              </w:rPr>
            </w:pPr>
            <w:r w:rsidRPr="0089332D">
              <w:rPr>
                <w:rFonts w:ascii="Times New Roman" w:hAnsi="Times New Roman"/>
                <w:b/>
              </w:rPr>
              <w:t>3.1</w:t>
            </w:r>
            <w:r w:rsidRPr="0089332D">
              <w:rPr>
                <w:rFonts w:ascii="Times New Roman" w:hAnsi="Times New Roman"/>
              </w:rPr>
              <w:t>. Ktoré podnikateľské subjekty budú predkladaným návrhom ovplyvnené a aký je ich počet?</w:t>
            </w:r>
          </w:p>
          <w:p w:rsidR="0089332D" w:rsidRPr="0089332D" w:rsidP="00DE6B1D">
            <w:pPr>
              <w:bidi w:val="0"/>
              <w:spacing w:after="0" w:line="240" w:lineRule="auto"/>
              <w:jc w:val="both"/>
              <w:rPr>
                <w:rFonts w:ascii="Times New Roman" w:hAnsi="Times New Roman"/>
              </w:rPr>
            </w:pPr>
          </w:p>
        </w:tc>
        <w:tc>
          <w:tcPr>
            <w:tcW w:w="5040" w:type="dxa"/>
            <w:tcBorders>
              <w:top w:val="single" w:sz="4" w:space="0" w:color="auto"/>
              <w:left w:val="nil"/>
              <w:bottom w:val="single" w:sz="4" w:space="0" w:color="auto"/>
              <w:right w:val="single" w:sz="8" w:space="0" w:color="auto"/>
            </w:tcBorders>
            <w:noWrap/>
            <w:textDirection w:val="lrTb"/>
            <w:vAlign w:val="center"/>
          </w:tcPr>
          <w:p w:rsidR="0089332D" w:rsidRPr="0089332D" w:rsidP="00DE6B1D">
            <w:pPr>
              <w:bidi w:val="0"/>
              <w:spacing w:after="0" w:line="240" w:lineRule="auto"/>
              <w:rPr>
                <w:rFonts w:ascii="Times New Roman" w:hAnsi="Times New Roman"/>
              </w:rPr>
            </w:pPr>
            <w:r w:rsidRPr="0089332D">
              <w:rPr>
                <w:rFonts w:ascii="Times New Roman" w:hAnsi="Times New Roman"/>
              </w:rPr>
              <w:t>Navrhovaná úprava sa bude týkať platiteľov dane, ktorí sú identifikovaný pre daň v tuzemsku a rozhodnú sa dobrovoľne, že budú dodávať telekomunikačné služby, služby rozhlasového a televízneho vysielanie a elektronické služby pre nezdaniteľné osoby v iných členských štátoch tzv. systémom mini one-stop-shop (jedno kontaktné miesto). Takáto úprava sa môže týkať aj zdaniteľných osôb neusadených v EÚ, ktoré sa na účely mini one-stop-shopu rozhodnú registrovať v tuzemsku.</w:t>
            </w:r>
          </w:p>
        </w:tc>
      </w:tr>
      <w:tr>
        <w:tblPrEx>
          <w:tblW w:w="9195" w:type="dxa"/>
          <w:tblInd w:w="55" w:type="dxa"/>
          <w:tblCellMar>
            <w:left w:w="70" w:type="dxa"/>
            <w:right w:w="70" w:type="dxa"/>
          </w:tblCellMar>
        </w:tblPrEx>
        <w:trPr>
          <w:trHeight w:val="567"/>
        </w:trPr>
        <w:tc>
          <w:tcPr>
            <w:tcW w:w="4155" w:type="dxa"/>
            <w:tcBorders>
              <w:top w:val="single" w:sz="4" w:space="0" w:color="auto"/>
              <w:left w:val="single" w:sz="8"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jc w:val="both"/>
              <w:rPr>
                <w:rFonts w:ascii="Times New Roman" w:hAnsi="Times New Roman"/>
              </w:rPr>
            </w:pPr>
          </w:p>
          <w:p w:rsidR="0089332D" w:rsidRPr="0089332D" w:rsidP="00DE6B1D">
            <w:pPr>
              <w:bidi w:val="0"/>
              <w:spacing w:after="0" w:line="240" w:lineRule="auto"/>
              <w:jc w:val="both"/>
              <w:rPr>
                <w:rFonts w:ascii="Times New Roman" w:hAnsi="Times New Roman"/>
              </w:rPr>
            </w:pPr>
          </w:p>
          <w:p w:rsidR="0089332D" w:rsidRPr="0089332D" w:rsidP="00DE6B1D">
            <w:pPr>
              <w:bidi w:val="0"/>
              <w:spacing w:after="0" w:line="240" w:lineRule="auto"/>
              <w:rPr>
                <w:rFonts w:ascii="Times New Roman" w:hAnsi="Times New Roman"/>
              </w:rPr>
            </w:pPr>
            <w:r w:rsidRPr="0089332D">
              <w:rPr>
                <w:rFonts w:ascii="Times New Roman" w:hAnsi="Times New Roman"/>
                <w:b/>
              </w:rPr>
              <w:t>3.2</w:t>
            </w:r>
            <w:r w:rsidRPr="0089332D">
              <w:rPr>
                <w:rFonts w:ascii="Times New Roman" w:hAnsi="Times New Roman"/>
              </w:rPr>
              <w:t>. Aký je predpokladaný charakter a rozsah nákladov a prínosov?</w:t>
            </w:r>
          </w:p>
          <w:p w:rsidR="0089332D" w:rsidRPr="0089332D" w:rsidP="00DE6B1D">
            <w:pPr>
              <w:bidi w:val="0"/>
              <w:spacing w:after="0" w:line="240" w:lineRule="auto"/>
              <w:rPr>
                <w:rFonts w:ascii="Times New Roman" w:hAnsi="Times New Roman"/>
              </w:rPr>
            </w:pPr>
          </w:p>
          <w:p w:rsidR="0089332D" w:rsidRPr="0089332D" w:rsidP="00DE6B1D">
            <w:pPr>
              <w:bidi w:val="0"/>
              <w:spacing w:after="0" w:line="240" w:lineRule="auto"/>
              <w:jc w:val="both"/>
              <w:rPr>
                <w:rFonts w:ascii="Times New Roman" w:hAnsi="Times New Roman"/>
              </w:rPr>
            </w:pPr>
          </w:p>
        </w:tc>
        <w:tc>
          <w:tcPr>
            <w:tcW w:w="5040" w:type="dxa"/>
            <w:tcBorders>
              <w:top w:val="single" w:sz="4" w:space="0" w:color="auto"/>
              <w:left w:val="nil"/>
              <w:bottom w:val="single" w:sz="4" w:space="0" w:color="auto"/>
              <w:right w:val="single" w:sz="8" w:space="0" w:color="auto"/>
            </w:tcBorders>
            <w:noWrap/>
            <w:textDirection w:val="lrTb"/>
            <w:vAlign w:val="center"/>
          </w:tcPr>
          <w:p w:rsidR="0089332D" w:rsidRPr="0089332D" w:rsidP="00DE6B1D">
            <w:pPr>
              <w:bidi w:val="0"/>
              <w:spacing w:after="0" w:line="240" w:lineRule="auto"/>
              <w:rPr>
                <w:rFonts w:ascii="Times New Roman" w:hAnsi="Times New Roman"/>
              </w:rPr>
            </w:pPr>
            <w:r w:rsidRPr="0089332D">
              <w:rPr>
                <w:rFonts w:ascii="Times New Roman" w:hAnsi="Times New Roman"/>
              </w:rPr>
              <w:t>Operátorom, ktorí sa rozhodnú využiť túto dobrovoľnú úpravu, sa významne zníži administratívna záťaž tým, že sa nebudú musieť registrovať pre daň z pridanej hodnoty v každom členskom štáte, kde došlo k poskytnutiu telekomunikačných služieb, služieb rozhlasového a televízneho vysielania a elektronických služieb  nezdaniteľným osobám. Svoju povinnosť priznať a uhradiť daň si splnia v tom členskom štáte, v ktorom sa pre využívanie tejto úpravy identifikujú, a to podaním jedného daňového priznania elektronickými prostriedkami s následným uhradením splatnej dane. Tento očakávaný pozitívny dopad na náklady však nie je možné kvantifikovať.</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89332D" w:rsidRPr="0089332D" w:rsidP="00DE6B1D">
            <w:pPr>
              <w:bidi w:val="0"/>
              <w:spacing w:after="0" w:line="240" w:lineRule="auto"/>
              <w:rPr>
                <w:rFonts w:ascii="Times New Roman" w:hAnsi="Times New Roman"/>
              </w:rPr>
            </w:pPr>
            <w:r w:rsidRPr="0089332D">
              <w:rPr>
                <w:rFonts w:ascii="Times New Roman" w:hAnsi="Times New Roman"/>
                <w:b/>
              </w:rPr>
              <w:t>3.3</w:t>
            </w:r>
            <w:r w:rsidRPr="0089332D">
              <w:rPr>
                <w:rFonts w:ascii="Times New Roman" w:hAnsi="Times New Roman"/>
              </w:rPr>
              <w:t>. Aká je predpokladaná výška administratívnych nákladov, ktoré podniky vynaložia v súvislosti s implementáciou návrhu?</w:t>
            </w:r>
          </w:p>
        </w:tc>
        <w:tc>
          <w:tcPr>
            <w:tcW w:w="5040" w:type="dxa"/>
            <w:tcBorders>
              <w:top w:val="nil"/>
              <w:left w:val="nil"/>
              <w:bottom w:val="single" w:sz="4" w:space="0" w:color="auto"/>
              <w:right w:val="single" w:sz="8" w:space="0" w:color="auto"/>
            </w:tcBorders>
            <w:noWrap/>
            <w:textDirection w:val="lrTb"/>
            <w:vAlign w:val="center"/>
          </w:tcPr>
          <w:p w:rsidR="0089332D" w:rsidRPr="0089332D" w:rsidP="00DE6B1D">
            <w:pPr>
              <w:bidi w:val="0"/>
              <w:spacing w:after="0" w:line="240" w:lineRule="auto"/>
              <w:rPr>
                <w:rFonts w:ascii="Times New Roman" w:hAnsi="Times New Roman"/>
              </w:rPr>
            </w:pPr>
            <w:r w:rsidRPr="0089332D">
              <w:rPr>
                <w:rFonts w:ascii="Times New Roman" w:hAnsi="Times New Roman"/>
              </w:rPr>
              <w:t>Je možné predpokladať významné zníženie administratívnych nákladov, ktoré však nie je možné kvantifikovať.</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89332D" w:rsidRPr="0089332D" w:rsidP="00DE6B1D">
            <w:pPr>
              <w:bidi w:val="0"/>
              <w:spacing w:after="0" w:line="240" w:lineRule="auto"/>
              <w:jc w:val="both"/>
              <w:rPr>
                <w:rFonts w:ascii="Times New Roman" w:hAnsi="Times New Roman"/>
                <w:b/>
              </w:rPr>
            </w:pPr>
          </w:p>
          <w:p w:rsidR="0089332D" w:rsidRPr="0089332D" w:rsidP="00DE6B1D">
            <w:pPr>
              <w:bidi w:val="0"/>
              <w:spacing w:after="0" w:line="240" w:lineRule="auto"/>
              <w:rPr>
                <w:rFonts w:ascii="Times New Roman" w:hAnsi="Times New Roman"/>
              </w:rPr>
            </w:pPr>
            <w:r w:rsidRPr="0089332D">
              <w:rPr>
                <w:rFonts w:ascii="Times New Roman" w:hAnsi="Times New Roman"/>
                <w:b/>
              </w:rPr>
              <w:t>3.4</w:t>
            </w:r>
            <w:r w:rsidRPr="0089332D">
              <w:rPr>
                <w:rFonts w:ascii="Times New Roman" w:hAnsi="Times New Roman"/>
              </w:rPr>
              <w:t>. Aké sú dôsledky pripravovaného návrhu pre fungovanie podnikateľských subjektov na slovenskom trhu (ako sa zmenia operácie na trhu?)</w:t>
            </w:r>
          </w:p>
          <w:p w:rsidR="0089332D" w:rsidRPr="0089332D" w:rsidP="00DE6B1D">
            <w:pPr>
              <w:bidi w:val="0"/>
              <w:spacing w:after="0" w:line="240"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89332D" w:rsidRPr="0089332D" w:rsidP="00DE6B1D">
            <w:pPr>
              <w:bidi w:val="0"/>
              <w:spacing w:after="0" w:line="240" w:lineRule="auto"/>
              <w:rPr>
                <w:rFonts w:ascii="Times New Roman" w:hAnsi="Times New Roman"/>
              </w:rPr>
            </w:pPr>
            <w:r w:rsidRPr="0089332D">
              <w:rPr>
                <w:rFonts w:ascii="Times New Roman" w:hAnsi="Times New Roman"/>
              </w:rPr>
              <w:t>Operátorom, ktorí budú túto dobrovoľnú úpravu poskytovať z tuzemska, odpadne povinnosť registrácií v každom členskom štáte, kde tieto služby poskytujú. Všetky poskytnuté služby a vzniknuté daňové povinnosti budú vykazovať len v jednom daňovom priznaní podanom elektronickými prostriedkami v tuzemsku. Rovnako aj úhradu dane, ktorá prislúcha členskému štátu spotreby, si splnia v tuzemsku.</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89332D" w:rsidRPr="0089332D" w:rsidP="0089332D">
            <w:pPr>
              <w:bidi w:val="0"/>
              <w:spacing w:after="0" w:line="240" w:lineRule="auto"/>
              <w:rPr>
                <w:rFonts w:ascii="Times New Roman" w:hAnsi="Times New Roman"/>
              </w:rPr>
            </w:pPr>
            <w:r w:rsidRPr="0089332D">
              <w:rPr>
                <w:rFonts w:ascii="Times New Roman" w:hAnsi="Times New Roman"/>
                <w:b/>
              </w:rPr>
              <w:t>3.5</w:t>
            </w:r>
            <w:r w:rsidRPr="0089332D">
              <w:rPr>
                <w:rFonts w:ascii="Times New Roman" w:hAnsi="Times New Roman"/>
              </w:rPr>
              <w:t>. Aké sú predpokladané spoločensko–ekonomické dôsledky pripravovaných regulácií?</w:t>
            </w:r>
          </w:p>
        </w:tc>
        <w:tc>
          <w:tcPr>
            <w:tcW w:w="5040" w:type="dxa"/>
            <w:tcBorders>
              <w:top w:val="nil"/>
              <w:left w:val="nil"/>
              <w:bottom w:val="single" w:sz="4" w:space="0" w:color="auto"/>
              <w:right w:val="single" w:sz="8" w:space="0" w:color="auto"/>
            </w:tcBorders>
            <w:noWrap/>
            <w:textDirection w:val="lrTb"/>
            <w:vAlign w:val="center"/>
          </w:tcPr>
          <w:p w:rsidR="0089332D" w:rsidRPr="0089332D" w:rsidP="00DE6B1D">
            <w:pPr>
              <w:bidi w:val="0"/>
              <w:spacing w:after="0" w:line="240" w:lineRule="auto"/>
              <w:rPr>
                <w:rFonts w:ascii="Times New Roman" w:hAnsi="Times New Roman"/>
              </w:rPr>
            </w:pPr>
            <w:r w:rsidRPr="0089332D">
              <w:rPr>
                <w:rFonts w:ascii="Times New Roman" w:hAnsi="Times New Roman"/>
              </w:rPr>
              <w:t xml:space="preserve">Vplyvom zavedenia uvedenej dobrovoľnej úpravy sa očakáva zjednodušenie plnenia daňových povinností platiteľov dane. </w:t>
            </w:r>
          </w:p>
        </w:tc>
      </w:tr>
    </w:tbl>
    <w:p w:rsidR="0089332D" w:rsidRPr="0089332D" w:rsidP="0089332D">
      <w:pPr>
        <w:pStyle w:val="NormalWeb"/>
        <w:bidi w:val="0"/>
        <w:spacing w:before="0" w:after="0"/>
        <w:ind w:left="0"/>
        <w:jc w:val="center"/>
        <w:rPr>
          <w:rFonts w:ascii="Times New Roman" w:hAnsi="Times New Roman"/>
          <w:b/>
          <w:bCs/>
        </w:rPr>
      </w:pPr>
      <w:r w:rsidRPr="0089332D">
        <w:rPr>
          <w:rFonts w:ascii="Times New Roman" w:hAnsi="Times New Roman"/>
          <w:b/>
          <w:bCs/>
        </w:rPr>
        <w:t>Vplyvy na informatizáciu spoločnosti</w:t>
      </w:r>
    </w:p>
    <w:p w:rsidR="0089332D" w:rsidRPr="0089332D" w:rsidP="0089332D">
      <w:pPr>
        <w:pStyle w:val="NormalWeb"/>
        <w:bidi w:val="0"/>
        <w:spacing w:before="0" w:after="0"/>
        <w:ind w:left="0"/>
        <w:jc w:val="both"/>
        <w:rPr>
          <w:rFonts w:ascii="Times New Roman" w:hAnsi="Times New Roman"/>
          <w:bCs/>
        </w:rPr>
      </w:pPr>
    </w:p>
    <w:tbl>
      <w:tblPr>
        <w:tblStyle w:val="TableNormal"/>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994"/>
      </w:tblGrid>
      <w:tr>
        <w:tblPrEx>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9332D" w:rsidRPr="0089332D" w:rsidP="00DE6B1D">
            <w:pPr>
              <w:bidi w:val="0"/>
              <w:spacing w:after="0" w:line="240" w:lineRule="auto"/>
              <w:jc w:val="both"/>
              <w:rPr>
                <w:rFonts w:ascii="Times New Roman" w:hAnsi="Times New Roman"/>
                <w:b/>
              </w:rPr>
            </w:pPr>
            <w:r w:rsidRPr="0089332D">
              <w:rPr>
                <w:rFonts w:ascii="Times New Roman" w:hAnsi="Times New Roman"/>
                <w:b/>
              </w:rPr>
              <w:t>Budovanie základných pilierov informatizácie</w:t>
            </w:r>
          </w:p>
        </w:tc>
        <w:tc>
          <w:tcPr>
            <w:tcW w:w="399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9332D" w:rsidRPr="0089332D" w:rsidP="00DE6B1D">
            <w:pPr>
              <w:bidi w:val="0"/>
              <w:spacing w:after="0" w:line="240" w:lineRule="auto"/>
              <w:rPr>
                <w:rFonts w:ascii="Times New Roman" w:hAnsi="Times New Roman"/>
                <w:b/>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89332D" w:rsidRPr="0089332D" w:rsidP="00DE6B1D">
            <w:pPr>
              <w:bidi w:val="0"/>
              <w:spacing w:after="0" w:line="240" w:lineRule="auto"/>
              <w:jc w:val="both"/>
              <w:rPr>
                <w:rFonts w:ascii="Times New Roman" w:hAnsi="Times New Roman"/>
                <w:b/>
              </w:rPr>
            </w:pPr>
            <w:r w:rsidRPr="0089332D">
              <w:rPr>
                <w:rFonts w:ascii="Times New Roman" w:hAnsi="Times New Roman"/>
                <w:b/>
              </w:rPr>
              <w:t>Obsah</w:t>
            </w:r>
          </w:p>
        </w:tc>
        <w:tc>
          <w:tcPr>
            <w:tcW w:w="3994"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89332D" w:rsidRPr="0089332D" w:rsidP="00DE6B1D">
            <w:pPr>
              <w:bidi w:val="0"/>
              <w:spacing w:after="0" w:line="240" w:lineRule="auto"/>
              <w:rPr>
                <w:rFonts w:ascii="Times New Roman" w:hAnsi="Times New Roman"/>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rPr>
            </w:pPr>
            <w:r w:rsidRPr="0089332D">
              <w:rPr>
                <w:rFonts w:ascii="Times New Roman" w:hAnsi="Times New Roman"/>
                <w:b/>
              </w:rPr>
              <w:t>6.1.</w:t>
            </w:r>
            <w:r w:rsidRPr="0089332D">
              <w:rPr>
                <w:rFonts w:ascii="Times New Roman" w:hAnsi="Times New Roman"/>
              </w:rPr>
              <w:t xml:space="preserve"> Rozširujú alebo inovujú  sa existujúce alebo vytvárajú sa či zavádzajú  sa nové elektronické služby?</w:t>
            </w:r>
          </w:p>
          <w:p w:rsidR="0089332D" w:rsidRPr="0089332D" w:rsidP="00DE6B1D">
            <w:pPr>
              <w:bidi w:val="0"/>
              <w:spacing w:after="0" w:line="240" w:lineRule="auto"/>
              <w:jc w:val="both"/>
              <w:rPr>
                <w:rFonts w:ascii="Times New Roman" w:hAnsi="Times New Roman"/>
              </w:rPr>
            </w:pPr>
            <w:r w:rsidRPr="0089332D">
              <w:rPr>
                <w:rFonts w:ascii="Times New Roman" w:hAnsi="Times New Roman"/>
                <w:i/>
                <w:iCs/>
              </w:rPr>
              <w:t>(Popíšte ich funkciu a úroveň poskytovania.)</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jc w:val="both"/>
              <w:rPr>
                <w:rFonts w:ascii="Times New Roman" w:hAnsi="Times New Roman"/>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rPr>
            </w:pPr>
            <w:r w:rsidRPr="0089332D">
              <w:rPr>
                <w:rFonts w:ascii="Times New Roman" w:hAnsi="Times New Roman"/>
                <w:b/>
              </w:rPr>
              <w:t>6.2.</w:t>
            </w:r>
            <w:r w:rsidRPr="0089332D">
              <w:rPr>
                <w:rFonts w:ascii="Times New Roman" w:hAnsi="Times New Roman"/>
              </w:rPr>
              <w:t xml:space="preserve"> Vytvárajú sa podmienky pre sémantickú interoperabilitu?</w:t>
            </w:r>
          </w:p>
          <w:p w:rsidR="0089332D" w:rsidRPr="0089332D" w:rsidP="00DE6B1D">
            <w:pPr>
              <w:bidi w:val="0"/>
              <w:spacing w:after="0" w:line="240" w:lineRule="auto"/>
              <w:jc w:val="both"/>
              <w:rPr>
                <w:rFonts w:ascii="Times New Roman" w:hAnsi="Times New Roman"/>
              </w:rPr>
            </w:pPr>
            <w:r w:rsidRPr="0089332D">
              <w:rPr>
                <w:rFonts w:ascii="Times New Roman" w:hAnsi="Times New Roman"/>
                <w:i/>
                <w:iCs/>
              </w:rPr>
              <w:t>(Popíšte spôsob jej zabezpečenia.)</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jc w:val="center"/>
              <w:rPr>
                <w:rFonts w:ascii="Times New Roman" w:hAnsi="Times New Roman"/>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89332D" w:rsidRPr="0089332D" w:rsidP="00DE6B1D">
            <w:pPr>
              <w:bidi w:val="0"/>
              <w:spacing w:after="0" w:line="240" w:lineRule="auto"/>
              <w:jc w:val="both"/>
              <w:rPr>
                <w:rFonts w:ascii="Times New Roman" w:hAnsi="Times New Roman"/>
                <w:b/>
                <w:color w:val="FFFFFF"/>
              </w:rPr>
            </w:pPr>
            <w:r w:rsidRPr="0089332D">
              <w:rPr>
                <w:rFonts w:ascii="Times New Roman" w:hAnsi="Times New Roman"/>
                <w:b/>
              </w:rPr>
              <w:t>Ľudia</w:t>
            </w:r>
          </w:p>
        </w:tc>
        <w:tc>
          <w:tcPr>
            <w:tcW w:w="3994"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89332D" w:rsidRPr="0089332D" w:rsidP="00DE6B1D">
            <w:pPr>
              <w:bidi w:val="0"/>
              <w:spacing w:after="0" w:line="240" w:lineRule="auto"/>
              <w:rPr>
                <w:rFonts w:ascii="Times New Roman" w:hAnsi="Times New Roman"/>
                <w:b/>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rPr>
            </w:pPr>
            <w:r w:rsidRPr="0089332D">
              <w:rPr>
                <w:rFonts w:ascii="Times New Roman" w:hAnsi="Times New Roman"/>
                <w:b/>
              </w:rPr>
              <w:t>6.3.</w:t>
            </w:r>
            <w:r w:rsidRPr="0089332D">
              <w:rPr>
                <w:rFonts w:ascii="Times New Roman" w:hAnsi="Times New Roman"/>
              </w:rPr>
              <w:t xml:space="preserve"> Zabezpečuje sa vzdelávanie v oblasti počítačovej gramotnosti a rozširovanie vedomostí o IKT?</w:t>
            </w:r>
          </w:p>
          <w:p w:rsidR="0089332D" w:rsidRPr="0089332D" w:rsidP="00DE6B1D">
            <w:pPr>
              <w:bidi w:val="0"/>
              <w:spacing w:after="0" w:line="240" w:lineRule="auto"/>
              <w:jc w:val="both"/>
              <w:rPr>
                <w:rFonts w:ascii="Times New Roman" w:hAnsi="Times New Roman"/>
              </w:rPr>
            </w:pPr>
            <w:r w:rsidRPr="0089332D">
              <w:rPr>
                <w:rFonts w:ascii="Times New Roman" w:hAnsi="Times New Roman"/>
                <w:i/>
                <w:iCs/>
              </w:rPr>
              <w:t>(Uveďte spôsob, napr. projekty, školenia.)</w:t>
            </w:r>
          </w:p>
        </w:tc>
        <w:tc>
          <w:tcPr>
            <w:tcW w:w="3994" w:type="dxa"/>
            <w:tcBorders>
              <w:top w:val="single" w:sz="4" w:space="0" w:color="auto"/>
              <w:left w:val="single" w:sz="4" w:space="0" w:color="auto"/>
              <w:bottom w:val="single" w:sz="4" w:space="0" w:color="auto"/>
              <w:right w:val="single" w:sz="4" w:space="0" w:color="auto"/>
            </w:tcBorders>
            <w:textDirection w:val="lrTb"/>
            <w:vAlign w:val="center"/>
          </w:tcPr>
          <w:p w:rsidR="0089332D" w:rsidRPr="0089332D" w:rsidP="00DE6B1D">
            <w:pPr>
              <w:bidi w:val="0"/>
              <w:spacing w:after="0" w:line="240" w:lineRule="auto"/>
              <w:rPr>
                <w:rFonts w:ascii="Times New Roman" w:hAnsi="Times New Roman"/>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rPr>
            </w:pPr>
            <w:r w:rsidRPr="0089332D">
              <w:rPr>
                <w:rFonts w:ascii="Times New Roman" w:hAnsi="Times New Roman"/>
                <w:b/>
              </w:rPr>
              <w:t>6.4.</w:t>
            </w:r>
            <w:r w:rsidRPr="0089332D">
              <w:rPr>
                <w:rFonts w:ascii="Times New Roman" w:hAnsi="Times New Roman"/>
              </w:rPr>
              <w:t xml:space="preserve"> Zabezpečuje sa rozvoj elektronického vzdelávania?</w:t>
            </w:r>
          </w:p>
          <w:p w:rsidR="0089332D" w:rsidRPr="0089332D" w:rsidP="00DE6B1D">
            <w:pPr>
              <w:bidi w:val="0"/>
              <w:spacing w:after="0" w:line="240" w:lineRule="auto"/>
              <w:jc w:val="both"/>
              <w:rPr>
                <w:rFonts w:ascii="Times New Roman" w:hAnsi="Times New Roman"/>
                <w:color w:val="FFFFFF"/>
              </w:rPr>
            </w:pPr>
            <w:r w:rsidRPr="0089332D">
              <w:rPr>
                <w:rFonts w:ascii="Times New Roman" w:hAnsi="Times New Roman"/>
                <w:i/>
                <w:iCs/>
              </w:rPr>
              <w:t>(Uveďte typ a spôsob zabezpečenia vzdelávacích aktivít.)</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rPr>
            </w:pPr>
            <w:r w:rsidRPr="0089332D">
              <w:rPr>
                <w:rFonts w:ascii="Times New Roman" w:hAnsi="Times New Roman"/>
                <w:b/>
              </w:rPr>
              <w:t>6.5.</w:t>
            </w:r>
            <w:r w:rsidRPr="0089332D">
              <w:rPr>
                <w:rFonts w:ascii="Times New Roman" w:hAnsi="Times New Roman"/>
              </w:rPr>
              <w:t xml:space="preserve"> Zabezpečuje sa podporná a propagačná aktivita zameraná na zvyšovanie povedomia o informatizácii a IKT?</w:t>
            </w:r>
          </w:p>
          <w:p w:rsidR="0089332D" w:rsidRPr="0089332D" w:rsidP="00DE6B1D">
            <w:pPr>
              <w:bidi w:val="0"/>
              <w:spacing w:after="0" w:line="240" w:lineRule="auto"/>
              <w:jc w:val="both"/>
              <w:rPr>
                <w:rFonts w:ascii="Times New Roman" w:hAnsi="Times New Roman"/>
                <w:color w:val="FFFFFF"/>
              </w:rPr>
            </w:pPr>
            <w:r w:rsidRPr="0089332D">
              <w:rPr>
                <w:rFonts w:ascii="Times New Roman" w:hAnsi="Times New Roman"/>
                <w:i/>
                <w:iCs/>
              </w:rPr>
              <w:t>(Uveďte typ a spôsob zabezpečenia propagačných aktivít.)</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rPr>
            </w:pPr>
            <w:r w:rsidRPr="0089332D">
              <w:rPr>
                <w:rFonts w:ascii="Times New Roman" w:hAnsi="Times New Roman"/>
                <w:b/>
              </w:rPr>
              <w:t>6.6.</w:t>
            </w:r>
            <w:r w:rsidRPr="0089332D">
              <w:rPr>
                <w:rFonts w:ascii="Times New Roman" w:hAnsi="Times New Roman"/>
              </w:rPr>
              <w:t xml:space="preserve"> Zabezpečuje/zohľadňuje/zlepšuje sa prístup znevýhodnených osôb k službám informačnej spoločnosti?</w:t>
            </w:r>
          </w:p>
          <w:p w:rsidR="0089332D" w:rsidRPr="0089332D" w:rsidP="00DE6B1D">
            <w:pPr>
              <w:bidi w:val="0"/>
              <w:spacing w:after="0" w:line="240" w:lineRule="auto"/>
              <w:jc w:val="both"/>
              <w:rPr>
                <w:rFonts w:ascii="Times New Roman" w:hAnsi="Times New Roman"/>
              </w:rPr>
            </w:pPr>
            <w:r w:rsidRPr="0089332D">
              <w:rPr>
                <w:rFonts w:ascii="Times New Roman" w:hAnsi="Times New Roman"/>
                <w:i/>
                <w:iCs/>
              </w:rPr>
              <w:t>(Uveďte spôsob sprístupnenia digitálneho prostredia.)</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89332D" w:rsidRPr="0089332D" w:rsidP="00DE6B1D">
            <w:pPr>
              <w:bidi w:val="0"/>
              <w:spacing w:after="0" w:line="240" w:lineRule="auto"/>
              <w:jc w:val="both"/>
              <w:rPr>
                <w:rFonts w:ascii="Times New Roman" w:hAnsi="Times New Roman"/>
                <w:b/>
              </w:rPr>
            </w:pPr>
            <w:r w:rsidRPr="0089332D">
              <w:rPr>
                <w:rFonts w:ascii="Times New Roman" w:hAnsi="Times New Roman"/>
                <w:b/>
              </w:rPr>
              <w:t>Infraštruktúra</w:t>
            </w:r>
          </w:p>
        </w:tc>
        <w:tc>
          <w:tcPr>
            <w:tcW w:w="3994"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89332D" w:rsidRPr="0089332D" w:rsidP="00DE6B1D">
            <w:pPr>
              <w:bidi w:val="0"/>
              <w:spacing w:after="0" w:line="240" w:lineRule="auto"/>
              <w:rPr>
                <w:rFonts w:ascii="Times New Roman" w:hAnsi="Times New Roman"/>
                <w:b/>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rPr>
            </w:pPr>
            <w:r w:rsidRPr="0089332D">
              <w:rPr>
                <w:rFonts w:ascii="Times New Roman" w:hAnsi="Times New Roman"/>
                <w:b/>
              </w:rPr>
              <w:t>6.7.</w:t>
            </w:r>
            <w:r w:rsidRPr="0089332D">
              <w:rPr>
                <w:rFonts w:ascii="Times New Roman" w:hAnsi="Times New Roman"/>
              </w:rPr>
              <w:t xml:space="preserve"> Rozširuje, inovuje, vytvára alebo zavádza sa nový informačný systém?</w:t>
            </w:r>
          </w:p>
          <w:p w:rsidR="0089332D" w:rsidRPr="0089332D" w:rsidP="00DE6B1D">
            <w:pPr>
              <w:bidi w:val="0"/>
              <w:spacing w:after="0" w:line="240" w:lineRule="auto"/>
              <w:jc w:val="both"/>
              <w:rPr>
                <w:rFonts w:ascii="Times New Roman" w:hAnsi="Times New Roman"/>
              </w:rPr>
            </w:pPr>
            <w:r w:rsidRPr="0089332D">
              <w:rPr>
                <w:rFonts w:ascii="Times New Roman" w:hAnsi="Times New Roman"/>
                <w:i/>
                <w:iCs/>
              </w:rPr>
              <w:t>(Uveďte jeho funkciu.)</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iCs/>
              </w:rPr>
            </w:pPr>
            <w:r w:rsidRPr="0089332D">
              <w:rPr>
                <w:rFonts w:ascii="Times New Roman" w:hAnsi="Times New Roman"/>
                <w:iCs/>
              </w:rPr>
              <w:t>Novelou zákona o DPH zavedená úprava mini one-stop-shopu bude znamenať rozšírenie už používaných informačných systémov finančnej správy súvisiacich s elektronickou registráciu, s elektronickým podávaním daňového priznania (štvrťročne). Osoby identifikované v tuzemsku pre uvedenú úpravu budú povinné viesť záznamy o dodaných službách, pri ktorých uplatnili osobitnú úpravu, tak, aby ich mohli na požiadanie elektronickými prostriedkami predložiť DÚ Bratislava a správcovi dane v členskom štáte spotreby.</w:t>
            </w: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jc w:val="both"/>
              <w:rPr>
                <w:rFonts w:ascii="Times New Roman" w:hAnsi="Times New Roman"/>
              </w:rPr>
            </w:pPr>
            <w:r w:rsidRPr="0089332D">
              <w:rPr>
                <w:rFonts w:ascii="Times New Roman" w:hAnsi="Times New Roman"/>
                <w:b/>
              </w:rPr>
              <w:t>6.8.</w:t>
            </w:r>
            <w:r w:rsidRPr="0089332D">
              <w:rPr>
                <w:rFonts w:ascii="Times New Roman" w:hAnsi="Times New Roman"/>
              </w:rPr>
              <w:t xml:space="preserve"> Rozširuje sa prístupnosť k internetu?</w:t>
            </w:r>
          </w:p>
          <w:p w:rsidR="0089332D" w:rsidRPr="0089332D" w:rsidP="00DE6B1D">
            <w:pPr>
              <w:bidi w:val="0"/>
              <w:spacing w:after="0" w:line="240" w:lineRule="auto"/>
              <w:jc w:val="both"/>
              <w:rPr>
                <w:rFonts w:ascii="Times New Roman" w:hAnsi="Times New Roman"/>
              </w:rPr>
            </w:pPr>
            <w:r w:rsidRPr="0089332D">
              <w:rPr>
                <w:rFonts w:ascii="Times New Roman" w:hAnsi="Times New Roman"/>
                <w:i/>
                <w:iCs/>
              </w:rPr>
              <w:t>(Uveďte spôsob rozširovania prístupnosti.)</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rPr>
            </w:pPr>
            <w:r w:rsidRPr="0089332D">
              <w:rPr>
                <w:rFonts w:ascii="Times New Roman" w:hAnsi="Times New Roman"/>
                <w:b/>
              </w:rPr>
              <w:t>6.9.</w:t>
            </w:r>
            <w:r w:rsidRPr="0089332D">
              <w:rPr>
                <w:rFonts w:ascii="Times New Roman" w:hAnsi="Times New Roman"/>
              </w:rPr>
              <w:t xml:space="preserve"> Rozširuje sa prístupnosť k elektronickým službám?</w:t>
            </w:r>
          </w:p>
          <w:p w:rsidR="0089332D" w:rsidRPr="0089332D" w:rsidP="00DE6B1D">
            <w:pPr>
              <w:bidi w:val="0"/>
              <w:spacing w:after="0" w:line="240" w:lineRule="auto"/>
              <w:rPr>
                <w:rFonts w:ascii="Times New Roman" w:hAnsi="Times New Roman"/>
              </w:rPr>
            </w:pPr>
            <w:r w:rsidRPr="0089332D">
              <w:rPr>
                <w:rFonts w:ascii="Times New Roman" w:hAnsi="Times New Roman"/>
                <w:i/>
                <w:iCs/>
              </w:rPr>
              <w:t>(Uveďte spôsob rozširovania prístupnosti.)</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iCs/>
              </w:rPr>
            </w:pPr>
            <w:r w:rsidRPr="0089332D">
              <w:rPr>
                <w:rFonts w:ascii="Times New Roman" w:hAnsi="Times New Roman"/>
                <w:iCs/>
              </w:rPr>
              <w:t>Dobrovoľná úprava – schéma MOSS je nová elektronická služba, od ktorej sa očakáva významné zníženie administratívnej záťaže subjektov tým, že sa budú môcť registrovať iba v jednom členskom štáte EÚ pre DPH, namiesto všetkých členských štátov, kde došlo k poskytnutiu služieb definovaných smernicou 2008/8/ES.</w:t>
            </w: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jc w:val="both"/>
              <w:rPr>
                <w:rFonts w:ascii="Times New Roman" w:hAnsi="Times New Roman"/>
              </w:rPr>
            </w:pPr>
            <w:r w:rsidRPr="0089332D">
              <w:rPr>
                <w:rFonts w:ascii="Times New Roman" w:hAnsi="Times New Roman"/>
                <w:b/>
              </w:rPr>
              <w:t>6.10.</w:t>
            </w:r>
            <w:r w:rsidRPr="0089332D">
              <w:rPr>
                <w:rFonts w:ascii="Times New Roman" w:hAnsi="Times New Roman"/>
              </w:rPr>
              <w:t xml:space="preserve"> Zabezpečuje sa technická interoperabilita?</w:t>
            </w:r>
          </w:p>
          <w:p w:rsidR="0089332D" w:rsidRPr="0089332D" w:rsidP="00DE6B1D">
            <w:pPr>
              <w:bidi w:val="0"/>
              <w:spacing w:after="0" w:line="240" w:lineRule="auto"/>
              <w:jc w:val="both"/>
              <w:rPr>
                <w:rFonts w:ascii="Times New Roman" w:hAnsi="Times New Roman"/>
              </w:rPr>
            </w:pPr>
            <w:r w:rsidRPr="0089332D">
              <w:rPr>
                <w:rFonts w:ascii="Times New Roman" w:hAnsi="Times New Roman"/>
                <w:i/>
                <w:iCs/>
              </w:rPr>
              <w:t>(Uveďte spôsob jej zabezpečenia.)</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jc w:val="both"/>
              <w:rPr>
                <w:rFonts w:ascii="Times New Roman" w:hAnsi="Times New Roman"/>
              </w:rPr>
            </w:pPr>
            <w:r w:rsidRPr="0089332D">
              <w:rPr>
                <w:rFonts w:ascii="Times New Roman" w:hAnsi="Times New Roman"/>
                <w:b/>
              </w:rPr>
              <w:t>6.11.</w:t>
            </w:r>
            <w:r w:rsidRPr="0089332D">
              <w:rPr>
                <w:rFonts w:ascii="Times New Roman" w:hAnsi="Times New Roman"/>
              </w:rPr>
              <w:t xml:space="preserve"> Zvyšuje sa bezpečnosť IT?</w:t>
            </w:r>
          </w:p>
          <w:p w:rsidR="0089332D" w:rsidRPr="0089332D" w:rsidP="00DE6B1D">
            <w:pPr>
              <w:bidi w:val="0"/>
              <w:spacing w:after="0" w:line="240" w:lineRule="auto"/>
              <w:jc w:val="both"/>
              <w:rPr>
                <w:rFonts w:ascii="Times New Roman" w:hAnsi="Times New Roman"/>
              </w:rPr>
            </w:pPr>
            <w:r w:rsidRPr="0089332D">
              <w:rPr>
                <w:rFonts w:ascii="Times New Roman" w:hAnsi="Times New Roman"/>
              </w:rPr>
              <w:t>(</w:t>
            </w:r>
            <w:r w:rsidRPr="0089332D">
              <w:rPr>
                <w:rFonts w:ascii="Times New Roman" w:hAnsi="Times New Roman"/>
                <w:i/>
                <w:iCs/>
              </w:rPr>
              <w:t>Uveďte spôsob zvýšenia bezpečnosti a ochrany IT.)</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jc w:val="both"/>
              <w:rPr>
                <w:rFonts w:ascii="Times New Roman" w:hAnsi="Times New Roman"/>
              </w:rPr>
            </w:pPr>
            <w:r w:rsidRPr="0089332D">
              <w:rPr>
                <w:rFonts w:ascii="Times New Roman" w:hAnsi="Times New Roman"/>
                <w:b/>
              </w:rPr>
              <w:t>6.12.</w:t>
            </w:r>
            <w:r w:rsidRPr="0089332D">
              <w:rPr>
                <w:rFonts w:ascii="Times New Roman" w:hAnsi="Times New Roman"/>
              </w:rPr>
              <w:t xml:space="preserve"> Rozširuje sa technická infraštruktúra?</w:t>
            </w:r>
          </w:p>
          <w:p w:rsidR="0089332D" w:rsidRPr="0089332D" w:rsidP="00DE6B1D">
            <w:pPr>
              <w:bidi w:val="0"/>
              <w:spacing w:after="0" w:line="240" w:lineRule="auto"/>
              <w:jc w:val="both"/>
              <w:rPr>
                <w:rFonts w:ascii="Times New Roman" w:hAnsi="Times New Roman"/>
                <w:i/>
                <w:iCs/>
              </w:rPr>
            </w:pPr>
            <w:r w:rsidRPr="0089332D">
              <w:rPr>
                <w:rFonts w:ascii="Times New Roman" w:hAnsi="Times New Roman"/>
              </w:rPr>
              <w:t>(</w:t>
            </w:r>
            <w:r w:rsidRPr="0089332D">
              <w:rPr>
                <w:rFonts w:ascii="Times New Roman" w:hAnsi="Times New Roman"/>
                <w:i/>
                <w:iCs/>
              </w:rPr>
              <w:t>Uveďte stručný popis zavádzanej infraštruktúry.)</w:t>
            </w:r>
          </w:p>
          <w:p w:rsidR="0089332D" w:rsidRPr="0089332D" w:rsidP="00DE6B1D">
            <w:pPr>
              <w:bidi w:val="0"/>
              <w:spacing w:after="0" w:line="240" w:lineRule="auto"/>
              <w:jc w:val="both"/>
              <w:rPr>
                <w:rFonts w:ascii="Times New Roman" w:hAnsi="Times New Roman"/>
              </w:rPr>
            </w:pP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9332D" w:rsidRPr="0089332D" w:rsidP="00DE6B1D">
            <w:pPr>
              <w:bidi w:val="0"/>
              <w:spacing w:after="0" w:line="240" w:lineRule="auto"/>
              <w:rPr>
                <w:rFonts w:ascii="Times New Roman" w:hAnsi="Times New Roman"/>
                <w:b/>
              </w:rPr>
            </w:pPr>
            <w:r w:rsidRPr="0089332D">
              <w:rPr>
                <w:rFonts w:ascii="Times New Roman" w:hAnsi="Times New Roman"/>
                <w:b/>
              </w:rPr>
              <w:t>Riadenie procesu informatizácie</w:t>
            </w:r>
          </w:p>
        </w:tc>
        <w:tc>
          <w:tcPr>
            <w:tcW w:w="399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9332D" w:rsidRPr="0089332D" w:rsidP="00DE6B1D">
            <w:pPr>
              <w:bidi w:val="0"/>
              <w:spacing w:after="0" w:line="240" w:lineRule="auto"/>
              <w:jc w:val="center"/>
              <w:rPr>
                <w:rFonts w:ascii="Times New Roman" w:hAnsi="Times New Roman"/>
                <w:b/>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rPr>
            </w:pPr>
            <w:r w:rsidRPr="0089332D">
              <w:rPr>
                <w:rFonts w:ascii="Times New Roman" w:hAnsi="Times New Roman"/>
                <w:b/>
              </w:rPr>
              <w:t>6.13.</w:t>
            </w:r>
            <w:r w:rsidRPr="0089332D">
              <w:rPr>
                <w:rFonts w:ascii="Times New Roman" w:hAnsi="Times New Roman"/>
              </w:rPr>
              <w:t xml:space="preserve"> Predpokladajú sa zmeny v riadení procesu informatizácie?</w:t>
            </w:r>
          </w:p>
          <w:p w:rsidR="0089332D" w:rsidRPr="0089332D" w:rsidP="00DE6B1D">
            <w:pPr>
              <w:bidi w:val="0"/>
              <w:spacing w:after="0" w:line="240" w:lineRule="auto"/>
              <w:jc w:val="both"/>
              <w:rPr>
                <w:rFonts w:ascii="Times New Roman" w:hAnsi="Times New Roman"/>
              </w:rPr>
            </w:pPr>
            <w:r w:rsidRPr="0089332D">
              <w:rPr>
                <w:rFonts w:ascii="Times New Roman" w:hAnsi="Times New Roman"/>
                <w:i/>
                <w:iCs/>
              </w:rPr>
              <w:t>(Uveďte popis zmien.)</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9332D" w:rsidRPr="0089332D" w:rsidP="00DE6B1D">
            <w:pPr>
              <w:bidi w:val="0"/>
              <w:spacing w:after="0" w:line="240" w:lineRule="auto"/>
              <w:jc w:val="both"/>
              <w:rPr>
                <w:rFonts w:ascii="Times New Roman" w:hAnsi="Times New Roman"/>
                <w:b/>
              </w:rPr>
            </w:pPr>
            <w:r w:rsidRPr="0089332D">
              <w:rPr>
                <w:rFonts w:ascii="Times New Roman" w:hAnsi="Times New Roman"/>
                <w:b/>
              </w:rPr>
              <w:t>Financovanie procesu informatizácie</w:t>
            </w:r>
          </w:p>
        </w:tc>
        <w:tc>
          <w:tcPr>
            <w:tcW w:w="399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9332D" w:rsidRPr="0089332D" w:rsidP="00DE6B1D">
            <w:pPr>
              <w:bidi w:val="0"/>
              <w:spacing w:after="0" w:line="240" w:lineRule="auto"/>
              <w:rPr>
                <w:rFonts w:ascii="Times New Roman" w:hAnsi="Times New Roman"/>
                <w:b/>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jc w:val="both"/>
              <w:rPr>
                <w:rFonts w:ascii="Times New Roman" w:hAnsi="Times New Roman"/>
              </w:rPr>
            </w:pPr>
            <w:r w:rsidRPr="0089332D">
              <w:rPr>
                <w:rFonts w:ascii="Times New Roman" w:hAnsi="Times New Roman"/>
                <w:b/>
              </w:rPr>
              <w:t>6.14.</w:t>
            </w:r>
            <w:r w:rsidRPr="0089332D">
              <w:rPr>
                <w:rFonts w:ascii="Times New Roman" w:hAnsi="Times New Roman"/>
              </w:rPr>
              <w:t xml:space="preserve"> Vyžaduje si proces informatizácie finančné investície?</w:t>
            </w:r>
          </w:p>
          <w:p w:rsidR="0089332D" w:rsidRPr="0089332D" w:rsidP="00DE6B1D">
            <w:pPr>
              <w:bidi w:val="0"/>
              <w:spacing w:after="0" w:line="240" w:lineRule="auto"/>
              <w:rPr>
                <w:rFonts w:ascii="Times New Roman" w:hAnsi="Times New Roman"/>
              </w:rPr>
            </w:pPr>
            <w:r w:rsidRPr="0089332D">
              <w:rPr>
                <w:rFonts w:ascii="Times New Roman" w:hAnsi="Times New Roman"/>
                <w:i/>
                <w:iCs/>
              </w:rPr>
              <w:t>(Popíšte príslušnú úroveň financovania.)</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pStyle w:val="NormalWeb"/>
              <w:bidi w:val="0"/>
              <w:spacing w:before="0" w:after="0" w:line="240" w:lineRule="auto"/>
              <w:rPr>
                <w:rFonts w:ascii="Times New Roman" w:hAnsi="Times New Roman"/>
                <w:color w:val="auto"/>
              </w:rPr>
            </w:pPr>
            <w:r w:rsidRPr="0089332D">
              <w:rPr>
                <w:rFonts w:ascii="Times New Roman" w:hAnsi="Times New Roman"/>
                <w:iCs/>
                <w:color w:val="auto"/>
              </w:rPr>
              <w:t>Je možné predpokladať aj určité finančné náklady súvisiace s implementáciou úpravy mini one-stop-shopu.</w:t>
            </w:r>
            <w:r w:rsidRPr="0089332D">
              <w:rPr>
                <w:rFonts w:ascii="Times New Roman" w:hAnsi="Times New Roman"/>
                <w:color w:val="auto"/>
              </w:rPr>
              <w:t xml:space="preserve"> Na implementáciu tejto úpravy finančná správa počíta s finančnými prostriedkami v rozsahu cca 1 mil. eur.</w:t>
            </w: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9332D" w:rsidRPr="0089332D" w:rsidP="00DE6B1D">
            <w:pPr>
              <w:bidi w:val="0"/>
              <w:spacing w:after="0" w:line="240" w:lineRule="auto"/>
              <w:jc w:val="both"/>
              <w:rPr>
                <w:rFonts w:ascii="Times New Roman" w:hAnsi="Times New Roman"/>
                <w:b/>
              </w:rPr>
            </w:pPr>
            <w:r w:rsidRPr="0089332D">
              <w:rPr>
                <w:rFonts w:ascii="Times New Roman" w:hAnsi="Times New Roman"/>
                <w:b/>
              </w:rPr>
              <w:t>Legislatívne prostredie procesu informatizácie</w:t>
            </w:r>
          </w:p>
        </w:tc>
        <w:tc>
          <w:tcPr>
            <w:tcW w:w="399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89332D" w:rsidRPr="0089332D" w:rsidP="00DE6B1D">
            <w:pPr>
              <w:bidi w:val="0"/>
              <w:spacing w:after="0" w:line="240" w:lineRule="auto"/>
              <w:rPr>
                <w:rFonts w:ascii="Times New Roman" w:hAnsi="Times New Roman"/>
                <w:b/>
                <w:i/>
                <w:iCs/>
              </w:rPr>
            </w:pPr>
          </w:p>
        </w:tc>
      </w:tr>
      <w:tr>
        <w:tblPrEx>
          <w:tblW w:w="9229"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rPr>
            </w:pPr>
            <w:r w:rsidRPr="0089332D">
              <w:rPr>
                <w:rFonts w:ascii="Times New Roman" w:hAnsi="Times New Roman"/>
                <w:b/>
              </w:rPr>
              <w:t>6.15.</w:t>
            </w:r>
            <w:r w:rsidRPr="0089332D">
              <w:rPr>
                <w:rFonts w:ascii="Times New Roman" w:hAnsi="Times New Roman"/>
              </w:rPr>
              <w:t xml:space="preserve"> Predpokladá nelegislatívny materiál potrebu úpravy legislatívneho prostredia  procesu informatizácie?</w:t>
            </w:r>
          </w:p>
          <w:p w:rsidR="0089332D" w:rsidRPr="0089332D" w:rsidP="00DE6B1D">
            <w:pPr>
              <w:bidi w:val="0"/>
              <w:spacing w:after="0" w:line="240" w:lineRule="auto"/>
              <w:rPr>
                <w:rFonts w:ascii="Times New Roman" w:hAnsi="Times New Roman"/>
              </w:rPr>
            </w:pPr>
            <w:r w:rsidRPr="0089332D">
              <w:rPr>
                <w:rFonts w:ascii="Times New Roman" w:hAnsi="Times New Roman"/>
                <w:i/>
                <w:iCs/>
              </w:rPr>
              <w:t>(Stručne popíšte navrhované legislatívne zmeny.)</w:t>
            </w:r>
          </w:p>
        </w:tc>
        <w:tc>
          <w:tcPr>
            <w:tcW w:w="3994" w:type="dxa"/>
            <w:tcBorders>
              <w:top w:val="single" w:sz="4" w:space="0" w:color="auto"/>
              <w:left w:val="single" w:sz="4" w:space="0" w:color="auto"/>
              <w:bottom w:val="single" w:sz="4" w:space="0" w:color="auto"/>
              <w:right w:val="single" w:sz="4" w:space="0" w:color="auto"/>
            </w:tcBorders>
            <w:textDirection w:val="lrTb"/>
            <w:vAlign w:val="top"/>
          </w:tcPr>
          <w:p w:rsidR="0089332D" w:rsidRPr="0089332D" w:rsidP="00DE6B1D">
            <w:pPr>
              <w:bidi w:val="0"/>
              <w:spacing w:after="0" w:line="240" w:lineRule="auto"/>
              <w:rPr>
                <w:rFonts w:ascii="Times New Roman" w:hAnsi="Times New Roman"/>
                <w:i/>
                <w:iCs/>
              </w:rPr>
            </w:pPr>
          </w:p>
        </w:tc>
      </w:tr>
    </w:tbl>
    <w:p w:rsidR="0089332D" w:rsidRPr="0089332D" w:rsidP="0089332D">
      <w:pPr>
        <w:bidi w:val="0"/>
        <w:jc w:val="center"/>
        <w:rPr>
          <w:rFonts w:ascii="Times New Roman" w:hAnsi="Times New Roman"/>
          <w:b/>
        </w:rPr>
      </w:pPr>
    </w:p>
    <w:p w:rsidR="0089332D" w:rsidRPr="0089332D" w:rsidP="0089332D">
      <w:pPr>
        <w:pStyle w:val="Title"/>
        <w:bidi w:val="0"/>
        <w:rPr>
          <w:rFonts w:ascii="Times New Roman" w:hAnsi="Times New Roman"/>
        </w:rPr>
      </w:pPr>
    </w:p>
    <w:p w:rsidR="0089332D" w:rsidRPr="0089332D" w:rsidP="0089332D">
      <w:pPr>
        <w:bidi w:val="0"/>
        <w:jc w:val="center"/>
        <w:rPr>
          <w:rFonts w:ascii="Times New Roman" w:hAnsi="Times New Roman"/>
          <w:b/>
          <w:caps/>
          <w:spacing w:val="30"/>
        </w:rPr>
      </w:pPr>
      <w:r w:rsidRPr="0089332D">
        <w:rPr>
          <w:rFonts w:ascii="Times New Roman" w:hAnsi="Times New Roman"/>
          <w:b/>
          <w:caps/>
          <w:spacing w:val="30"/>
        </w:rPr>
        <w:t>Doložka zlučiteľnosti</w:t>
      </w:r>
    </w:p>
    <w:p w:rsidR="0089332D" w:rsidRPr="0089332D" w:rsidP="0089332D">
      <w:pPr>
        <w:bidi w:val="0"/>
        <w:jc w:val="center"/>
        <w:rPr>
          <w:rFonts w:ascii="Times New Roman" w:hAnsi="Times New Roman"/>
          <w:b/>
        </w:rPr>
      </w:pPr>
      <w:r w:rsidRPr="0089332D">
        <w:rPr>
          <w:rFonts w:ascii="Times New Roman" w:hAnsi="Times New Roman"/>
          <w:b/>
        </w:rPr>
        <w:t>právneho predpisu s právom Európskej únie </w:t>
      </w:r>
    </w:p>
    <w:p w:rsidR="0089332D" w:rsidRPr="0089332D" w:rsidP="0089332D">
      <w:pPr>
        <w:bidi w:val="0"/>
        <w:rPr>
          <w:rFonts w:ascii="Times New Roman" w:hAnsi="Times New Roman"/>
        </w:rPr>
      </w:pPr>
    </w:p>
    <w:p w:rsidR="0089332D" w:rsidRPr="0089332D" w:rsidP="0089332D">
      <w:pPr>
        <w:bidi w:val="0"/>
        <w:rPr>
          <w:rFonts w:ascii="Times New Roman" w:hAnsi="Times New Roman"/>
        </w:rPr>
      </w:pPr>
    </w:p>
    <w:p w:rsidR="0089332D" w:rsidRPr="0089332D" w:rsidP="0089332D">
      <w:pPr>
        <w:bidi w:val="0"/>
        <w:ind w:left="360" w:hanging="360"/>
        <w:rPr>
          <w:rFonts w:ascii="Times New Roman" w:hAnsi="Times New Roman"/>
          <w:b/>
        </w:rPr>
      </w:pPr>
      <w:r w:rsidRPr="0089332D">
        <w:rPr>
          <w:rFonts w:ascii="Times New Roman" w:hAnsi="Times New Roman"/>
          <w:b/>
        </w:rPr>
        <w:t>1.</w:t>
        <w:tab/>
        <w:t>Predkladateľ právneho predpisu:</w:t>
      </w:r>
      <w:r w:rsidRPr="0089332D">
        <w:rPr>
          <w:rFonts w:ascii="Times New Roman" w:hAnsi="Times New Roman"/>
        </w:rPr>
        <w:t xml:space="preserve"> vláda Slovenskej republiky </w:t>
      </w:r>
    </w:p>
    <w:p w:rsidR="0089332D" w:rsidRPr="0089332D" w:rsidP="0089332D">
      <w:pPr>
        <w:tabs>
          <w:tab w:val="left" w:pos="360"/>
        </w:tabs>
        <w:bidi w:val="0"/>
        <w:ind w:left="360"/>
        <w:rPr>
          <w:rFonts w:ascii="Times New Roman" w:hAnsi="Times New Roman"/>
        </w:rPr>
      </w:pPr>
      <w:r w:rsidRPr="0089332D">
        <w:rPr>
          <w:rFonts w:ascii="Times New Roman" w:hAnsi="Times New Roman"/>
        </w:rPr>
        <w:t xml:space="preserve"> </w:t>
      </w:r>
    </w:p>
    <w:p w:rsidR="0089332D" w:rsidRPr="0089332D" w:rsidP="0089332D">
      <w:pPr>
        <w:bidi w:val="0"/>
        <w:ind w:left="360" w:hanging="360"/>
        <w:rPr>
          <w:rFonts w:ascii="Times New Roman" w:hAnsi="Times New Roman"/>
          <w:b/>
        </w:rPr>
      </w:pPr>
      <w:r w:rsidRPr="0089332D">
        <w:rPr>
          <w:rFonts w:ascii="Times New Roman" w:hAnsi="Times New Roman"/>
          <w:b/>
        </w:rPr>
        <w:t>2.</w:t>
        <w:tab/>
        <w:t>Názov návrhu právneho predpisu:</w:t>
      </w:r>
      <w:r w:rsidRPr="0089332D">
        <w:rPr>
          <w:rFonts w:ascii="Times New Roman" w:hAnsi="Times New Roman"/>
        </w:rPr>
        <w:t xml:space="preserve"> Návrh zákona, ktorým sa mení a dopĺňa zákon č. 222/2004 Z. z. o dani z pridanej hodnoty v znení neskorších predpisov a ktorým sa menia a dopĺňajú niektoré zákony </w:t>
      </w:r>
    </w:p>
    <w:p w:rsidR="0089332D" w:rsidRPr="0089332D" w:rsidP="0089332D">
      <w:pPr>
        <w:bidi w:val="0"/>
        <w:rPr>
          <w:rFonts w:ascii="Times New Roman" w:hAnsi="Times New Roman"/>
        </w:rPr>
      </w:pPr>
    </w:p>
    <w:p w:rsidR="0089332D" w:rsidRPr="0089332D" w:rsidP="0089332D">
      <w:pPr>
        <w:bidi w:val="0"/>
        <w:ind w:left="360" w:hanging="360"/>
        <w:rPr>
          <w:rFonts w:ascii="Times New Roman" w:hAnsi="Times New Roman"/>
          <w:b/>
        </w:rPr>
      </w:pPr>
      <w:r w:rsidRPr="0089332D">
        <w:rPr>
          <w:rFonts w:ascii="Times New Roman" w:hAnsi="Times New Roman"/>
          <w:b/>
        </w:rPr>
        <w:t>3.</w:t>
        <w:tab/>
        <w:t>Problematika návrhu právneho predpisu:</w:t>
      </w:r>
    </w:p>
    <w:p w:rsidR="0089332D" w:rsidRPr="0089332D" w:rsidP="0089332D">
      <w:pPr>
        <w:bidi w:val="0"/>
        <w:ind w:firstLine="360"/>
        <w:rPr>
          <w:rFonts w:ascii="Times New Roman" w:hAnsi="Times New Roman"/>
        </w:rPr>
      </w:pPr>
    </w:p>
    <w:p w:rsidR="0089332D" w:rsidRPr="0089332D" w:rsidP="0089332D">
      <w:pPr>
        <w:bidi w:val="0"/>
        <w:ind w:left="709" w:hanging="349"/>
        <w:rPr>
          <w:rFonts w:ascii="Times New Roman" w:hAnsi="Times New Roman"/>
        </w:rPr>
      </w:pPr>
      <w:r w:rsidRPr="0089332D">
        <w:rPr>
          <w:rFonts w:ascii="Times New Roman" w:hAnsi="Times New Roman"/>
        </w:rPr>
        <w:t>a)</w:t>
        <w:tab/>
        <w:t>je upravená v práve Európskej únie</w:t>
      </w:r>
    </w:p>
    <w:p w:rsidR="0089332D" w:rsidRPr="0089332D" w:rsidP="0089332D">
      <w:pPr>
        <w:bidi w:val="0"/>
        <w:ind w:left="360"/>
        <w:rPr>
          <w:rFonts w:ascii="Times New Roman" w:hAnsi="Times New Roman"/>
        </w:rPr>
      </w:pPr>
    </w:p>
    <w:p w:rsidR="0089332D" w:rsidRPr="0089332D" w:rsidP="0089332D">
      <w:pPr>
        <w:tabs>
          <w:tab w:val="left" w:pos="1068"/>
        </w:tabs>
        <w:bidi w:val="0"/>
        <w:ind w:left="879" w:hanging="171"/>
        <w:rPr>
          <w:rFonts w:ascii="Times New Roman" w:hAnsi="Times New Roman"/>
          <w:i/>
        </w:rPr>
      </w:pPr>
      <w:r w:rsidRPr="0089332D">
        <w:rPr>
          <w:rFonts w:ascii="Times New Roman" w:hAnsi="Times New Roman"/>
        </w:rPr>
        <w:t>-</w:t>
        <w:tab/>
      </w:r>
      <w:r w:rsidRPr="0089332D">
        <w:rPr>
          <w:rFonts w:ascii="Times New Roman" w:hAnsi="Times New Roman"/>
          <w:i/>
        </w:rPr>
        <w:t>primárnom</w:t>
      </w:r>
    </w:p>
    <w:p w:rsidR="0089332D" w:rsidRPr="0089332D" w:rsidP="0089332D">
      <w:pPr>
        <w:bidi w:val="0"/>
        <w:ind w:left="851"/>
        <w:rPr>
          <w:rFonts w:ascii="Times New Roman" w:hAnsi="Times New Roman"/>
        </w:rPr>
      </w:pPr>
    </w:p>
    <w:p w:rsidR="0089332D" w:rsidRPr="0089332D" w:rsidP="0089332D">
      <w:pPr>
        <w:bidi w:val="0"/>
        <w:ind w:left="851"/>
        <w:rPr>
          <w:rFonts w:ascii="Times New Roman" w:hAnsi="Times New Roman"/>
        </w:rPr>
      </w:pPr>
      <w:r w:rsidRPr="0089332D">
        <w:rPr>
          <w:rFonts w:ascii="Times New Roman" w:hAnsi="Times New Roman"/>
        </w:rPr>
        <w:t xml:space="preserve">- čl. 110 až 113, čl. 349 a 355 ods. 1 Zmluvy o fungovaní Európskej únie, </w:t>
        <w:br/>
        <w:t xml:space="preserve">- čl. 52 Zmluvy o Európskej únii. </w:t>
        <w:br/>
        <w:t> </w:t>
      </w:r>
    </w:p>
    <w:p w:rsidR="0089332D" w:rsidRPr="0089332D" w:rsidP="0089332D">
      <w:pPr>
        <w:tabs>
          <w:tab w:val="left" w:pos="1068"/>
        </w:tabs>
        <w:bidi w:val="0"/>
        <w:ind w:left="879" w:hanging="171"/>
        <w:rPr>
          <w:rFonts w:ascii="Times New Roman" w:hAnsi="Times New Roman"/>
          <w:i/>
        </w:rPr>
      </w:pPr>
      <w:r w:rsidRPr="0089332D">
        <w:rPr>
          <w:rFonts w:ascii="Times New Roman" w:hAnsi="Times New Roman"/>
        </w:rPr>
        <w:t>-</w:t>
        <w:tab/>
      </w:r>
      <w:r w:rsidRPr="0089332D">
        <w:rPr>
          <w:rFonts w:ascii="Times New Roman" w:hAnsi="Times New Roman"/>
          <w:i/>
        </w:rPr>
        <w:t>sekundárnom (prijatom po nadobudnutím platnosti Lisabonskej zmluvy, ktorou sa mení a dopĺňa Zmluva o Európskom spoločenstve a Zmluva o Európskej únii – po 30. novembri 2009)</w:t>
      </w:r>
    </w:p>
    <w:p w:rsidR="0089332D" w:rsidRPr="0089332D" w:rsidP="0089332D">
      <w:pPr>
        <w:tabs>
          <w:tab w:val="left" w:pos="1068"/>
        </w:tabs>
        <w:bidi w:val="0"/>
        <w:ind w:left="879" w:hanging="171"/>
        <w:rPr>
          <w:rFonts w:ascii="Times New Roman" w:hAnsi="Times New Roman"/>
          <w:i/>
        </w:rPr>
      </w:pPr>
    </w:p>
    <w:p w:rsidR="0089332D" w:rsidRPr="0089332D" w:rsidP="0089332D">
      <w:pPr>
        <w:bidi w:val="0"/>
        <w:ind w:left="1239" w:hanging="360"/>
        <w:rPr>
          <w:rFonts w:ascii="Times New Roman" w:hAnsi="Times New Roman"/>
          <w:i/>
        </w:rPr>
      </w:pPr>
      <w:r w:rsidRPr="0089332D">
        <w:rPr>
          <w:rFonts w:ascii="Times New Roman" w:hAnsi="Times New Roman"/>
        </w:rPr>
        <w:t>1.</w:t>
        <w:tab/>
        <w:t xml:space="preserve">legislatívne akty </w:t>
      </w:r>
    </w:p>
    <w:p w:rsidR="0089332D" w:rsidRPr="0089332D" w:rsidP="0089332D">
      <w:pPr>
        <w:bidi w:val="0"/>
        <w:ind w:firstLine="360"/>
        <w:rPr>
          <w:rFonts w:ascii="Times New Roman" w:hAnsi="Times New Roman"/>
        </w:rPr>
      </w:pPr>
    </w:p>
    <w:p w:rsidR="0089332D" w:rsidRPr="0089332D" w:rsidP="0089332D">
      <w:pPr>
        <w:bidi w:val="0"/>
        <w:ind w:left="851"/>
        <w:rPr>
          <w:rFonts w:ascii="Times New Roman" w:hAnsi="Times New Roman"/>
        </w:rPr>
      </w:pPr>
      <w:r w:rsidRPr="0089332D">
        <w:rPr>
          <w:rFonts w:ascii="Times New Roman" w:hAnsi="Times New Roman"/>
        </w:rPr>
        <w:t>smernica Rady 2013/61/EÚ zo 17. decembra 2013, ktorou sa menia smernice 2006/112/ES a 2008/118/ES, pokiaľ ide o najvzdialenejšie francúzske regióny, a najmä Mayotte (Ú. v. EÚ L 353, 28.12.2013). </w:t>
      </w:r>
    </w:p>
    <w:p w:rsidR="0089332D" w:rsidRPr="0089332D" w:rsidP="0089332D">
      <w:pPr>
        <w:bidi w:val="0"/>
        <w:ind w:left="851"/>
        <w:rPr>
          <w:rFonts w:ascii="Times New Roman" w:hAnsi="Times New Roman"/>
        </w:rPr>
      </w:pPr>
    </w:p>
    <w:p w:rsidR="0089332D" w:rsidRPr="0089332D" w:rsidP="0089332D">
      <w:pPr>
        <w:bidi w:val="0"/>
        <w:ind w:left="1239" w:hanging="360"/>
        <w:jc w:val="both"/>
        <w:rPr>
          <w:rFonts w:ascii="Times New Roman" w:hAnsi="Times New Roman"/>
          <w:i/>
        </w:rPr>
      </w:pPr>
      <w:r w:rsidRPr="0089332D">
        <w:rPr>
          <w:rFonts w:ascii="Times New Roman" w:hAnsi="Times New Roman"/>
        </w:rPr>
        <w:t>2.</w:t>
        <w:tab/>
        <w:t>nelegislatívne akty</w:t>
      </w:r>
    </w:p>
    <w:p w:rsidR="0089332D" w:rsidRPr="0089332D" w:rsidP="0089332D">
      <w:pPr>
        <w:bidi w:val="0"/>
        <w:ind w:firstLine="708"/>
        <w:jc w:val="both"/>
        <w:rPr>
          <w:rFonts w:ascii="Times New Roman" w:hAnsi="Times New Roman"/>
        </w:rPr>
      </w:pPr>
      <w:r w:rsidRPr="0089332D">
        <w:rPr>
          <w:rFonts w:ascii="Times New Roman" w:hAnsi="Times New Roman"/>
        </w:rPr>
        <w:t xml:space="preserve"> </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89332D" w:rsidRPr="0089332D" w:rsidP="00DE6B1D">
            <w:pPr>
              <w:bidi w:val="0"/>
              <w:spacing w:after="0" w:line="240" w:lineRule="auto"/>
              <w:jc w:val="both"/>
              <w:rPr>
                <w:rFonts w:ascii="Times New Roman" w:hAnsi="Times New Roman"/>
              </w:rPr>
            </w:pPr>
            <w:r w:rsidRPr="0089332D">
              <w:rPr>
                <w:rFonts w:ascii="Times New Roman" w:hAnsi="Times New Roman"/>
              </w:rPr>
              <w:t xml:space="preserve">- nariadenie Rady (EÚ) č. 904/2010 zo 7. októbra 2010 o administratívnej spolupráci a boji proti podvodom v oblasti dane z pridanej hodnoty (Ú. v. EÚ L 268, 12.10. 2010) v platnom znení, </w:t>
              <w:br/>
              <w:t xml:space="preserve">- vykonávacie nariadenie Rady (EÚ) č. 282/2011 z 15. marca 2011, ktorým sa ustanovujú vykonávacie opatrenia smernice 2006/112/ES o spoločnom systéme dane z pridanej hodnoty (Ú. v. EÚ L 77, 23.3.2011) v platnom znení, </w:t>
              <w:br/>
              <w:t xml:space="preserve">- vykonávacie nariadenie Komisie (EÚ) č. 79/2012 z 31. januára 2012, ktorým sa stanovujú podrobné pravidlá vykonávania niektorých ustanovení nariadenia Rady (EÚ) č. 904/2010 o administratívnej spolupráci a boji proti podvodom v oblasti dane z pridanej hodnoty (Ú. v. EÚ L 29, 1.2.2012) v platnom znení, </w:t>
              <w:br/>
              <w:t xml:space="preserve">- vykonávacie nariadenie Komisie (EÚ) č. 815/2012 z 13. septembra 2012, ktorým sa ustanovujú podrobné pravidlá uplatňovania nariadenia Rady (EÚ) č. 904/2010, pokiaľ ide o osobitné úpravy pre neusadené zdaniteľné osoby, ktoré poskytujú telekomunikačné služby, služby rozhlasového a televízneho vysielania alebo elektronické služby nezdaniteľným osobám (Ú. v. EÚ L 249 14. 9. 2012), </w:t>
              <w:br/>
              <w:t xml:space="preserve">- rozhodnutie Európskej rady z 11. júla 2012, ktorým sa mení a dopĺňa štatút Mayotte vo vzťahu k Európskej únii (2012/419/EÚ) (Ú. v. EÚ L 204, 31.7.2012). </w:t>
              <w:br/>
              <w:t> </w:t>
            </w:r>
          </w:p>
        </w:tc>
      </w:tr>
    </w:tbl>
    <w:p w:rsidR="0089332D" w:rsidRPr="0089332D" w:rsidP="0089332D">
      <w:pPr>
        <w:bidi w:val="0"/>
        <w:ind w:firstLine="708"/>
        <w:jc w:val="both"/>
        <w:rPr>
          <w:rFonts w:ascii="Times New Roman" w:hAnsi="Times New Roman"/>
        </w:rPr>
      </w:pPr>
    </w:p>
    <w:p w:rsidR="0089332D" w:rsidRPr="0089332D" w:rsidP="0089332D">
      <w:pPr>
        <w:bidi w:val="0"/>
        <w:ind w:left="879" w:hanging="171"/>
        <w:jc w:val="both"/>
        <w:rPr>
          <w:rFonts w:ascii="Times New Roman" w:hAnsi="Times New Roman"/>
          <w:i/>
        </w:rPr>
      </w:pPr>
      <w:r w:rsidRPr="0089332D">
        <w:rPr>
          <w:rFonts w:ascii="Times New Roman" w:hAnsi="Times New Roman"/>
        </w:rPr>
        <w:t>-</w:t>
        <w:tab/>
      </w:r>
      <w:r w:rsidRPr="0089332D">
        <w:rPr>
          <w:rFonts w:ascii="Times New Roman" w:hAnsi="Times New Roman"/>
          <w:i/>
        </w:rPr>
        <w:t>sekundárnom (prijatom pred nadobudnutím platnosti Lisabonskej zmluvy, ktorou sa mení a dopĺňa Zmluva o Európskom spoločenstve a Zmluva o Európskej únii – do 30. novembra 2009)</w:t>
      </w:r>
    </w:p>
    <w:p w:rsidR="0089332D" w:rsidRPr="0089332D" w:rsidP="0089332D">
      <w:pPr>
        <w:bidi w:val="0"/>
        <w:ind w:firstLine="708"/>
        <w:jc w:val="both"/>
        <w:rPr>
          <w:rFonts w:ascii="Times New Roman" w:hAnsi="Times New Roman"/>
        </w:rPr>
      </w:pP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89332D" w:rsidRPr="0089332D" w:rsidP="00DE6B1D">
            <w:pPr>
              <w:bidi w:val="0"/>
              <w:spacing w:after="0" w:line="240" w:lineRule="auto"/>
              <w:jc w:val="both"/>
              <w:rPr>
                <w:rFonts w:ascii="Times New Roman" w:hAnsi="Times New Roman"/>
              </w:rPr>
            </w:pPr>
            <w:r w:rsidRPr="0089332D">
              <w:rPr>
                <w:rFonts w:ascii="Times New Roman" w:hAnsi="Times New Roman"/>
              </w:rPr>
              <w:br/>
              <w:t xml:space="preserve">- čl. 5 smernice Rady 2008/8/ES z 12. februára 2008, ktorou sa mení a dopĺňa smernica 2006/112/ES, pokiaľ ide o miesto poskytovania služieb (Ú. v. EÚ L 44, 20.2.2008), </w:t>
              <w:br/>
              <w:t xml:space="preserve">- smernica Rady 2008/118/ES zo 16. decembra 2008 o všeobecnom systéme spotrebných daní a o zrušení smernice 92/12/EHS (Ú.v. EÚ L 9, 14.1.2009) v platnom znení, </w:t>
              <w:br/>
              <w:t xml:space="preserve">- smernica Rady 2006/112/ES z 28. novembra 2006 o spoločnom systéme dane z pridanej hodnoty (Ú. v. EÚ L 347, 11.12.2006) v platnom znení, </w:t>
              <w:br/>
              <w:t xml:space="preserve">- nariadenie Rady (ES) č. 1798/2003 zo 7. októbra 2003 o administratívnej spolupráci v oblasti dane z pridanej hodnoty a ktoré zrušuje nariadenie (EHS) č. 218/92 (Mimoriadne vydanie Ú. v. EÚ kap. 9/zv. 1) v platnom znení. </w:t>
              <w:br/>
              <w:t> </w:t>
            </w:r>
          </w:p>
        </w:tc>
      </w:tr>
    </w:tbl>
    <w:p w:rsidR="0089332D" w:rsidRPr="0089332D" w:rsidP="0089332D">
      <w:pPr>
        <w:bidi w:val="0"/>
        <w:ind w:left="709" w:hanging="349"/>
        <w:rPr>
          <w:rFonts w:ascii="Times New Roman" w:hAnsi="Times New Roman"/>
        </w:rPr>
      </w:pPr>
      <w:r w:rsidRPr="0089332D">
        <w:rPr>
          <w:rFonts w:ascii="Times New Roman" w:hAnsi="Times New Roman"/>
        </w:rPr>
        <w:t>b)</w:t>
        <w:tab/>
        <w:t>nie je obsiahnutá v judikatúre Súdneho dvora Európskej únie.</w:t>
      </w:r>
    </w:p>
    <w:p w:rsidR="0089332D" w:rsidRPr="0089332D" w:rsidP="0089332D">
      <w:pPr>
        <w:bidi w:val="0"/>
        <w:ind w:left="360"/>
        <w:rPr>
          <w:rFonts w:ascii="Times New Roman" w:hAnsi="Times New Roman"/>
        </w:rPr>
      </w:pPr>
    </w:p>
    <w:p w:rsidR="0089332D" w:rsidRPr="0089332D" w:rsidP="0089332D">
      <w:pPr>
        <w:bidi w:val="0"/>
        <w:rPr>
          <w:rFonts w:ascii="Times New Roman" w:hAnsi="Times New Roman"/>
        </w:rPr>
      </w:pPr>
    </w:p>
    <w:p w:rsidR="0089332D" w:rsidRPr="0089332D" w:rsidP="0089332D">
      <w:pPr>
        <w:bidi w:val="0"/>
        <w:ind w:left="360" w:hanging="360"/>
        <w:rPr>
          <w:rFonts w:ascii="Times New Roman" w:hAnsi="Times New Roman"/>
          <w:b/>
        </w:rPr>
      </w:pPr>
      <w:r w:rsidRPr="0089332D">
        <w:rPr>
          <w:rFonts w:ascii="Times New Roman" w:hAnsi="Times New Roman"/>
          <w:b/>
        </w:rPr>
        <w:t>4.</w:t>
        <w:tab/>
        <w:t xml:space="preserve">Záväzky Slovenskej republiky vo vzťahu k Európskej únii: </w:t>
      </w:r>
    </w:p>
    <w:p w:rsidR="0089332D" w:rsidRPr="0089332D" w:rsidP="0089332D">
      <w:pPr>
        <w:bidi w:val="0"/>
        <w:rPr>
          <w:rFonts w:ascii="Times New Roman" w:hAnsi="Times New Roman"/>
        </w:rPr>
      </w:pPr>
    </w:p>
    <w:p w:rsidR="0089332D" w:rsidRPr="0089332D" w:rsidP="0089332D">
      <w:pPr>
        <w:bidi w:val="0"/>
        <w:ind w:left="709" w:hanging="349"/>
        <w:rPr>
          <w:rFonts w:ascii="Times New Roman" w:hAnsi="Times New Roman"/>
        </w:rPr>
      </w:pPr>
      <w:r w:rsidRPr="0089332D">
        <w:rPr>
          <w:rFonts w:ascii="Times New Roman" w:hAnsi="Times New Roman"/>
        </w:rPr>
        <w:t>a)</w:t>
        <w:tab/>
        <w:t>lehota na prebratie smernice alebo lehota na implementáciu nariadenia alebo rozhodnutia</w:t>
      </w:r>
    </w:p>
    <w:p w:rsidR="0089332D" w:rsidRPr="0089332D" w:rsidP="0089332D">
      <w:pPr>
        <w:bidi w:val="0"/>
        <w:ind w:left="720"/>
        <w:rPr>
          <w:rFonts w:ascii="Times New Roman" w:hAnsi="Times New Roman"/>
        </w:rPr>
      </w:pPr>
    </w:p>
    <w:p w:rsidR="0089332D" w:rsidRPr="0089332D" w:rsidP="0089332D">
      <w:pPr>
        <w:bidi w:val="0"/>
        <w:ind w:left="720"/>
        <w:rPr>
          <w:rFonts w:ascii="Times New Roman" w:hAnsi="Times New Roman"/>
        </w:rPr>
      </w:pPr>
      <w:r w:rsidRPr="0089332D">
        <w:rPr>
          <w:rFonts w:ascii="Times New Roman" w:hAnsi="Times New Roman"/>
        </w:rPr>
        <w:t>Lehota na prebratie čl. 5 smernice 2008/8/ES bola stanovená do 1.1. 2015. Lehota na prebratie smernice 2013/61/EÚ bola stanovená do 1.1. 2014. </w:t>
      </w:r>
    </w:p>
    <w:p w:rsidR="0089332D" w:rsidRPr="0089332D" w:rsidP="0089332D">
      <w:pPr>
        <w:bidi w:val="0"/>
        <w:rPr>
          <w:rFonts w:ascii="Times New Roman" w:hAnsi="Times New Roman"/>
        </w:rPr>
      </w:pPr>
    </w:p>
    <w:p w:rsidR="0089332D" w:rsidRPr="0089332D" w:rsidP="0089332D">
      <w:pPr>
        <w:bidi w:val="0"/>
        <w:ind w:left="709" w:hanging="349"/>
        <w:rPr>
          <w:rFonts w:ascii="Times New Roman" w:hAnsi="Times New Roman"/>
        </w:rPr>
      </w:pPr>
      <w:r w:rsidRPr="0089332D">
        <w:rPr>
          <w:rFonts w:ascii="Times New Roman" w:hAnsi="Times New Roman"/>
        </w:rPr>
        <w:t>b)</w:t>
        <w:tab/>
      </w:r>
      <w:r w:rsidRPr="0089332D">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89332D" w:rsidRPr="0089332D" w:rsidP="0089332D">
      <w:pPr>
        <w:bidi w:val="0"/>
        <w:ind w:left="709" w:hanging="349"/>
        <w:rPr>
          <w:rFonts w:ascii="Times New Roman" w:hAnsi="Times New Roman"/>
        </w:rPr>
      </w:pPr>
      <w:r w:rsidRPr="0089332D">
        <w:rPr>
          <w:rFonts w:ascii="Times New Roman" w:hAnsi="Times New Roman"/>
        </w:rPr>
        <w:tab/>
      </w:r>
    </w:p>
    <w:p w:rsidR="0089332D" w:rsidRPr="0089332D" w:rsidP="0089332D">
      <w:pPr>
        <w:bidi w:val="0"/>
        <w:ind w:left="709" w:hanging="349"/>
        <w:rPr>
          <w:rFonts w:ascii="Times New Roman" w:hAnsi="Times New Roman"/>
        </w:rPr>
      </w:pPr>
      <w:r w:rsidRPr="0089332D">
        <w:rPr>
          <w:rFonts w:ascii="Times New Roman" w:hAnsi="Times New Roman"/>
        </w:rPr>
        <w:tab/>
        <w:t xml:space="preserve"> Lehota na predloženie návrhu právneho predpisu na rokovanie vlády podľa určenia gestorských ústredných orgánov štátnej správy zodpovedných za prebratie smerníc a vypracovanie tabuliek zhody k návrhom všeobecne záväzných právnych predpisov, ktorým sa zabezpečí prebratie čl. 5 smernice 2008/8/ES, bola určená do 30.9. 2014. Lehota na predloženie návrhu právneho prepisu, ktorým sa zabezpečí prebratie smernice 2013/61/EÚ, nebola zatiaľ určená. </w:t>
      </w:r>
    </w:p>
    <w:p w:rsidR="0089332D" w:rsidRPr="0089332D" w:rsidP="0089332D">
      <w:pPr>
        <w:bidi w:val="0"/>
        <w:ind w:left="709" w:hanging="349"/>
        <w:rPr>
          <w:rFonts w:ascii="Times New Roman" w:hAnsi="Times New Roman"/>
        </w:rPr>
      </w:pPr>
    </w:p>
    <w:p w:rsidR="0089332D" w:rsidRPr="0089332D" w:rsidP="0089332D">
      <w:pPr>
        <w:bidi w:val="0"/>
        <w:ind w:left="709" w:hanging="349"/>
        <w:rPr>
          <w:rFonts w:ascii="Times New Roman" w:hAnsi="Times New Roman"/>
        </w:rPr>
      </w:pPr>
      <w:r w:rsidRPr="0089332D">
        <w:rPr>
          <w:rFonts w:ascii="Times New Roman" w:hAnsi="Times New Roman"/>
        </w:rPr>
        <w:t>c)</w:t>
        <w:tab/>
        <w:t>informácia o konaní začatom proti Slovenskej republike o porušení podľa čl. 258 až 260 Zmluvy o fungovaní Európskej únie</w:t>
      </w:r>
    </w:p>
    <w:p w:rsidR="0089332D" w:rsidRPr="0089332D" w:rsidP="0089332D">
      <w:pPr>
        <w:bidi w:val="0"/>
        <w:ind w:left="720"/>
        <w:rPr>
          <w:rFonts w:ascii="Times New Roman" w:hAnsi="Times New Roman"/>
        </w:rPr>
      </w:pPr>
    </w:p>
    <w:p w:rsidR="0089332D" w:rsidRPr="0089332D" w:rsidP="0089332D">
      <w:pPr>
        <w:bidi w:val="0"/>
        <w:ind w:firstLine="708"/>
        <w:rPr>
          <w:rFonts w:ascii="Times New Roman" w:hAnsi="Times New Roman"/>
        </w:rPr>
      </w:pPr>
      <w:r w:rsidRPr="0089332D">
        <w:rPr>
          <w:rFonts w:ascii="Times New Roman" w:hAnsi="Times New Roman"/>
        </w:rPr>
        <w:t>Proti Slovenskej republike nebolo začaté konanie o porušení Zmluvy o založení Európskych spoločenstiev podľa čl. 258 až 260 Zmluvy o fungovaní Európskej únie. </w:t>
      </w:r>
    </w:p>
    <w:p w:rsidR="0089332D" w:rsidRPr="0089332D" w:rsidP="0089332D">
      <w:pPr>
        <w:bidi w:val="0"/>
        <w:ind w:firstLine="708"/>
        <w:rPr>
          <w:rFonts w:ascii="Times New Roman" w:hAnsi="Times New Roman"/>
        </w:rPr>
      </w:pPr>
    </w:p>
    <w:p w:rsidR="0089332D" w:rsidRPr="0089332D" w:rsidP="0089332D">
      <w:pPr>
        <w:bidi w:val="0"/>
        <w:ind w:left="709" w:hanging="349"/>
        <w:rPr>
          <w:rFonts w:ascii="Times New Roman" w:hAnsi="Times New Roman"/>
        </w:rPr>
      </w:pPr>
      <w:r w:rsidRPr="0089332D">
        <w:rPr>
          <w:rFonts w:ascii="Times New Roman" w:hAnsi="Times New Roman"/>
        </w:rPr>
        <w:t>d)</w:t>
        <w:tab/>
        <w:t>informácia o právnych predpisoch, v ktorých sú preberané smernice už prebraté spolu s uvedením rozsahu tohto prebratia</w:t>
      </w:r>
    </w:p>
    <w:p w:rsidR="0089332D" w:rsidRPr="0089332D" w:rsidP="0089332D">
      <w:pPr>
        <w:bidi w:val="0"/>
        <w:ind w:left="720"/>
        <w:rPr>
          <w:rFonts w:ascii="Times New Roman" w:hAnsi="Times New Roman"/>
        </w:rPr>
      </w:pPr>
    </w:p>
    <w:p w:rsidR="0089332D" w:rsidRPr="0089332D" w:rsidP="0089332D">
      <w:pPr>
        <w:bidi w:val="0"/>
        <w:ind w:firstLine="708"/>
        <w:rPr>
          <w:rFonts w:ascii="Times New Roman" w:hAnsi="Times New Roman"/>
        </w:rPr>
      </w:pPr>
      <w:r w:rsidRPr="0089332D">
        <w:rPr>
          <w:rFonts w:ascii="Times New Roman" w:hAnsi="Times New Roman"/>
        </w:rPr>
        <w:t>Smernica 2008/8/ES bola prebratá do zákona č. 222/2004 Z. z. o dani z pridanej hodnoty v znení neskorších predpisov. </w:t>
      </w:r>
    </w:p>
    <w:p w:rsidR="0089332D" w:rsidRPr="0089332D" w:rsidP="0089332D">
      <w:pPr>
        <w:bidi w:val="0"/>
        <w:ind w:firstLine="708"/>
        <w:rPr>
          <w:rFonts w:ascii="Times New Roman" w:hAnsi="Times New Roman"/>
        </w:rPr>
      </w:pPr>
    </w:p>
    <w:p w:rsidR="0089332D" w:rsidRPr="0089332D" w:rsidP="0089332D">
      <w:pPr>
        <w:bidi w:val="0"/>
        <w:ind w:left="360" w:hanging="360"/>
        <w:rPr>
          <w:rFonts w:ascii="Times New Roman" w:hAnsi="Times New Roman"/>
          <w:b/>
        </w:rPr>
      </w:pPr>
      <w:r w:rsidRPr="0089332D">
        <w:rPr>
          <w:rFonts w:ascii="Times New Roman" w:hAnsi="Times New Roman"/>
          <w:b/>
        </w:rPr>
        <w:t>5.</w:t>
        <w:tab/>
        <w:t>Stupeň zlučiteľnosti návrhu právneho predpisu s právom Európskej únie:</w:t>
      </w:r>
    </w:p>
    <w:p w:rsidR="0089332D" w:rsidRPr="0089332D" w:rsidP="0089332D">
      <w:pPr>
        <w:bidi w:val="0"/>
        <w:rPr>
          <w:rFonts w:ascii="Times New Roman" w:hAnsi="Times New Roman"/>
        </w:rPr>
      </w:pPr>
    </w:p>
    <w:p w:rsidR="0089332D" w:rsidRPr="0089332D" w:rsidP="0089332D">
      <w:pPr>
        <w:bidi w:val="0"/>
        <w:ind w:firstLine="360"/>
        <w:rPr>
          <w:rFonts w:ascii="Times New Roman" w:hAnsi="Times New Roman"/>
        </w:rPr>
      </w:pPr>
      <w:r w:rsidRPr="0089332D">
        <w:rPr>
          <w:rFonts w:ascii="Times New Roman" w:hAnsi="Times New Roman"/>
        </w:rPr>
        <w:t>Stupeň zlučiteľnosti - úplný </w:t>
      </w:r>
    </w:p>
    <w:p w:rsidR="0089332D" w:rsidRPr="0089332D" w:rsidP="0089332D">
      <w:pPr>
        <w:bidi w:val="0"/>
        <w:rPr>
          <w:rFonts w:ascii="Times New Roman" w:hAnsi="Times New Roman"/>
        </w:rPr>
      </w:pPr>
    </w:p>
    <w:p w:rsidR="0089332D" w:rsidRPr="0089332D" w:rsidP="0089332D">
      <w:pPr>
        <w:bidi w:val="0"/>
        <w:ind w:left="360" w:hanging="360"/>
        <w:rPr>
          <w:rFonts w:ascii="Times New Roman" w:hAnsi="Times New Roman"/>
          <w:b/>
        </w:rPr>
      </w:pPr>
      <w:r w:rsidRPr="0089332D">
        <w:rPr>
          <w:rFonts w:ascii="Times New Roman" w:hAnsi="Times New Roman"/>
          <w:b/>
        </w:rPr>
        <w:t>6.</w:t>
        <w:tab/>
        <w:t xml:space="preserve">Gestor a spolupracujúce rezorty: </w:t>
      </w:r>
    </w:p>
    <w:p w:rsidR="0089332D" w:rsidRPr="0089332D" w:rsidP="0089332D">
      <w:pPr>
        <w:tabs>
          <w:tab w:val="left" w:pos="360"/>
        </w:tabs>
        <w:bidi w:val="0"/>
        <w:ind w:left="360"/>
        <w:rPr>
          <w:rFonts w:ascii="Times New Roman" w:hAnsi="Times New Roman"/>
        </w:rPr>
      </w:pPr>
    </w:p>
    <w:p w:rsidR="0089332D" w:rsidRPr="0089332D" w:rsidP="0089332D">
      <w:pPr>
        <w:tabs>
          <w:tab w:val="left" w:pos="360"/>
        </w:tabs>
        <w:bidi w:val="0"/>
        <w:ind w:left="360"/>
        <w:rPr>
          <w:rFonts w:ascii="Times New Roman" w:hAnsi="Times New Roman"/>
        </w:rPr>
      </w:pPr>
      <w:r w:rsidRPr="0089332D">
        <w:rPr>
          <w:rFonts w:ascii="Times New Roman" w:hAnsi="Times New Roman"/>
        </w:rPr>
        <w:t>Ministerstvo financií Slovenskej republiky</w:t>
        <w:br/>
        <w:t> </w:t>
      </w:r>
    </w:p>
    <w:p w:rsidR="0089332D" w:rsidRPr="0089332D" w:rsidP="0089332D">
      <w:pPr>
        <w:widowControl/>
        <w:bidi w:val="0"/>
        <w:jc w:val="both"/>
        <w:rPr>
          <w:rFonts w:ascii="Times New Roman" w:hAnsi="Times New Roman"/>
          <w:b/>
          <w:color w:val="000000"/>
        </w:rPr>
      </w:pPr>
      <w:r w:rsidRPr="0089332D">
        <w:rPr>
          <w:rFonts w:ascii="Times New Roman" w:hAnsi="Times New Roman"/>
          <w:b/>
          <w:color w:val="000000"/>
        </w:rPr>
        <w:t>B. Osobitná časť</w:t>
      </w:r>
    </w:p>
    <w:p w:rsidR="0089332D" w:rsidRPr="0089332D" w:rsidP="0089332D">
      <w:pPr>
        <w:widowControl/>
        <w:bidi w:val="0"/>
        <w:jc w:val="both"/>
        <w:rPr>
          <w:rFonts w:ascii="Times New Roman" w:hAnsi="Times New Roman"/>
          <w:color w:val="000000"/>
        </w:rPr>
      </w:pPr>
    </w:p>
    <w:p w:rsidR="0089332D" w:rsidRPr="0089332D" w:rsidP="0089332D">
      <w:pPr>
        <w:widowControl/>
        <w:bidi w:val="0"/>
        <w:jc w:val="both"/>
        <w:rPr>
          <w:rFonts w:ascii="Times New Roman" w:hAnsi="Times New Roman"/>
          <w:color w:val="000000"/>
        </w:rPr>
      </w:pPr>
      <w:r w:rsidRPr="0089332D">
        <w:rPr>
          <w:rStyle w:val="PlaceholderText"/>
          <w:b/>
          <w:color w:val="000000"/>
        </w:rPr>
        <w:t>K článku I</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1 (K § 4 ods. 3)</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09"/>
        <w:jc w:val="both"/>
        <w:rPr>
          <w:rStyle w:val="PlaceholderText"/>
          <w:color w:val="000000"/>
        </w:rPr>
      </w:pPr>
      <w:r w:rsidRPr="0089332D">
        <w:rPr>
          <w:rStyle w:val="PlaceholderText"/>
          <w:color w:val="000000"/>
        </w:rPr>
        <w:t>Odstraňuje sa nezrovnalosť v odseku 3 spresnením odkazu na úpravu v odseku 1 alebo 2.</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bodom 2 a 3 (K § 16 ods. 14 a 15 a k § 16 ods. 17)</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08"/>
        <w:jc w:val="both"/>
        <w:rPr>
          <w:rStyle w:val="PlaceholderText"/>
          <w:color w:val="000000"/>
        </w:rPr>
      </w:pPr>
      <w:r w:rsidRPr="0089332D">
        <w:rPr>
          <w:rStyle w:val="PlaceholderText"/>
          <w:color w:val="000000"/>
        </w:rPr>
        <w:t>Prostredníctvom odseku 14 sa transponuje do zákona článok 58 smernice Rady 2006/112/ES z 28. novembra 2006 o spoločnom systéme dane z pridanej hodnoty (ďalej len „smernica o DPH“).</w:t>
      </w:r>
    </w:p>
    <w:p w:rsidR="0089332D" w:rsidRPr="0089332D" w:rsidP="0089332D">
      <w:pPr>
        <w:widowControl/>
        <w:bidi w:val="0"/>
        <w:ind w:firstLine="708"/>
        <w:jc w:val="both"/>
        <w:rPr>
          <w:rStyle w:val="PlaceholderText"/>
          <w:color w:val="000000"/>
        </w:rPr>
      </w:pPr>
      <w:r w:rsidRPr="0089332D">
        <w:rPr>
          <w:rStyle w:val="PlaceholderText"/>
          <w:color w:val="000000"/>
        </w:rPr>
        <w:t>Od 1. januára 2015 sa mení určenie miesta dodania pri poskytnutí telekomunikačných služieb, služieb rozhlasového a televízneho vysielania a elektronicky dodávaných služieb pre nezdaniteľné osoby. Zmenou oproti súčasnej právnej úprave je to, že miestom dodania uvedených služieb, ktoré poskytuje zdaniteľná osoba usadená v ktoromkoľvek členskom štáte nezdaniteľnej osobe, už nebude členský štát, v ktorom má poskytovateľ sídlo alebo prevádzkareň (§ 15 ods. 2 zákona), ale miestom dodania bude miesto (štát), v ktorom má príjemca služby, nezdaniteľná osoba, sídlo, bydlisko alebo miesto, kde sa obvykle zdržiava, t.j. miesto, kde je usadený zákazník. Takto určené miesto dodania uvedených služieb platí podľa súčasného znenia § 16 ods. 14 a 15 len pre situácie, ak tieto služby nezdaniteľným osobám poskytuje zdaniteľná osoba, ktorá nie je usadená v Európskej únii.</w:t>
      </w:r>
    </w:p>
    <w:p w:rsidR="0089332D" w:rsidRPr="0089332D" w:rsidP="0089332D">
      <w:pPr>
        <w:widowControl/>
        <w:bidi w:val="0"/>
        <w:ind w:firstLine="708"/>
        <w:jc w:val="both"/>
        <w:rPr>
          <w:rStyle w:val="PlaceholderText"/>
          <w:color w:val="000000"/>
        </w:rPr>
      </w:pPr>
      <w:r w:rsidRPr="0089332D">
        <w:rPr>
          <w:rStyle w:val="PlaceholderText"/>
          <w:color w:val="000000"/>
        </w:rPr>
        <w:t xml:space="preserve">Novým znením odseku 14 sa zjednocuje pravidlo určenia miesta dodania telekomunikačných služieb, služieb rozhlasového a televízneho vysielania a elektronicky dodávaných služieb pre nezdaniteľné osoby. </w:t>
      </w:r>
    </w:p>
    <w:p w:rsidR="0089332D" w:rsidRPr="0089332D" w:rsidP="0089332D">
      <w:pPr>
        <w:widowControl/>
        <w:bidi w:val="0"/>
        <w:ind w:firstLine="708"/>
        <w:jc w:val="both"/>
        <w:rPr>
          <w:rStyle w:val="PlaceholderText"/>
          <w:color w:val="000000"/>
        </w:rPr>
      </w:pPr>
      <w:r w:rsidRPr="0089332D">
        <w:rPr>
          <w:rStyle w:val="PlaceholderText"/>
          <w:color w:val="000000"/>
        </w:rPr>
        <w:t>Z dôvodu, že od 1. januára 2015 bude pri poskytnutí telekomunikačných služieb, služieb rozhlasového a televízneho vysielania a elektronických služieb nezdaniteľným osobám platiť len jedno pravidlo určenia miesta dodania uvedených služieb pre nezdaniteľné osoby podľa odseku 14, vypúšťajú sa z odseku 17 písmená h) až j), v ktorých sa podľa súčasnej platnej právnej úpravy osobitne upravuje miesto dodania uvedených služieb nezdaniteľným osobám, ktoré majú sídlo, bydlisko prípadne sa prevažne zdržiavajú mimo EÚ.</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bodom 4 a 5 (K § 16 ods. 18 a 19)</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08"/>
        <w:jc w:val="both"/>
        <w:rPr>
          <w:rStyle w:val="PlaceholderText"/>
          <w:color w:val="000000"/>
        </w:rPr>
      </w:pPr>
      <w:r w:rsidRPr="0089332D">
        <w:rPr>
          <w:rStyle w:val="PlaceholderText"/>
          <w:color w:val="000000"/>
        </w:rPr>
        <w:t>Definovanie telekomunikačných služieb a elektronických služieb na účely nového znenia odseku 14 ostáva zachované.</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6 (K § 49 ods. 10)</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08"/>
        <w:jc w:val="both"/>
        <w:rPr>
          <w:rStyle w:val="PlaceholderText"/>
          <w:color w:val="000000"/>
        </w:rPr>
      </w:pPr>
      <w:r w:rsidRPr="0089332D">
        <w:rPr>
          <w:rStyle w:val="PlaceholderText"/>
          <w:color w:val="000000"/>
        </w:rPr>
        <w:t xml:space="preserve">Navrhované ustanovenie súvisí s uplatňovaním osobitnej úpravy tzv. jedného kontaktného miesta pre registráciu a plnenie si daňovej povinnosti v súvislosti s poskytovaním telekomunikačných služieb, služieb rozhlasového a televízneho vysielania a elektronických služieb nezdaniteľným osobám v štáte spotreby, ktorým je tuzemsko (uplatňovanie osobitnej úpravy je bližšie vysvetlené k bodu 10 - § 68b). </w:t>
      </w:r>
    </w:p>
    <w:p w:rsidR="0089332D" w:rsidRPr="0089332D" w:rsidP="0089332D">
      <w:pPr>
        <w:widowControl/>
        <w:bidi w:val="0"/>
        <w:ind w:firstLine="708"/>
        <w:jc w:val="both"/>
        <w:rPr>
          <w:rStyle w:val="PlaceholderText"/>
          <w:color w:val="000000"/>
        </w:rPr>
      </w:pPr>
      <w:r w:rsidRPr="0089332D">
        <w:rPr>
          <w:rStyle w:val="PlaceholderText"/>
          <w:color w:val="000000"/>
        </w:rPr>
        <w:t>Navrhované ustanovenie upravuje právo na vrátenie dane alebo odpočítanie dane zdaniteľnej osoby, ktorá je usadená v niektorom z členských štátov EÚ a v tomto členskom štáte sa rozhodne identifikovať pre uplatňovanie osobitnej úpravy (v zmysle pravidiel, ktoré vyplývajú z § 68b zákona účinného od 1. januára 2015).  Ak táto zdaniteľná osoba bude dodávať nezdaniteľným osobám so sídlo alebo bydliskom v tuzemsku telekomunikačné služby, služby rozhlasového a televízneho vysielania a elektronické služby, v osobitnom daňovom priznaní v členskom štáte identifikácie bude priznávať DPH, ktorú uplatní k cene uvedených služieb dodaných nezdaniteľnej osobe so sídlom alebo bydliskom v tuzemsku.</w:t>
      </w:r>
    </w:p>
    <w:p w:rsidR="0089332D" w:rsidRPr="0089332D" w:rsidP="0089332D">
      <w:pPr>
        <w:widowControl/>
        <w:bidi w:val="0"/>
        <w:ind w:firstLine="708"/>
        <w:jc w:val="both"/>
        <w:rPr>
          <w:rStyle w:val="PlaceholderText"/>
          <w:color w:val="000000"/>
        </w:rPr>
      </w:pPr>
      <w:r w:rsidRPr="0089332D">
        <w:rPr>
          <w:rStyle w:val="PlaceholderText"/>
          <w:color w:val="000000"/>
        </w:rPr>
        <w:t>Podľa navrhovaného ustanovenia ak uvedená zdaniteľná osoba bude mať v súvislosti s uplatňovaním osobitnej úpravy nákupy tovarov alebo služieb v tuzemsku, prednostne si bude žiadať vrátanie DPH podľa § 55a až 55e zákona bez ohľadu na to, že v tuzemsku vykonávala resp. vykonáva činnosť spočívajúcu v poskytovaní uvedených služieb. Avšak pokiaľ by táto zdaniteľná osoba bola registrovaná podľa § 5 alebo § 6 zákona z dôvodu, že vykonáva na území SR činnosť, z ktorej je povinná odviesť DPH, uplatní si z prijatých plnení, ktoré súvisia s dodaním služieb podliehajúcich osobitnej úprave, odpočítanie dane prostredníctvom riadneho daňového priznania podaného podľa § 78 zákona.</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7 (K § 56 ods. 4)</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08"/>
        <w:jc w:val="both"/>
        <w:rPr>
          <w:rStyle w:val="PlaceholderText"/>
          <w:color w:val="000000"/>
        </w:rPr>
      </w:pPr>
      <w:r w:rsidRPr="0089332D">
        <w:rPr>
          <w:rStyle w:val="PlaceholderText"/>
          <w:color w:val="000000"/>
        </w:rPr>
        <w:t xml:space="preserve">Doplnené ustanovenie súvisí s uplatňovaním osobitnej úpravy tzv. jedného kontaktného miesta pre registráciu a plnenie si daňovej povinnosti v súvislosti s poskytovaním telekomunikačných služieb, služieb rozhlasového a televízneho vysielania a elektronických služieb nezdaniteľným osobám so sídlom alebo bydliskom v EÚ. </w:t>
      </w:r>
    </w:p>
    <w:p w:rsidR="0089332D" w:rsidRPr="0089332D" w:rsidP="0089332D">
      <w:pPr>
        <w:widowControl/>
        <w:bidi w:val="0"/>
        <w:ind w:firstLine="708"/>
        <w:jc w:val="both"/>
        <w:rPr>
          <w:rStyle w:val="PlaceholderText"/>
          <w:color w:val="000000"/>
        </w:rPr>
      </w:pPr>
      <w:r w:rsidRPr="0089332D">
        <w:rPr>
          <w:rStyle w:val="PlaceholderText"/>
          <w:color w:val="000000"/>
        </w:rPr>
        <w:t xml:space="preserve">V § 56 sa upravuje vrátenie dane osobám, ktoré sú usadené mimo EÚ. Doplnené ustanovenie sa týka  zdaniteľnej osoby, ktorá nie je usadená a ani registrovaná pre DPH v EÚ, a ktorá sa rozhodne  identifikovať pre uplatňovanie osobitnej úpravy v niektorom z členských štátov EÚ, a táto zdaniteľná osoba bude poskytovať uvedené služby nezdaniteľným osobám so sídlom alebo bydliskom v tuzemsku. Táto zdaniteľná osoba  v osobitnom daňovom priznaní v členskom štáte identifikácie bude len priznávať DPH na výstupe, ktorú uplatní k cene uvedených služieb dodaných zákazníkom so sídlom alebo bydliskom v tuzemsku. Navrhované ustanovenie upravuje právo na vrátenie dane tejto zdaniteľnej osoby, ktorá bude mať v súvislosti s uplatňovaním osobitnej úpravy nákupy tovarov alebo služieb v tuzemsku. Zdaniteľnej osobe sa priznáva právo požiadať o vrátanie DPH podľa § 56 až 58 zákona bez ohľadu na to, že v tuzemsku vykonávala resp. vykonáva činnosť spočívajúcu v poskytovaní uvedených služieb. Splnenie podmienky reciprocity sa na účely vrátenia dane súvisiacej s nákupmi tovarov a služieb použitých v súvislosti s dodaním telekomunikačných služieb, služieb rozhlasového a televízneho vysielania a elektronických služieb nevyžaduje. </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 xml:space="preserve">K bodu 8 (K § 65 ods. 1) </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20"/>
        <w:jc w:val="both"/>
        <w:rPr>
          <w:rStyle w:val="PlaceholderText"/>
          <w:color w:val="000000"/>
        </w:rPr>
      </w:pPr>
      <w:r w:rsidRPr="0089332D">
        <w:rPr>
          <w:rStyle w:val="PlaceholderText"/>
          <w:color w:val="000000"/>
        </w:rPr>
        <w:t>Do osobitnej úpravy uplatňovania dane pre cestovné kancelárie a cestovné agentúry sa transponuje čl. 307 smernice o DPH.</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9 ( K § 68)</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08"/>
        <w:jc w:val="both"/>
        <w:rPr>
          <w:rStyle w:val="PlaceholderText"/>
          <w:color w:val="000000"/>
        </w:rPr>
      </w:pPr>
      <w:r w:rsidRPr="0089332D">
        <w:rPr>
          <w:rStyle w:val="PlaceholderText"/>
          <w:color w:val="000000"/>
        </w:rPr>
        <w:t xml:space="preserve">Prostredníctvom tohto ustanovenia je do zákona transponovaný článok 358 smernice o DPH. Ustanovením sa vymedzujú pojmy na účely uplatňovania osobitnej úpravy podľa § 68a a § 68b. </w:t>
      </w:r>
    </w:p>
    <w:p w:rsidR="0089332D" w:rsidRPr="0089332D" w:rsidP="0089332D">
      <w:pPr>
        <w:widowControl/>
        <w:bidi w:val="0"/>
        <w:ind w:firstLine="708"/>
        <w:jc w:val="both"/>
        <w:rPr>
          <w:rStyle w:val="PlaceholderText"/>
          <w:color w:val="000000"/>
        </w:rPr>
      </w:pPr>
      <w:r w:rsidRPr="0089332D">
        <w:rPr>
          <w:rStyle w:val="PlaceholderText"/>
          <w:color w:val="000000"/>
        </w:rPr>
        <w:t>Osobitná úprava je ustanovená zvlášť pre zdaniteľné osoby, ktoré nie sú usadené v EÚ (§ 68a), a zvlášť pre zdaniteľné osoby usadené v EÚ (§ 68b), ak tieto zdaniteľné osoby dodávajú telekomunikačné služby, služby rozhlasového a televízneho vysielania a elektronické služby nezdaniteľným osobám s miestom dodania v inom členskom štáte (v členskom štáte spotreby). Vzhľadom na to, že miestom dodania uvedených služieb nezdaniteľným osobám je štát, kde má zákazník svoje sídlo alebo bydlisko, bez zavedenia tejto zjednodušenej úpravy by sa musel každý poskytovateľ služby registrovať v členskom štáte, kde je miesto dodania služieb,  t.j. v štáte zákazníka, nakoľko na zákazníka, ktorý nie je zdaniteľnou osobou, nie je možné preniesť daňovú povinnosť. Osobitná úprava je dobrovoľná a umožňuje zdaniteľnej osobe, aby DPH zo služieb poskytovaných nezdaniteľným osobám v iných členských štátoch bola priznaná v osobitnom daňovom priznaní, ktoré bude táto zdaniteľná osoba podávať elektronicky v členskom štáte identifikácie a zároveň ju bude v tomto členskom štáte aj platiť.</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10 (K § 68a, 68b a 68c)</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20"/>
        <w:jc w:val="both"/>
        <w:rPr>
          <w:rStyle w:val="PlaceholderText"/>
          <w:color w:val="000000"/>
        </w:rPr>
      </w:pPr>
      <w:r w:rsidRPr="0089332D">
        <w:rPr>
          <w:rStyle w:val="PlaceholderText"/>
          <w:color w:val="000000"/>
        </w:rPr>
        <w:t>Ustanovenie § 68a upravuje osobitný režim zdaňovania telekomunikačných služieb, služieb rozhlasového a televízneho vysielania a elektronických služieb poskytovaných zdaniteľnou osobou, ktorá nemá na území Slovenskej republiky a ani v inej členskej krajine EÚ sídlo, prevádzkareň a ani nie je identifikovaná pre DPH v žiadnom z členských štátov a ktorá si za členský štát identifikácie zvolí Slovenskú republiku. V podstate ide o rozšírenie súčasnej právnej úpravy obsiahnutej v § 68 zákona (účinnej do konca roka 2014), ktorá sa môže v súčasnosti uplatňovať len na elektronicky dodávané služby nezdaniteľným osobám. Ak sa podnikateľ z tretieho štátu rozhodne pre identifikáciu v tuzemsku, bude povinný odviesť daň v Slovenskej republike zo všetkých dodávaných služieb v EÚ, ktoré sú  dodávané nezdaniteľným osobám.</w:t>
      </w:r>
    </w:p>
    <w:p w:rsidR="0089332D" w:rsidRPr="0089332D" w:rsidP="0089332D">
      <w:pPr>
        <w:widowControl/>
        <w:bidi w:val="0"/>
        <w:ind w:firstLine="720"/>
        <w:jc w:val="both"/>
        <w:rPr>
          <w:rStyle w:val="PlaceholderText"/>
          <w:color w:val="000000"/>
        </w:rPr>
      </w:pPr>
      <w:r w:rsidRPr="0089332D">
        <w:rPr>
          <w:rStyle w:val="PlaceholderText"/>
          <w:color w:val="000000"/>
        </w:rPr>
        <w:t xml:space="preserve">Ustanovenia § 68b upravujú osobitný režim zdaňovania telekomunikačných služieb, služieb rozhlasového a televízneho vysielania a elektronických služieb poskytovaných zdaniteľnou osobou, ktorá má na území Slovenskej republiky sídlo, pričom Slovenská republika sa stáva jej členským štátom identifikácie, ak sa rozhodne túto osobitnú úpravu uplatňovať. Ak zdaniteľná osoba nemá v žiadnom členskom štáte EÚ sídlo, ale má na území viacerých členských štátov EÚ, vrátane Slovenskej republiky, prevádzkareň, takáto osoba si za členský štát identifikácie môže zvoliť hociktorý členský štát, v ktorom má prevádzkareň, vrátane Slovenskej republiky; práve na túto zdaniteľnú osobu sa vzťahuje povinnosť uplatňovať osobitný režim zdaňovania po dobu 2 rokov nasledujúcich po roku, odkedy ho začala uplatňovať, pokiaľ sa rozhodne identifikovať pre uplatňovanie osobitnej úpravy.  </w:t>
      </w:r>
    </w:p>
    <w:p w:rsidR="0089332D" w:rsidRPr="0089332D" w:rsidP="0089332D">
      <w:pPr>
        <w:widowControl/>
        <w:bidi w:val="0"/>
        <w:ind w:firstLine="720"/>
        <w:jc w:val="both"/>
        <w:rPr>
          <w:rStyle w:val="PlaceholderText"/>
          <w:color w:val="000000"/>
        </w:rPr>
      </w:pPr>
      <w:r w:rsidRPr="0089332D">
        <w:rPr>
          <w:rStyle w:val="PlaceholderText"/>
          <w:color w:val="000000"/>
        </w:rPr>
        <w:t xml:space="preserve">Keďže § 68b je určený pre zdaniteľné osoby so sídlom alebo prevádzkarňou v tuzemsku, budú tieto osoby pri jeho uplatňovaní používať identifikačné čísla pre daň pridelené v tuzemsku. </w:t>
      </w:r>
    </w:p>
    <w:p w:rsidR="0089332D" w:rsidRPr="0089332D" w:rsidP="0089332D">
      <w:pPr>
        <w:widowControl/>
        <w:bidi w:val="0"/>
        <w:ind w:firstLine="720"/>
        <w:jc w:val="both"/>
        <w:rPr>
          <w:rStyle w:val="PlaceholderText"/>
          <w:color w:val="000000"/>
        </w:rPr>
      </w:pPr>
      <w:r w:rsidRPr="0089332D">
        <w:rPr>
          <w:rStyle w:val="PlaceholderText"/>
          <w:color w:val="000000"/>
        </w:rPr>
        <w:t>Do osobitného daňového priznania zahŕňa zdaniteľná osoba identifikovaná pre osobitný režim zdaňovania v tuzemsku všetky dodávky telekomunikačných služieb, služieb rozhlasového a televízneho vysielania a elektronických služieb poskytnutých nezdaniteľným osobám v členských štátoch spotreby, v ktorých táto osoba nemá prevádzkareň a zároveň dodávky týchto služieb poskytnuté z prevádzkarní v iných členských štátoch spotreby, s výnimkou tuzemska (napr. zdaniteľná osoba identifikovaná pre osobitný režim zdaňovania v SR, ktorá poskytuje tieto služby v Maďarsku, a zároveň má prevádzkareň v Českej republike, ktorá poskytuje tieto služby do Poľska, zahŕňa do osobitného daňového priznania dodávky v Maďarsku a dodávky z prevádzkarne v Českej republike do Poľska). Ak je miestom dodania telekomunikačných služieb, služieb rozhlasového a televízneho vysielania a elektronických služieb tuzemsko, zdaniteľná osoba ich do osobitného daňového priznania nezahŕňa, ale zahrnie ich do riadneho daňového priznania podávaného podľa § 78 zákona.</w:t>
      </w:r>
    </w:p>
    <w:p w:rsidR="0089332D" w:rsidRPr="0089332D" w:rsidP="0089332D">
      <w:pPr>
        <w:widowControl/>
        <w:bidi w:val="0"/>
        <w:ind w:firstLine="720"/>
        <w:jc w:val="both"/>
        <w:rPr>
          <w:rStyle w:val="PlaceholderText"/>
          <w:color w:val="000000"/>
        </w:rPr>
      </w:pPr>
      <w:r w:rsidRPr="0089332D">
        <w:rPr>
          <w:rStyle w:val="PlaceholderText"/>
          <w:color w:val="000000"/>
        </w:rPr>
        <w:t xml:space="preserve">Zdaniteľná osoba podáva žiadosť o vrátenie dane z tovarov a služieb nadobudnutých v členských štátoch spotreby v súvislosti s využívaním tohto osobitného režimu zdaňovania podľa §  55f a § 55g zákona. Žiadosť o vrátenie DPH z nákupov tovarov a služieb v členskom štáte spotreby nepodáva, ak v členskom štáte spotreby zároveň popri uplatňovaní osobitného režimu zdaňovania dodáva tovary a služby, v súvislosti s ktorými je v členskom štáte spotreby registrovaná pre daň. V takom prípade odpočítanie dane uplatňuje cez daňové priznanie podané v členskom štáte spotreby (napr. ak zdaniteľná osoba identifikovaná pre osobitný režim zdaňovania v SR, poskytuje v Českej republike elektronické služby a zároveň dodáva stavby pre nezdaniteľné osoby, v súvislosti s ktorými je v ČR identifikovaná pre daň, uplatňuje odpočítanie dane cez daňové priznanie podané v Českej republike). </w:t>
      </w:r>
    </w:p>
    <w:p w:rsidR="0089332D" w:rsidRPr="0089332D" w:rsidP="0089332D">
      <w:pPr>
        <w:widowControl/>
        <w:bidi w:val="0"/>
        <w:ind w:firstLine="720"/>
        <w:jc w:val="both"/>
        <w:rPr>
          <w:rStyle w:val="PlaceholderText"/>
          <w:color w:val="000000"/>
        </w:rPr>
      </w:pPr>
      <w:r w:rsidRPr="0089332D">
        <w:rPr>
          <w:rStyle w:val="PlaceholderText"/>
          <w:color w:val="000000"/>
        </w:rPr>
        <w:t>V § 68c sa ustanovuje použitie právnych predpisov pri správe dane týkajúcej sa osobitnej úpravy,  a to osobitne vo vzťahu, ak je Slovenská republika členským štátom identifikácie, a osobitne, ak je Slovenská republika členským štátom spotreby. Pokiaľ ide o uplatňovanie osobitnej úpravy podľa § 68a, Slovenská republika môže byť v pozícii členského štátu identifikácie, ale zároveň aj v pozícii členského štátu spotreby, t.j. ak zdaniteľná osoba usadená mimo EÚ bude dodávať vybrané služby nezdaniteľným osobám so sídlom alebo bydliskom v inom členskom štáte a zároveň aj v SR príp. len v SR.</w:t>
      </w:r>
    </w:p>
    <w:p w:rsidR="0089332D" w:rsidRPr="0089332D" w:rsidP="0089332D">
      <w:pPr>
        <w:widowControl/>
        <w:bidi w:val="0"/>
        <w:ind w:firstLine="720"/>
        <w:jc w:val="both"/>
        <w:rPr>
          <w:rStyle w:val="PlaceholderText"/>
          <w:color w:val="000000"/>
        </w:rPr>
      </w:pPr>
      <w:r w:rsidRPr="0089332D">
        <w:rPr>
          <w:rStyle w:val="PlaceholderText"/>
          <w:color w:val="000000"/>
        </w:rPr>
        <w:t>Pokiaľ bude Slovenská republika v pozícii členského štátu identifikácie, prevažná časť kompetencií v súvislosti so správou dane prechádza na členský štát spotreby, čo vyplýva z vykonávacieho nariadenia Rady č. 967/2012. Z tohto dôvodu sa pri správe daní uplatnia predovšetkým predpisy členského štátu spotreby.</w:t>
      </w:r>
    </w:p>
    <w:p w:rsidR="0089332D" w:rsidRPr="0089332D" w:rsidP="0089332D">
      <w:pPr>
        <w:widowControl/>
        <w:bidi w:val="0"/>
        <w:ind w:firstLine="720"/>
        <w:jc w:val="both"/>
        <w:rPr>
          <w:rStyle w:val="PlaceholderText"/>
          <w:color w:val="000000"/>
        </w:rPr>
      </w:pPr>
      <w:r w:rsidRPr="0089332D">
        <w:rPr>
          <w:rStyle w:val="PlaceholderText"/>
          <w:color w:val="000000"/>
        </w:rPr>
        <w:t xml:space="preserve">Pokiaľ Slovenská republika bude v pozícii členského štátu spotreby, na správu dane sa použije predovšetkým Daňový poriadok, ak z nariadenia Rady č. 967/2012 nebude vyplývať inak. </w:t>
      </w:r>
    </w:p>
    <w:p w:rsidR="0089332D" w:rsidRPr="0089332D" w:rsidP="0089332D">
      <w:pPr>
        <w:widowControl/>
        <w:bidi w:val="0"/>
        <w:jc w:val="both"/>
        <w:rPr>
          <w:rStyle w:val="PlaceholderText"/>
          <w:color w:val="000000"/>
        </w:rPr>
      </w:pPr>
      <w:r w:rsidRPr="0089332D">
        <w:rPr>
          <w:rStyle w:val="PlaceholderText"/>
          <w:color w:val="000000"/>
        </w:rPr>
        <w:t> </w:t>
      </w:r>
    </w:p>
    <w:p w:rsidR="0089332D" w:rsidP="0089332D">
      <w:pPr>
        <w:widowControl/>
        <w:bidi w:val="0"/>
        <w:jc w:val="both"/>
        <w:rPr>
          <w:rStyle w:val="PlaceholderText"/>
          <w:b/>
          <w:color w:val="000000"/>
        </w:rPr>
      </w:pPr>
    </w:p>
    <w:p w:rsidR="0089332D" w:rsidRPr="0089332D" w:rsidP="0089332D">
      <w:pPr>
        <w:widowControl/>
        <w:bidi w:val="0"/>
        <w:jc w:val="both"/>
        <w:rPr>
          <w:rStyle w:val="PlaceholderText"/>
          <w:color w:val="000000"/>
        </w:rPr>
      </w:pPr>
      <w:r w:rsidRPr="0089332D">
        <w:rPr>
          <w:rStyle w:val="PlaceholderText"/>
          <w:b/>
          <w:color w:val="000000"/>
        </w:rPr>
        <w:t>K bodu 11 (K § 69a ods. 6)</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20"/>
        <w:jc w:val="both"/>
        <w:rPr>
          <w:rStyle w:val="PlaceholderText"/>
          <w:color w:val="000000"/>
        </w:rPr>
      </w:pPr>
      <w:r w:rsidRPr="0089332D">
        <w:rPr>
          <w:rStyle w:val="PlaceholderText"/>
          <w:color w:val="000000"/>
        </w:rPr>
        <w:t>Zosúlaďuje sa lehota na podávanie súhrnného výkazu podľa tohto ustanovenia s lehotou ustanovenou v § 80 ods. 9 zákona.</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12 (K § 78a ods. 1)</w:t>
      </w:r>
    </w:p>
    <w:p w:rsidR="0089332D" w:rsidRPr="0089332D" w:rsidP="0089332D">
      <w:pPr>
        <w:widowControl/>
        <w:bidi w:val="0"/>
        <w:ind w:firstLine="720"/>
        <w:jc w:val="both"/>
        <w:rPr>
          <w:rStyle w:val="PlaceholderText"/>
          <w:color w:val="000000"/>
        </w:rPr>
      </w:pPr>
      <w:r w:rsidRPr="0089332D">
        <w:rPr>
          <w:rStyle w:val="PlaceholderText"/>
          <w:color w:val="000000"/>
        </w:rPr>
        <w:t> </w:t>
      </w:r>
    </w:p>
    <w:p w:rsidR="0089332D" w:rsidRPr="0089332D" w:rsidP="0089332D">
      <w:pPr>
        <w:widowControl/>
        <w:bidi w:val="0"/>
        <w:ind w:firstLine="720"/>
        <w:jc w:val="both"/>
        <w:rPr>
          <w:rStyle w:val="PlaceholderText"/>
          <w:color w:val="000000"/>
        </w:rPr>
      </w:pPr>
      <w:r w:rsidRPr="0089332D">
        <w:rPr>
          <w:rStyle w:val="PlaceholderText"/>
          <w:color w:val="000000"/>
        </w:rPr>
        <w:t>Navrhuje sa vypustiť zo zákona povinnosť predkladať kontrolný výkaz v rovnaký deň ako je podané daňové priznanie, ak je daňové priznanie podané skôr ako 25. deň po skončení zdaňovacieho obdobia. Vypustením druhej vety sa podanie kontrolného výkazu nebude viazať na deň podania daňového priznania. Kontrolný výkaz platiteľ dane bude povinný podať najneskôr do 25 dní po skončení zdaňovacieho obdobia.</w:t>
      </w:r>
    </w:p>
    <w:p w:rsidR="0089332D" w:rsidRPr="0089332D" w:rsidP="0089332D">
      <w:pPr>
        <w:widowControl/>
        <w:bidi w:val="0"/>
        <w:ind w:firstLine="72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13 a 14 (K § 79 ods. 6 a 7)</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20"/>
        <w:jc w:val="both"/>
        <w:rPr>
          <w:rStyle w:val="PlaceholderText"/>
          <w:color w:val="000000"/>
        </w:rPr>
      </w:pPr>
      <w:r w:rsidRPr="0089332D">
        <w:rPr>
          <w:rStyle w:val="PlaceholderText"/>
          <w:color w:val="000000"/>
        </w:rPr>
        <w:t>Navrhovaným doplnením v § 79 zákona sa umožňuje vrátenie tzv. časti nadmerného odpočtu dane pred skončením kontroly oprávnenosti uplatneného nadmerného odpočtu. V odseku 7 sa ustanovuje lehota na vrátenie časti nadmerného odpočtu. Časť nadmerného odpočtu sa vráti na základe čiastkového protokolu o kontrole. Inštitút čiastkového protokolu o kontrole je zavedený v § 47a novely zákona č. 563/2009 Z. z. daňového poriadku (predpokladá sa účinnosť 1. januára 2015). Po skončení kontroly nadmerného odpočtu sa vráti rozdiel medzi nadmerným odpočtom vo výške zistenej daňovým úradom a časťou nadmerného odpočtu vráteného na základe čiastkového protokolu.</w:t>
      </w:r>
    </w:p>
    <w:p w:rsidR="0089332D" w:rsidRPr="0089332D" w:rsidP="0089332D">
      <w:pPr>
        <w:widowControl/>
        <w:bidi w:val="0"/>
        <w:ind w:firstLine="720"/>
        <w:jc w:val="both"/>
        <w:rPr>
          <w:rStyle w:val="PlaceholderText"/>
          <w:color w:val="000000"/>
        </w:rPr>
      </w:pPr>
      <w:r w:rsidRPr="0089332D">
        <w:rPr>
          <w:rStyle w:val="PlaceholderText"/>
          <w:color w:val="000000"/>
        </w:rPr>
        <w:t>Daňový úrad vráti časť nadmerného odpočtu najmä v takom prípade, ak v priebehu kontroly zistí, že časť nadmerného odpočtu je uplatňovaná oprávnene, avšak ostávajúcu časť nadmerného odpočtu musí ešte preverovať napr. dožiadaním informácií z iného členského štátu a z tohto dôvodu zatiaľ nie je možné skončiť kontrolu.</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15 (K § 80 ods. 2)</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20"/>
        <w:jc w:val="both"/>
        <w:rPr>
          <w:rStyle w:val="PlaceholderText"/>
          <w:color w:val="000000"/>
        </w:rPr>
      </w:pPr>
      <w:r w:rsidRPr="0089332D">
        <w:rPr>
          <w:rStyle w:val="PlaceholderText"/>
          <w:color w:val="000000"/>
        </w:rPr>
        <w:t>Zmenou maximálneho limitu zo 100 000 eur na 50 000 eur pre použitie výnimky zo stanoveného základného obdobia na podávanie súhrnného výkazu sa § 80 ods. 2 zákona zosúlaďuje s článkom 263 ods. 1a smernice o DPH. Zákon v súčasnom znení povoľuje limit  pre podávanie súhrnného výkazu štvrťročne 100 000 eur.</w:t>
      </w:r>
    </w:p>
    <w:p w:rsidR="0089332D" w:rsidRPr="0089332D" w:rsidP="0089332D">
      <w:pPr>
        <w:widowControl/>
        <w:bidi w:val="0"/>
        <w:ind w:firstLine="720"/>
        <w:jc w:val="both"/>
        <w:rPr>
          <w:rStyle w:val="PlaceholderText"/>
          <w:color w:val="000000"/>
        </w:rPr>
      </w:pPr>
      <w:r w:rsidRPr="0089332D">
        <w:rPr>
          <w:rStyle w:val="PlaceholderText"/>
          <w:color w:val="000000"/>
        </w:rPr>
        <w:t>Podľa článku 263 ods. 1a smernice o DPH členské štáty môžu povoliť podávať súhrnný výkaz štvrťročne, pokiaľ celková hodnota bez DPH tovarov dodaných za štvrťrok  nepresiahne v danom štvrťroku a ani v žiadnom z predchádzajúcich štyroch štvrťrokoch sumu 50 000 eur.</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16 (K § 85kc)</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20"/>
        <w:jc w:val="both"/>
        <w:rPr>
          <w:rStyle w:val="PlaceholderText"/>
          <w:color w:val="000000"/>
        </w:rPr>
      </w:pPr>
      <w:r w:rsidRPr="0089332D">
        <w:rPr>
          <w:rStyle w:val="PlaceholderText"/>
          <w:color w:val="000000"/>
        </w:rPr>
        <w:t>Podľa znenia odseku 1 zdaniteľná osoba z tretieho štátu, ktorá je identifikovaná pre uplatňovanie osobitnej úpravy podľa v súčasnosti platného znenia § 68 zákona, sa s účinnosťou od 1. januára 2015 bude považovať za osobu identifikovanú podľa § 68a účinného od 1. januára 2015, t.j. bude naďalej pokračovať v uplatnení pravidiel jedného kontaktného miesta.</w:t>
      </w:r>
    </w:p>
    <w:p w:rsidR="0089332D" w:rsidRPr="0089332D" w:rsidP="0089332D">
      <w:pPr>
        <w:widowControl/>
        <w:bidi w:val="0"/>
        <w:ind w:firstLine="720"/>
        <w:jc w:val="both"/>
        <w:rPr>
          <w:rStyle w:val="PlaceholderText"/>
          <w:color w:val="000000"/>
        </w:rPr>
      </w:pPr>
      <w:r w:rsidRPr="0089332D">
        <w:rPr>
          <w:rStyle w:val="PlaceholderText"/>
          <w:color w:val="000000"/>
        </w:rPr>
        <w:t>Prechodné ustanovenia odseku 2 a 3 umožňujú zdaniteľným osobám, ktoré chcú používať osobitnú úpravu jedného kontaktného miesta podľa § 68a a § 68b od 1. januára 2015, aby podali oznámenie spolu s požadovanými údajmi do konca roka 2014.</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článku II</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1 (K § 2 ods. 1)</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20"/>
        <w:jc w:val="both"/>
        <w:rPr>
          <w:rStyle w:val="PlaceholderText"/>
          <w:color w:val="000000"/>
        </w:rPr>
      </w:pPr>
      <w:r w:rsidRPr="0089332D">
        <w:rPr>
          <w:rStyle w:val="PlaceholderText"/>
          <w:color w:val="000000"/>
        </w:rPr>
        <w:t xml:space="preserve">V nadväznosti na nadobudnutie účinnosti smernice Rady 2013/61/EÚ, ktorou sa mení územná pôsobnosť smernice Rady 2008/118/ES sa znenie ustanovenia upravuje tak, že sa daňové právne predpisy Európskej únie neuplatňujú aj na  územie Mayotte. </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2 (K § 9 ods. 6)</w:t>
      </w:r>
      <w:r w:rsidRPr="0089332D">
        <w:rPr>
          <w:rStyle w:val="PlaceholderText"/>
          <w:color w:val="000000"/>
        </w:rPr>
        <w:t xml:space="preserve"> </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08"/>
        <w:jc w:val="both"/>
        <w:rPr>
          <w:rStyle w:val="PlaceholderText"/>
          <w:color w:val="000000"/>
        </w:rPr>
      </w:pPr>
      <w:r w:rsidRPr="0089332D">
        <w:rPr>
          <w:rStyle w:val="PlaceholderText"/>
          <w:color w:val="000000"/>
        </w:rPr>
        <w:t>Ustanovenie sa upravuje tak, aby počet objednávaných kontrolných známok pri všetkých tabakových výrobkoch nebol nižší ako 500 kusov.</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bodom 3 a 4 (K § 41 ods. 1 a 2)</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08"/>
        <w:jc w:val="both"/>
        <w:rPr>
          <w:rStyle w:val="PlaceholderText"/>
          <w:color w:val="000000"/>
        </w:rPr>
      </w:pPr>
      <w:r w:rsidRPr="0089332D">
        <w:rPr>
          <w:rStyle w:val="PlaceholderText"/>
          <w:color w:val="000000"/>
        </w:rPr>
        <w:t>Navrhuje sa zaviesť sankciu pre odberateľa kontrolných známok, ktorý odobral a nepoužil kontrolné známky v lehote 10 mesiacov odo dňa ich prevzatia.</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5 (K § 41a ods. 2)</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20"/>
        <w:jc w:val="both"/>
        <w:rPr>
          <w:rStyle w:val="PlaceholderText"/>
          <w:color w:val="000000"/>
        </w:rPr>
      </w:pPr>
      <w:r w:rsidRPr="0089332D">
        <w:rPr>
          <w:rStyle w:val="PlaceholderText"/>
          <w:color w:val="000000"/>
        </w:rPr>
        <w:t>Ustanovenie sa legislatívno-technicky upravuje.</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6 (K prílohe č. 1)</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20"/>
        <w:jc w:val="both"/>
        <w:rPr>
          <w:rStyle w:val="PlaceholderText"/>
          <w:color w:val="000000"/>
        </w:rPr>
      </w:pPr>
      <w:r w:rsidRPr="0089332D">
        <w:rPr>
          <w:rStyle w:val="PlaceholderText"/>
          <w:color w:val="000000"/>
        </w:rPr>
        <w:t>V nadväznosti na úpravu k bodu 1, sa dopĺňa zoznam preberaných právne záväzných aktov Európskej únie uvedený v prílohe č. 1 zákona o novú smernicu Rady 2013/61/EÚ, ktorou sa mení územná pôsobnosť smernice Rady 2008/118/ES.</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článku III</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 xml:space="preserve">K bodu 1 (K § 7 ods. 3) </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20"/>
        <w:jc w:val="both"/>
        <w:rPr>
          <w:rStyle w:val="PlaceholderText"/>
          <w:color w:val="000000"/>
        </w:rPr>
      </w:pPr>
      <w:r w:rsidRPr="0089332D">
        <w:rPr>
          <w:rStyle w:val="PlaceholderText"/>
          <w:color w:val="000000"/>
        </w:rPr>
        <w:t>Podľa súčasného právneho stavu môže domácemu podnikateľovi prideliť daňový kód elektronickej registračnej pokladnice len miestne príslušný daňový úrad a zahraničnému podnikateľovi môže prideliť daňový kód elektronickej registračnej pokladnice ktorýkoľvek daňový úrad. V záujme operatívnejšej registrácie elektronickej registračnej pokladnice u domácich a aj zahraničných podnikateľov sa navrhuje, aby daňový kód elektronickej registračnej pokladnice mohol prideliť ktorýkoľvek daňový úrad.</w:t>
      </w:r>
    </w:p>
    <w:p w:rsidR="0089332D" w:rsidRPr="0089332D" w:rsidP="0089332D">
      <w:pPr>
        <w:widowControl/>
        <w:bidi w:val="0"/>
        <w:ind w:firstLine="720"/>
        <w:jc w:val="both"/>
        <w:rPr>
          <w:rStyle w:val="PlaceholderText"/>
          <w:color w:val="000000"/>
        </w:rPr>
      </w:pPr>
      <w:r w:rsidRPr="0089332D">
        <w:rPr>
          <w:rStyle w:val="PlaceholderText"/>
          <w:color w:val="000000"/>
        </w:rPr>
        <w:t> </w:t>
      </w:r>
    </w:p>
    <w:p w:rsidR="0089332D" w:rsidP="0089332D">
      <w:pPr>
        <w:widowControl/>
        <w:bidi w:val="0"/>
        <w:jc w:val="both"/>
        <w:rPr>
          <w:rStyle w:val="PlaceholderText"/>
          <w:b/>
          <w:color w:val="000000"/>
        </w:rPr>
      </w:pPr>
    </w:p>
    <w:p w:rsidR="0089332D" w:rsidP="0089332D">
      <w:pPr>
        <w:widowControl/>
        <w:bidi w:val="0"/>
        <w:jc w:val="both"/>
        <w:rPr>
          <w:rStyle w:val="PlaceholderText"/>
          <w:b/>
          <w:color w:val="000000"/>
        </w:rPr>
      </w:pPr>
    </w:p>
    <w:p w:rsidR="0089332D" w:rsidP="0089332D">
      <w:pPr>
        <w:widowControl/>
        <w:bidi w:val="0"/>
        <w:jc w:val="both"/>
        <w:rPr>
          <w:rStyle w:val="PlaceholderText"/>
          <w:b/>
          <w:color w:val="000000"/>
        </w:rPr>
      </w:pPr>
    </w:p>
    <w:p w:rsidR="0089332D" w:rsidRPr="0089332D" w:rsidP="0089332D">
      <w:pPr>
        <w:widowControl/>
        <w:bidi w:val="0"/>
        <w:jc w:val="both"/>
        <w:rPr>
          <w:rStyle w:val="PlaceholderText"/>
          <w:color w:val="000000"/>
        </w:rPr>
      </w:pPr>
      <w:r w:rsidRPr="0089332D">
        <w:rPr>
          <w:rStyle w:val="PlaceholderText"/>
          <w:b/>
          <w:color w:val="000000"/>
        </w:rPr>
        <w:t>K bodu 2 (§ 16b ods. 3)</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20"/>
        <w:jc w:val="both"/>
        <w:rPr>
          <w:rStyle w:val="PlaceholderText"/>
          <w:color w:val="000000"/>
        </w:rPr>
      </w:pPr>
      <w:r w:rsidRPr="0089332D">
        <w:rPr>
          <w:rStyle w:val="PlaceholderText"/>
          <w:color w:val="000000"/>
        </w:rPr>
        <w:t>S prihliadnutím  na technicko-organizačné problémy, ktoré sa vyskytli  pri ukladaní pokuty na mieste rozhodnutím  (napr. nie je zabezpečený externý prístup do informačného systému FS, nedostatočný počet tlačiarní a notebookov) sa navrhuje, aby sa v odôvodnených prípadoch mohla uložiť pokuta nielen na mieste, ale aj v lehote do piatich pracovných dní od zistenia správneho deliktu.</w:t>
      </w:r>
    </w:p>
    <w:p w:rsidR="0089332D" w:rsidRPr="0089332D" w:rsidP="0089332D">
      <w:pPr>
        <w:widowControl/>
        <w:bidi w:val="0"/>
        <w:ind w:firstLine="708"/>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3 (K § 16b ods. 4)</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20"/>
        <w:jc w:val="both"/>
        <w:rPr>
          <w:rStyle w:val="PlaceholderText"/>
          <w:color w:val="000000"/>
        </w:rPr>
      </w:pPr>
      <w:r w:rsidRPr="0089332D">
        <w:rPr>
          <w:rStyle w:val="PlaceholderText"/>
          <w:color w:val="000000"/>
        </w:rPr>
        <w:t xml:space="preserve">Pokuty sa navrhuje ukladať na základe zistení uvedených v zápisnici o miestnom zisťovaní, ktorej náležitosti upravuje § 19 daňového poriadku. V nadväznosti na túto skutočnosť sa navrhuje vypustiť slová „o ústnom pojednávaní“ a rozšíriť poznámku pod čiarou k odkazu 18b o ustanovenie § 37 ods. 4 daňového poriadku. </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článku IV</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1 (K § 47a)</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20"/>
        <w:jc w:val="both"/>
        <w:rPr>
          <w:rStyle w:val="PlaceholderText"/>
          <w:color w:val="000000"/>
        </w:rPr>
      </w:pPr>
      <w:r w:rsidRPr="0089332D">
        <w:rPr>
          <w:rStyle w:val="PlaceholderText"/>
          <w:color w:val="000000"/>
        </w:rPr>
        <w:t>Navrhuje sa, aby počas daňovej kontroly mohol byť vyhotovený čiastkový protokol, na základe ktorého by bolo možné, napr. priznať a vrátiť preverenú časť z vykázaného nadmerného odpočtu v čase, keď daňová kontrole ešte nie je ukončená.</w:t>
      </w:r>
    </w:p>
    <w:p w:rsidR="0089332D" w:rsidRPr="0089332D" w:rsidP="0089332D">
      <w:pPr>
        <w:widowControl/>
        <w:bidi w:val="0"/>
        <w:ind w:firstLine="72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bodom 2 a 5 (K § 50 ods. 6, § 55 ods. 2 a 12, § 55 ods. 6 a 7)</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20"/>
        <w:jc w:val="both"/>
        <w:rPr>
          <w:rStyle w:val="PlaceholderText"/>
          <w:color w:val="000000"/>
        </w:rPr>
      </w:pPr>
      <w:r w:rsidRPr="0089332D">
        <w:rPr>
          <w:rStyle w:val="PlaceholderText"/>
          <w:color w:val="000000"/>
        </w:rPr>
        <w:t>Navrhuje sa ustanoviť presné poradenie nedoplatkov, resp. pohľadávok, na ktoré bude nesprávne označená platba použitá. Nadväzne na to bolo potrebné upraviť ustanovenia, ktoré na uvedené ustanovenia odkazujú.</w:t>
      </w:r>
    </w:p>
    <w:p w:rsidR="0089332D" w:rsidRPr="0089332D" w:rsidP="0089332D">
      <w:pPr>
        <w:widowControl/>
        <w:bidi w:val="0"/>
        <w:ind w:firstLine="72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bodom 3 a 4 (K § 52 ods. 6 a 7)</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20"/>
        <w:jc w:val="both"/>
        <w:rPr>
          <w:rStyle w:val="PlaceholderText"/>
          <w:color w:val="000000"/>
        </w:rPr>
      </w:pPr>
      <w:r w:rsidRPr="0089332D">
        <w:rPr>
          <w:rStyle w:val="PlaceholderText"/>
          <w:color w:val="000000"/>
        </w:rPr>
        <w:t>Z dôvodu jednoznačnejšieho a operatívnejšieho overovania platiteľov dane z pridanej hodnoty uverejnených  zozname sa navrhuje v zozname zverejňovať aj IČO, ak bolo platiteľovi pridelené. Zároveň sa navrhuje skrátiť obdobie, v ktorom je platiteľ dane z pridanej hodnoty v zozname zverejnený, a to z 12 mesiacov na 6 mesiacov.</w:t>
      </w:r>
    </w:p>
    <w:p w:rsidR="0089332D" w:rsidRPr="0089332D" w:rsidP="0089332D">
      <w:pPr>
        <w:widowControl/>
        <w:bidi w:val="0"/>
        <w:ind w:firstLine="72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6 (K § 165d)</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20"/>
        <w:jc w:val="both"/>
        <w:rPr>
          <w:rStyle w:val="PlaceholderText"/>
          <w:color w:val="000000"/>
        </w:rPr>
      </w:pPr>
      <w:r w:rsidRPr="0089332D">
        <w:rPr>
          <w:rStyle w:val="PlaceholderText"/>
          <w:color w:val="000000"/>
        </w:rPr>
        <w:t>K novej úprave § 52 ods. 7 sa navrhuje prechodné ustanovenie tak, aby sa nová právna úprava vzťahovala aj na platiteľov dane z pridanej hodnoty, ktorí už sú zverejnení v zozname. Zároveň sa navrhuje, aby tí platitelia dane, ktorí splnili novonavrhnuté podmienky výmazu do 31.12.2014, boli zo zoznamu vymazaní do 31. januára 2015.</w:t>
      </w:r>
    </w:p>
    <w:p w:rsidR="0089332D" w:rsidRPr="0089332D" w:rsidP="0089332D">
      <w:pPr>
        <w:widowControl/>
        <w:bidi w:val="0"/>
        <w:jc w:val="both"/>
        <w:rPr>
          <w:rStyle w:val="PlaceholderText"/>
          <w:color w:val="000000"/>
        </w:rPr>
      </w:pPr>
      <w:r w:rsidRPr="0089332D">
        <w:rPr>
          <w:rStyle w:val="PlaceholderText"/>
          <w:color w:val="000000"/>
        </w:rPr>
        <w:t> </w:t>
      </w:r>
    </w:p>
    <w:p w:rsidR="0089332D" w:rsidP="0089332D">
      <w:pPr>
        <w:widowControl/>
        <w:bidi w:val="0"/>
        <w:jc w:val="both"/>
        <w:rPr>
          <w:rStyle w:val="PlaceholderText"/>
          <w:b/>
          <w:color w:val="000000"/>
        </w:rPr>
      </w:pPr>
    </w:p>
    <w:p w:rsidR="0089332D" w:rsidP="0089332D">
      <w:pPr>
        <w:widowControl/>
        <w:bidi w:val="0"/>
        <w:jc w:val="both"/>
        <w:rPr>
          <w:rStyle w:val="PlaceholderText"/>
          <w:b/>
          <w:color w:val="000000"/>
        </w:rPr>
      </w:pPr>
    </w:p>
    <w:p w:rsidR="0089332D" w:rsidP="0089332D">
      <w:pPr>
        <w:widowControl/>
        <w:bidi w:val="0"/>
        <w:jc w:val="both"/>
        <w:rPr>
          <w:rStyle w:val="PlaceholderText"/>
          <w:b/>
          <w:color w:val="000000"/>
        </w:rPr>
      </w:pPr>
    </w:p>
    <w:p w:rsidR="0089332D" w:rsidRPr="0089332D" w:rsidP="0089332D">
      <w:pPr>
        <w:widowControl/>
        <w:bidi w:val="0"/>
        <w:jc w:val="both"/>
        <w:rPr>
          <w:rStyle w:val="PlaceholderText"/>
          <w:color w:val="000000"/>
        </w:rPr>
      </w:pPr>
      <w:r w:rsidRPr="0089332D">
        <w:rPr>
          <w:rStyle w:val="PlaceholderText"/>
          <w:b/>
          <w:color w:val="000000"/>
        </w:rPr>
        <w:t>K článku V</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1 (K § 2 ods. 1)</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08"/>
        <w:jc w:val="both"/>
        <w:rPr>
          <w:rStyle w:val="PlaceholderText"/>
          <w:color w:val="000000"/>
        </w:rPr>
      </w:pPr>
      <w:r w:rsidRPr="0089332D">
        <w:rPr>
          <w:rStyle w:val="PlaceholderText"/>
          <w:color w:val="000000"/>
        </w:rPr>
        <w:t xml:space="preserve">V nadväznosti na nadobudnutie účinnosti smernice Rady 2013/61/EÚ, ktorou sa mení územná pôsobnosť smernice Rady 2008/118/ES sa znenie ustanovenia upravuje tak, že sa daňové právne predpisy Európskej únie neuplatňujú aj na  územie Mayotte. </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2 (K § 53 ods. 6)</w:t>
      </w:r>
      <w:r w:rsidRPr="0089332D">
        <w:rPr>
          <w:rStyle w:val="PlaceholderText"/>
          <w:color w:val="000000"/>
        </w:rPr>
        <w:t xml:space="preserve"> </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08"/>
        <w:jc w:val="both"/>
        <w:rPr>
          <w:rStyle w:val="PlaceholderText"/>
          <w:color w:val="000000"/>
        </w:rPr>
      </w:pPr>
      <w:r w:rsidRPr="0089332D">
        <w:rPr>
          <w:rStyle w:val="PlaceholderText"/>
          <w:color w:val="000000"/>
        </w:rPr>
        <w:t>Ustanovenie sa upravuje tak, aby bolo zrejmé, že odberateľ kontrolných známok, ktorým je dovozca spotrebiteľských balení alebo príjemca (odberateľ) liehu podľa § 26 ods. 1 zákona, môže objednať minimálne 500 kusov kontrolných známok alebo ich násobok, pričom správca dane pri schvaľovaní objednávky vždy musí zohľadniť výšku zloženej zábezpeky na daň, ktorú zložil  dovozca spotrebiteľských balení alebo príjemca (odberateľ) liehu podľa § 26 ods. 1.</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bodom 3 a 4 (K § 53 ods. 19 písm. d/ a § 53 ods. 20 písm. e/)</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08"/>
        <w:jc w:val="both"/>
        <w:rPr>
          <w:rStyle w:val="PlaceholderText"/>
          <w:color w:val="000000"/>
        </w:rPr>
      </w:pPr>
      <w:r w:rsidRPr="0089332D">
        <w:rPr>
          <w:rStyle w:val="PlaceholderText"/>
          <w:color w:val="000000"/>
        </w:rPr>
        <w:t>Ustanovuje sa limit na množstvo kontrolných známok, ktoré boli nenávratne zničené v technologickom zariadení slúžiacom na nalepovanie kontrolných známok, pričom za preukázané použitie kontrolných známok zničených v tomto technologickom zariadení bude možné považovať iba množstvo pripadajúce na túto stanovenú stratu. Zároveň sa navrhuje v tejto súvislosti ustanoviť, aby odberateľ kontrolných zámok v evidencii, ktorú je povinný viesť podľa § 53 ods. 20, v prípade kontrolných známok nenávratne zničených v technologickom zariadení uvádzal iba ich počet.</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bodu 5 (K § 53 ods. 22 a 23)</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20"/>
        <w:jc w:val="both"/>
        <w:rPr>
          <w:rStyle w:val="PlaceholderText"/>
          <w:color w:val="000000"/>
        </w:rPr>
      </w:pPr>
      <w:r w:rsidRPr="0089332D">
        <w:rPr>
          <w:rStyle w:val="PlaceholderText"/>
          <w:color w:val="000000"/>
        </w:rPr>
        <w:t xml:space="preserve">Ustanovenie § 53 zákona sa dopĺňa o povinnosť odberateľa kontrolných známok zaslať jednorazovo finančnému riaditeľstvu zoznam s údajmi o všetkých spotrebiteľských baleniach, ktoré uvádza do daňového voľného obehu, t. j. zoznam všetkých spotrebiteľských balení tvoriacich jeho portfólio. Súčasťou zoznamu môže byť aj vizualizácia spotrebiteľského balenia. Povinnosť zaslať zoznam spotrebiteľských balení liehu je iba jednorazová, a odberateľ kontrolných známok ho poskytne pred prvou žiadosťou o vydanie kontrolných známok. Následne bude odberateľ kontrolných známok povinný iba oznámiť zmenu v týchto údajoch, napríklad ak doplní portfólio o nový sortiment. Údaje zaslané odberateľom kontrolných známok budú využívané v rámci jednotného aplikačného programového vybavenia a budú použité aj na účely overenia správnosti označenia spotrebiteľských balení, ako správcom dane, tak aj verejnosťou. </w:t>
      </w:r>
    </w:p>
    <w:p w:rsidR="0089332D" w:rsidRPr="0089332D" w:rsidP="0089332D">
      <w:pPr>
        <w:widowControl/>
        <w:bidi w:val="0"/>
        <w:ind w:firstLine="720"/>
        <w:jc w:val="both"/>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bodom 6 a 7 (K § 70 ods. 1 a 2)</w:t>
      </w:r>
    </w:p>
    <w:p w:rsidR="0089332D" w:rsidRPr="0089332D" w:rsidP="0089332D">
      <w:pPr>
        <w:widowControl/>
        <w:bidi w:val="0"/>
        <w:jc w:val="both"/>
        <w:rPr>
          <w:rStyle w:val="PlaceholderText"/>
          <w:color w:val="000000"/>
        </w:rPr>
      </w:pPr>
      <w:r w:rsidRPr="0089332D">
        <w:rPr>
          <w:rStyle w:val="PlaceholderText"/>
          <w:color w:val="000000"/>
        </w:rPr>
        <w:t> </w:t>
      </w:r>
    </w:p>
    <w:p w:rsidR="0089332D" w:rsidRPr="0089332D" w:rsidP="0089332D">
      <w:pPr>
        <w:widowControl/>
        <w:bidi w:val="0"/>
        <w:ind w:firstLine="708"/>
        <w:jc w:val="both"/>
        <w:rPr>
          <w:rStyle w:val="PlaceholderText"/>
          <w:color w:val="000000"/>
        </w:rPr>
      </w:pPr>
      <w:r w:rsidRPr="0089332D">
        <w:rPr>
          <w:rStyle w:val="PlaceholderText"/>
          <w:color w:val="000000"/>
        </w:rPr>
        <w:t xml:space="preserve">Navrhuje sa zaviesť sankciu pre odberateľa kontrolných známok, ktorý odobral a nepoužil kontrolné známky v lehote 10 mesiacov odo dňa ich prevzatia, a súčasne pre odberateľa kontrolných známok, ktorý prekročil povolené množstvo nenávratne zničených kontrolných známok vložených do technologického zariadenia. </w:t>
      </w:r>
    </w:p>
    <w:p w:rsidR="0089332D" w:rsidRPr="0089332D" w:rsidP="0089332D">
      <w:pPr>
        <w:widowControl/>
        <w:bidi w:val="0"/>
        <w:jc w:val="both"/>
        <w:rPr>
          <w:rStyle w:val="PlaceholderText"/>
          <w:color w:val="000000"/>
        </w:rPr>
      </w:pPr>
      <w:r w:rsidRPr="0089332D">
        <w:rPr>
          <w:rStyle w:val="PlaceholderText"/>
          <w:b/>
          <w:color w:val="000000"/>
        </w:rPr>
        <w:t>K bodu 8 (K prílohe č. 2)</w:t>
      </w:r>
    </w:p>
    <w:p w:rsidR="0089332D" w:rsidRPr="0089332D" w:rsidP="0089332D">
      <w:pPr>
        <w:widowControl/>
        <w:bidi w:val="0"/>
        <w:jc w:val="both"/>
        <w:rPr>
          <w:rStyle w:val="PlaceholderText"/>
          <w:color w:val="000000"/>
        </w:rPr>
      </w:pPr>
      <w:r w:rsidRPr="0089332D">
        <w:rPr>
          <w:rStyle w:val="PlaceholderText"/>
          <w:b/>
          <w:color w:val="000000"/>
        </w:rPr>
        <w:t xml:space="preserve">            </w:t>
      </w:r>
    </w:p>
    <w:p w:rsidR="0089332D" w:rsidRPr="0089332D" w:rsidP="0089332D">
      <w:pPr>
        <w:widowControl/>
        <w:bidi w:val="0"/>
        <w:ind w:firstLine="720"/>
        <w:jc w:val="both"/>
        <w:rPr>
          <w:rStyle w:val="PlaceholderText"/>
          <w:color w:val="000000"/>
        </w:rPr>
      </w:pPr>
      <w:r w:rsidRPr="0089332D">
        <w:rPr>
          <w:rStyle w:val="PlaceholderText"/>
          <w:color w:val="000000"/>
        </w:rPr>
        <w:t>V nadväznosti na úpravu k bodu 1, sa dopĺňa zoznam preberaných právne záväzných aktov Európskej únie uvedený v prílohe č. 2 zákona o novú smernicu Rady 2013/61/EÚ, ktorou sa mení územná pôsobnosť smernice Rady 2008/118/ES.</w:t>
      </w:r>
    </w:p>
    <w:p w:rsidR="0089332D" w:rsidRPr="0089332D" w:rsidP="0089332D">
      <w:pPr>
        <w:widowControl/>
        <w:bidi w:val="0"/>
        <w:rPr>
          <w:rStyle w:val="PlaceholderText"/>
          <w:color w:val="000000"/>
        </w:rPr>
      </w:pPr>
      <w:r w:rsidRPr="0089332D">
        <w:rPr>
          <w:rStyle w:val="PlaceholderText"/>
          <w:color w:val="000000"/>
        </w:rPr>
        <w:t> </w:t>
      </w:r>
    </w:p>
    <w:p w:rsidR="0089332D" w:rsidRPr="0089332D" w:rsidP="0089332D">
      <w:pPr>
        <w:widowControl/>
        <w:bidi w:val="0"/>
        <w:jc w:val="both"/>
        <w:rPr>
          <w:rStyle w:val="PlaceholderText"/>
          <w:color w:val="000000"/>
        </w:rPr>
      </w:pPr>
      <w:r w:rsidRPr="0089332D">
        <w:rPr>
          <w:rStyle w:val="PlaceholderText"/>
          <w:b/>
          <w:color w:val="000000"/>
        </w:rPr>
        <w:t>K článku VI</w:t>
      </w:r>
    </w:p>
    <w:p w:rsidR="0089332D" w:rsidRPr="0089332D" w:rsidP="0089332D">
      <w:pPr>
        <w:widowControl/>
        <w:bidi w:val="0"/>
        <w:ind w:firstLine="708"/>
        <w:jc w:val="both"/>
        <w:rPr>
          <w:rStyle w:val="PlaceholderText"/>
          <w:color w:val="000000"/>
        </w:rPr>
      </w:pPr>
      <w:r w:rsidRPr="0089332D">
        <w:rPr>
          <w:rStyle w:val="PlaceholderText"/>
          <w:color w:val="000000"/>
        </w:rPr>
        <w:t> </w:t>
      </w:r>
    </w:p>
    <w:p w:rsidR="0089332D" w:rsidRPr="0089332D" w:rsidP="0089332D">
      <w:pPr>
        <w:widowControl/>
        <w:bidi w:val="0"/>
        <w:ind w:firstLine="708"/>
        <w:jc w:val="both"/>
        <w:rPr>
          <w:rStyle w:val="PlaceholderText"/>
          <w:color w:val="000000"/>
        </w:rPr>
      </w:pPr>
      <w:r w:rsidRPr="0089332D">
        <w:rPr>
          <w:rStyle w:val="PlaceholderText"/>
          <w:color w:val="000000"/>
        </w:rPr>
        <w:t xml:space="preserve">Účinnosť novely zákona o DPH sa navrhuje od 1. januára 2015 okrem bodov 15 a 16 (§ 80 ods. 2 a § 85kc - prechodné ustanovenia na základe nariadenia Rady (EÚ) č. 967/2012 z 9. októbra 2012, ktorým sa mení a dopĺňa vykonávacie nariadenie (EÚ) č. 282/2011, pokiaľ ide o osobitné úpravy pre neusadené zdaniteľné osoby, ktoré poskytujú telekomunikačné služby, služby rozhlasového a televízneho vysielania alebo elektronické služby nezdaniteľným osobám), pri ktorých sa navrhuje účinnosť od 1. októbra 2014. </w:t>
      </w:r>
    </w:p>
    <w:p w:rsidR="0089332D" w:rsidRPr="0089332D" w:rsidP="0089332D">
      <w:pPr>
        <w:widowControl/>
        <w:bidi w:val="0"/>
        <w:ind w:firstLine="708"/>
        <w:jc w:val="both"/>
        <w:rPr>
          <w:rStyle w:val="PlaceholderText"/>
          <w:color w:val="000000"/>
        </w:rPr>
      </w:pPr>
      <w:r w:rsidRPr="0089332D">
        <w:rPr>
          <w:rStyle w:val="PlaceholderText"/>
          <w:color w:val="000000"/>
        </w:rPr>
        <w:t>Účinnosť novely zákona o spotrebnej dani z tabakových výrobkov sa navrhuje od 1. októbra 2014.</w:t>
      </w:r>
    </w:p>
    <w:p w:rsidR="0089332D" w:rsidRPr="0089332D" w:rsidP="0089332D">
      <w:pPr>
        <w:widowControl/>
        <w:bidi w:val="0"/>
        <w:ind w:firstLine="708"/>
        <w:jc w:val="both"/>
        <w:rPr>
          <w:rStyle w:val="PlaceholderText"/>
          <w:color w:val="000000"/>
        </w:rPr>
      </w:pPr>
      <w:r w:rsidRPr="0089332D">
        <w:rPr>
          <w:rStyle w:val="PlaceholderText"/>
          <w:color w:val="000000"/>
        </w:rPr>
        <w:t>Účinnosť novely zákona o používaní elektronickej registračnej pokladnice sa navrhuje od 1. októbra 2014 okrem bodu 1, u ktorého sa navrhuje účinnosť od 1. januára 2015.</w:t>
      </w:r>
    </w:p>
    <w:p w:rsidR="0089332D" w:rsidRPr="0089332D" w:rsidP="0089332D">
      <w:pPr>
        <w:widowControl/>
        <w:bidi w:val="0"/>
        <w:ind w:firstLine="708"/>
        <w:jc w:val="both"/>
        <w:rPr>
          <w:rStyle w:val="PlaceholderText"/>
          <w:color w:val="000000"/>
        </w:rPr>
      </w:pPr>
      <w:r w:rsidRPr="0089332D">
        <w:rPr>
          <w:rStyle w:val="PlaceholderText"/>
          <w:color w:val="000000"/>
        </w:rPr>
        <w:t xml:space="preserve">Účinnosť novely Daňového poriadku sa navrhuje od 1. januára 2015. </w:t>
      </w:r>
    </w:p>
    <w:p w:rsidR="0089332D" w:rsidRPr="0089332D" w:rsidP="0089332D">
      <w:pPr>
        <w:widowControl/>
        <w:bidi w:val="0"/>
        <w:ind w:firstLine="720"/>
        <w:jc w:val="both"/>
        <w:rPr>
          <w:rStyle w:val="PlaceholderText"/>
          <w:color w:val="000000"/>
        </w:rPr>
      </w:pPr>
      <w:r w:rsidRPr="0089332D">
        <w:rPr>
          <w:rStyle w:val="PlaceholderText"/>
          <w:color w:val="000000"/>
        </w:rPr>
        <w:t>Účinnosť novely zákona o spotrebnej dani z alkoholických nápojov sa navrhuje od 1. októbra 2014.</w:t>
      </w:r>
    </w:p>
    <w:p w:rsidR="0089332D" w:rsidRPr="0089332D" w:rsidP="0089332D">
      <w:pPr>
        <w:widowControl/>
        <w:bidi w:val="0"/>
        <w:spacing w:after="280" w:afterAutospacing="1"/>
        <w:rPr>
          <w:rStyle w:val="PlaceholderText"/>
          <w:color w:val="000000"/>
        </w:rPr>
      </w:pPr>
      <w:r w:rsidRPr="0089332D">
        <w:rPr>
          <w:rStyle w:val="PlaceholderText"/>
          <w:color w:val="000000"/>
        </w:rPr>
        <w:t> </w:t>
      </w:r>
    </w:p>
    <w:p w:rsidR="004C4A10" w:rsidP="004C4A10">
      <w:pPr>
        <w:bidi w:val="0"/>
        <w:ind w:firstLine="709"/>
        <w:jc w:val="both"/>
        <w:rPr>
          <w:rFonts w:ascii="Times New Roman" w:hAnsi="Times New Roman"/>
        </w:rPr>
      </w:pPr>
      <w:r>
        <w:rPr>
          <w:rFonts w:ascii="Times New Roman" w:hAnsi="Times New Roman"/>
        </w:rPr>
        <w:t>Schválené na 103. rokovaní vlády Slovenskej republiky dňa 16. apríla 2014.</w:t>
      </w:r>
    </w:p>
    <w:p w:rsidR="004C4A10" w:rsidP="004C4A10">
      <w:pPr>
        <w:bidi w:val="0"/>
        <w:jc w:val="both"/>
        <w:rPr>
          <w:rFonts w:ascii="Times New Roman" w:hAnsi="Times New Roman"/>
        </w:rPr>
      </w:pPr>
    </w:p>
    <w:p w:rsidR="004C4A10" w:rsidP="004C4A10">
      <w:pPr>
        <w:bidi w:val="0"/>
        <w:jc w:val="both"/>
        <w:rPr>
          <w:rFonts w:ascii="Times New Roman" w:hAnsi="Times New Roman"/>
        </w:rPr>
      </w:pPr>
    </w:p>
    <w:p w:rsidR="004C4A10" w:rsidP="004C4A10">
      <w:pPr>
        <w:bidi w:val="0"/>
        <w:jc w:val="both"/>
        <w:rPr>
          <w:rFonts w:ascii="Times New Roman" w:hAnsi="Times New Roman"/>
        </w:rPr>
      </w:pPr>
    </w:p>
    <w:p w:rsidR="004C4A10" w:rsidP="004C4A10">
      <w:pPr>
        <w:bidi w:val="0"/>
        <w:jc w:val="center"/>
        <w:rPr>
          <w:rFonts w:ascii="Times New Roman" w:hAnsi="Times New Roman"/>
        </w:rPr>
      </w:pPr>
    </w:p>
    <w:p w:rsidR="004C4A10" w:rsidRPr="00B15A80" w:rsidP="004C4A10">
      <w:pPr>
        <w:bidi w:val="0"/>
        <w:jc w:val="center"/>
        <w:rPr>
          <w:rFonts w:ascii="Times New Roman" w:hAnsi="Times New Roman"/>
          <w:b/>
        </w:rPr>
      </w:pPr>
      <w:r w:rsidRPr="00B15A80">
        <w:rPr>
          <w:rFonts w:ascii="Times New Roman" w:hAnsi="Times New Roman"/>
          <w:b/>
        </w:rPr>
        <w:t>Robert Fico</w:t>
      </w:r>
      <w:r>
        <w:rPr>
          <w:rFonts w:ascii="Times New Roman" w:hAnsi="Times New Roman"/>
          <w:b/>
        </w:rPr>
        <w:t xml:space="preserve"> v. r.</w:t>
      </w:r>
    </w:p>
    <w:p w:rsidR="004C4A10" w:rsidP="004C4A10">
      <w:pPr>
        <w:bidi w:val="0"/>
        <w:jc w:val="center"/>
        <w:rPr>
          <w:rFonts w:ascii="Times New Roman" w:hAnsi="Times New Roman"/>
        </w:rPr>
      </w:pPr>
    </w:p>
    <w:p w:rsidR="004C4A10" w:rsidP="004C4A10">
      <w:pPr>
        <w:bidi w:val="0"/>
        <w:jc w:val="center"/>
        <w:rPr>
          <w:rFonts w:ascii="Times New Roman" w:hAnsi="Times New Roman"/>
        </w:rPr>
      </w:pPr>
      <w:r>
        <w:rPr>
          <w:rFonts w:ascii="Times New Roman" w:hAnsi="Times New Roman"/>
        </w:rPr>
        <w:t>predseda vlády Slovenskej republiky</w:t>
      </w:r>
    </w:p>
    <w:p w:rsidR="004C4A10" w:rsidP="004C4A10">
      <w:pPr>
        <w:bidi w:val="0"/>
        <w:jc w:val="center"/>
        <w:rPr>
          <w:rFonts w:ascii="Times New Roman" w:hAnsi="Times New Roman"/>
        </w:rPr>
      </w:pPr>
    </w:p>
    <w:p w:rsidR="004C4A10" w:rsidP="004C4A10">
      <w:pPr>
        <w:bidi w:val="0"/>
        <w:jc w:val="center"/>
        <w:rPr>
          <w:rFonts w:ascii="Times New Roman" w:hAnsi="Times New Roman"/>
        </w:rPr>
      </w:pPr>
    </w:p>
    <w:p w:rsidR="004C4A10" w:rsidP="004C4A10">
      <w:pPr>
        <w:bidi w:val="0"/>
        <w:jc w:val="center"/>
        <w:rPr>
          <w:rFonts w:ascii="Times New Roman" w:hAnsi="Times New Roman"/>
        </w:rPr>
      </w:pPr>
    </w:p>
    <w:p w:rsidR="004C4A10" w:rsidRPr="00B15A80" w:rsidP="004C4A10">
      <w:pPr>
        <w:bidi w:val="0"/>
        <w:jc w:val="center"/>
        <w:rPr>
          <w:rFonts w:ascii="Times New Roman" w:hAnsi="Times New Roman"/>
          <w:b/>
        </w:rPr>
      </w:pPr>
      <w:r w:rsidRPr="00B15A80">
        <w:rPr>
          <w:rFonts w:ascii="Times New Roman" w:hAnsi="Times New Roman"/>
          <w:b/>
        </w:rPr>
        <w:t>Peter Kažimír</w:t>
      </w:r>
      <w:r>
        <w:rPr>
          <w:rFonts w:ascii="Times New Roman" w:hAnsi="Times New Roman"/>
          <w:b/>
        </w:rPr>
        <w:t xml:space="preserve"> v. r.</w:t>
      </w:r>
    </w:p>
    <w:p w:rsidR="004C4A10" w:rsidP="004C4A10">
      <w:pPr>
        <w:bidi w:val="0"/>
        <w:jc w:val="center"/>
        <w:rPr>
          <w:rFonts w:ascii="Times New Roman" w:hAnsi="Times New Roman"/>
        </w:rPr>
      </w:pPr>
    </w:p>
    <w:p w:rsidR="004C4A10" w:rsidP="004C4A10">
      <w:pPr>
        <w:bidi w:val="0"/>
        <w:jc w:val="center"/>
        <w:rPr>
          <w:rFonts w:ascii="Times New Roman" w:hAnsi="Times New Roman"/>
        </w:rPr>
      </w:pPr>
      <w:r>
        <w:rPr>
          <w:rFonts w:ascii="Times New Roman" w:hAnsi="Times New Roman"/>
        </w:rPr>
        <w:t xml:space="preserve">podpredseda vlády a minister financií </w:t>
      </w:r>
    </w:p>
    <w:p w:rsidR="004C4A10" w:rsidP="004C4A10">
      <w:pPr>
        <w:bidi w:val="0"/>
        <w:jc w:val="center"/>
        <w:rPr>
          <w:rFonts w:ascii="Times New Roman" w:hAnsi="Times New Roman"/>
        </w:rPr>
      </w:pPr>
      <w:r>
        <w:rPr>
          <w:rFonts w:ascii="Times New Roman" w:hAnsi="Times New Roman"/>
        </w:rPr>
        <w:t>Slovenskej republiky</w:t>
      </w:r>
    </w:p>
    <w:p w:rsidR="004C4A10" w:rsidP="004C4A10">
      <w:pPr>
        <w:bidi w:val="0"/>
        <w:jc w:val="center"/>
        <w:rPr>
          <w:rFonts w:ascii="Times New Roman" w:hAnsi="Times New Roman"/>
        </w:rPr>
      </w:pPr>
    </w:p>
    <w:p w:rsidR="0089332D" w:rsidRPr="0089332D">
      <w:pPr>
        <w:widowControl/>
        <w:bidi w:val="0"/>
        <w:spacing w:after="280" w:afterAutospacing="1"/>
        <w:rPr>
          <w:rStyle w:val="PlaceholderText"/>
          <w:color w:val="000000"/>
        </w:rPr>
      </w:pPr>
    </w:p>
    <w:sectPr>
      <w:footerReference w:type="default" r:id="rId6"/>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2D" w:rsidP="00FB0C9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9332D">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2D" w:rsidP="00FB0C9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544A7">
      <w:rPr>
        <w:rStyle w:val="PageNumber"/>
        <w:rFonts w:ascii="Times New Roman" w:hAnsi="Times New Roman"/>
        <w:noProof/>
      </w:rPr>
      <w:t>7</w:t>
    </w:r>
    <w:r>
      <w:rPr>
        <w:rStyle w:val="PageNumber"/>
        <w:rFonts w:ascii="Times New Roman" w:hAnsi="Times New Roman"/>
      </w:rPr>
      <w:fldChar w:fldCharType="end"/>
    </w:r>
  </w:p>
  <w:p w:rsidR="0089332D">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2D">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544A7">
      <w:rPr>
        <w:rFonts w:ascii="Times New Roman" w:hAnsi="Times New Roman"/>
        <w:noProof/>
      </w:rPr>
      <w:t>21</w:t>
    </w:r>
    <w:r>
      <w:rPr>
        <w:rFonts w:ascii="Times New Roman" w:hAnsi="Times New Roman"/>
      </w:rPr>
      <w:fldChar w:fldCharType="end"/>
    </w:r>
  </w:p>
  <w:p w:rsidR="0089332D">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89332D"/>
    <w:rsid w:val="001544A7"/>
    <w:rsid w:val="004C4A10"/>
    <w:rsid w:val="005109F5"/>
    <w:rsid w:val="005D5B0F"/>
    <w:rsid w:val="0074404F"/>
    <w:rsid w:val="0089332D"/>
    <w:rsid w:val="008B25A6"/>
    <w:rsid w:val="00A64D2D"/>
    <w:rsid w:val="00B15A80"/>
    <w:rsid w:val="00BD7837"/>
    <w:rsid w:val="00C0489E"/>
    <w:rsid w:val="00DE6B1D"/>
    <w:rsid w:val="00FB0C9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Header">
    <w:name w:val="header"/>
    <w:basedOn w:val="Normal"/>
    <w:link w:val="HlavikaChar"/>
    <w:uiPriority w:val="99"/>
    <w:unhideWhenUsed/>
    <w:rsid w:val="0089332D"/>
    <w:pPr>
      <w:tabs>
        <w:tab w:val="center" w:pos="4536"/>
        <w:tab w:val="right" w:pos="9072"/>
      </w:tabs>
      <w:jc w:val="left"/>
    </w:pPr>
  </w:style>
  <w:style w:type="character" w:customStyle="1" w:styleId="HlavikaChar">
    <w:name w:val="Hlavička Char"/>
    <w:basedOn w:val="DefaultParagraphFont"/>
    <w:link w:val="Header"/>
    <w:uiPriority w:val="99"/>
    <w:locked/>
    <w:rsid w:val="0089332D"/>
    <w:rPr>
      <w:rFonts w:ascii="Times New Roman" w:hAnsi="Times New Roman" w:cs="Times New Roman"/>
      <w:sz w:val="24"/>
      <w:szCs w:val="24"/>
      <w:rtl w:val="0"/>
      <w:cs w:val="0"/>
    </w:rPr>
  </w:style>
  <w:style w:type="paragraph" w:styleId="Footer">
    <w:name w:val="footer"/>
    <w:basedOn w:val="Normal"/>
    <w:link w:val="PtaChar"/>
    <w:uiPriority w:val="99"/>
    <w:unhideWhenUsed/>
    <w:rsid w:val="0089332D"/>
    <w:pPr>
      <w:tabs>
        <w:tab w:val="center" w:pos="4536"/>
        <w:tab w:val="right" w:pos="9072"/>
      </w:tabs>
      <w:jc w:val="left"/>
    </w:pPr>
  </w:style>
  <w:style w:type="character" w:customStyle="1" w:styleId="PtaChar">
    <w:name w:val="Päta Char"/>
    <w:basedOn w:val="DefaultParagraphFont"/>
    <w:link w:val="Footer"/>
    <w:uiPriority w:val="99"/>
    <w:locked/>
    <w:rsid w:val="0089332D"/>
    <w:rPr>
      <w:rFonts w:ascii="Times New Roman" w:hAnsi="Times New Roman" w:cs="Times New Roman"/>
      <w:sz w:val="24"/>
      <w:szCs w:val="24"/>
      <w:rtl w:val="0"/>
      <w:cs w:val="0"/>
    </w:rPr>
  </w:style>
  <w:style w:type="paragraph" w:styleId="Title">
    <w:name w:val="Title"/>
    <w:basedOn w:val="Normal"/>
    <w:link w:val="NzovChar"/>
    <w:uiPriority w:val="10"/>
    <w:qFormat/>
    <w:locked/>
    <w:rsid w:val="0089332D"/>
    <w:pPr>
      <w:widowControl/>
      <w:adjustRightInd/>
      <w:jc w:val="center"/>
    </w:pPr>
    <w:rPr>
      <w:b/>
      <w:bCs/>
    </w:rPr>
  </w:style>
  <w:style w:type="character" w:customStyle="1" w:styleId="NzovChar">
    <w:name w:val="Názov Char"/>
    <w:basedOn w:val="DefaultParagraphFont"/>
    <w:link w:val="Title"/>
    <w:uiPriority w:val="10"/>
    <w:locked/>
    <w:rsid w:val="0089332D"/>
    <w:rPr>
      <w:rFonts w:ascii="Times New Roman" w:hAnsi="Times New Roman" w:cs="Times New Roman"/>
      <w:b/>
      <w:bCs/>
      <w:sz w:val="24"/>
      <w:szCs w:val="24"/>
      <w:rtl w:val="0"/>
      <w:cs w:val="0"/>
    </w:rPr>
  </w:style>
  <w:style w:type="paragraph" w:styleId="BodyText">
    <w:name w:val="Body Text"/>
    <w:basedOn w:val="Normal"/>
    <w:link w:val="ZkladntextChar"/>
    <w:uiPriority w:val="99"/>
    <w:rsid w:val="0089332D"/>
    <w:pPr>
      <w:widowControl/>
      <w:adjustRightInd/>
      <w:spacing w:after="120"/>
      <w:jc w:val="left"/>
    </w:pPr>
  </w:style>
  <w:style w:type="character" w:customStyle="1" w:styleId="ZkladntextChar">
    <w:name w:val="Základný text Char"/>
    <w:basedOn w:val="DefaultParagraphFont"/>
    <w:link w:val="BodyText"/>
    <w:uiPriority w:val="99"/>
    <w:locked/>
    <w:rsid w:val="0089332D"/>
    <w:rPr>
      <w:rFonts w:ascii="Times New Roman" w:hAnsi="Times New Roman" w:cs="Times New Roman"/>
      <w:sz w:val="24"/>
      <w:szCs w:val="24"/>
      <w:rtl w:val="0"/>
      <w:cs w:val="0"/>
    </w:rPr>
  </w:style>
  <w:style w:type="paragraph" w:styleId="NormalWeb">
    <w:name w:val="Normal (Web)"/>
    <w:aliases w:val="webb"/>
    <w:basedOn w:val="Normal"/>
    <w:uiPriority w:val="99"/>
    <w:unhideWhenUsed/>
    <w:rsid w:val="0089332D"/>
    <w:pPr>
      <w:widowControl/>
      <w:adjustRightInd/>
      <w:spacing w:before="75" w:after="90"/>
      <w:ind w:left="30"/>
      <w:jc w:val="left"/>
    </w:pPr>
    <w:rPr>
      <w:color w:val="444444"/>
    </w:rPr>
  </w:style>
  <w:style w:type="character" w:styleId="PageNumber">
    <w:name w:val="page number"/>
    <w:basedOn w:val="DefaultParagraphFont"/>
    <w:uiPriority w:val="99"/>
    <w:rsid w:val="0089332D"/>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TotalTime>
  <Pages>21</Pages>
  <Words>7514</Words>
  <Characters>42833</Characters>
  <Application>Microsoft Office Word</Application>
  <DocSecurity>0</DocSecurity>
  <Lines>0</Lines>
  <Paragraphs>0</Paragraphs>
  <ScaleCrop>false</ScaleCrop>
  <Company>Abyss</Company>
  <LinksUpToDate>false</LinksUpToDate>
  <CharactersWithSpaces>50247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Rybansky Ludovit</cp:lastModifiedBy>
  <cp:revision>4</cp:revision>
  <dcterms:created xsi:type="dcterms:W3CDTF">2014-04-16T13:39:00Z</dcterms:created>
  <dcterms:modified xsi:type="dcterms:W3CDTF">2014-04-16T15:06:00Z</dcterms:modified>
</cp:coreProperties>
</file>