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4E56" w:rsidP="00CA4E56">
      <w:pPr>
        <w:bidi w:val="0"/>
        <w:rPr>
          <w:b/>
          <w:bCs/>
          <w:caps/>
          <w:color w:val="000000"/>
          <w:spacing w:val="30"/>
        </w:rPr>
      </w:pPr>
      <w:r>
        <w:rPr>
          <w:rFonts w:ascii="Times New Roman" w:hAnsi="Times New Roman"/>
        </w:rPr>
        <w:t xml:space="preserve">                                                                 </w:t>
      </w:r>
      <w:r>
        <w:rPr>
          <w:b/>
          <w:bCs/>
          <w:caps/>
          <w:color w:val="000000"/>
          <w:spacing w:val="30"/>
        </w:rPr>
        <w:t>Doložka</w:t>
      </w:r>
    </w:p>
    <w:p w:rsidR="00CA4E56" w:rsidP="00CA4E56">
      <w:pPr>
        <w:bidi w:val="0"/>
        <w:jc w:val="center"/>
        <w:rPr>
          <w:b/>
          <w:bCs/>
          <w:color w:val="000000"/>
        </w:rPr>
      </w:pPr>
      <w:r>
        <w:rPr>
          <w:b/>
          <w:bCs/>
          <w:color w:val="000000"/>
        </w:rPr>
        <w:t>vybraných vplyvov</w:t>
      </w:r>
    </w:p>
    <w:p w:rsidR="00CA4E56" w:rsidP="00CA4E56">
      <w:pPr>
        <w:bidi w:val="0"/>
        <w:rPr>
          <w:color w:val="000000"/>
        </w:rPr>
      </w:pPr>
    </w:p>
    <w:p w:rsidR="00CA4E56" w:rsidP="00CA4E56">
      <w:pPr>
        <w:bidi w:val="0"/>
        <w:rPr>
          <w:color w:val="000000"/>
        </w:rPr>
      </w:pPr>
    </w:p>
    <w:p w:rsidR="00D92324" w:rsidRPr="0022293C" w:rsidP="00D92324">
      <w:pPr>
        <w:pStyle w:val="NormalWeb"/>
        <w:bidi w:val="0"/>
        <w:spacing w:before="0" w:beforeAutospacing="0" w:after="0" w:afterAutospacing="0"/>
        <w:ind w:right="-108"/>
        <w:rPr>
          <w:rFonts w:ascii="Times New Roman" w:hAnsi="Times New Roman"/>
          <w:b/>
          <w:bCs/>
          <w:color w:val="000000"/>
        </w:rPr>
      </w:pPr>
      <w:r w:rsidRPr="0022293C" w:rsidR="00CA4E56">
        <w:rPr>
          <w:rFonts w:ascii="Times New Roman" w:hAnsi="Times New Roman"/>
          <w:b/>
          <w:bCs/>
          <w:color w:val="000000"/>
        </w:rPr>
        <w:t xml:space="preserve">A.1. Názov materiálu: </w:t>
      </w:r>
    </w:p>
    <w:p w:rsidR="00CA4E56" w:rsidRPr="0022293C" w:rsidP="00CA4E56">
      <w:pPr>
        <w:bidi w:val="0"/>
        <w:jc w:val="both"/>
        <w:rPr>
          <w:rFonts w:ascii="Times New Roman" w:hAnsi="Times New Roman"/>
          <w:b/>
          <w:bCs/>
          <w:color w:val="000000"/>
        </w:rPr>
      </w:pPr>
      <w:r w:rsidRPr="0022293C" w:rsidR="004F464A">
        <w:rPr>
          <w:rFonts w:ascii="Times New Roman" w:hAnsi="Times New Roman"/>
        </w:rPr>
        <w:t xml:space="preserve">Návrh na vydanie zákona, ktorým sa mení a dopĺňa </w:t>
      </w:r>
      <w:r w:rsidRPr="0022293C" w:rsidR="00DD0E14">
        <w:rPr>
          <w:rFonts w:ascii="Times New Roman" w:hAnsi="Times New Roman"/>
        </w:rPr>
        <w:t>zákon č. 461/2003 Z. z. o sociálnom poistení v znení neskorších predpisov</w:t>
      </w:r>
    </w:p>
    <w:p w:rsidR="00CA4E56" w:rsidRPr="0022293C" w:rsidP="00CA4E56">
      <w:pPr>
        <w:bidi w:val="0"/>
        <w:jc w:val="both"/>
        <w:rPr>
          <w:rFonts w:ascii="Times New Roman" w:hAnsi="Times New Roman"/>
          <w:b/>
          <w:bCs/>
          <w:color w:val="000000"/>
        </w:rPr>
      </w:pPr>
    </w:p>
    <w:p w:rsidR="00CA4E56" w:rsidRPr="0022293C" w:rsidP="00CA4E56">
      <w:pPr>
        <w:bidi w:val="0"/>
        <w:jc w:val="both"/>
        <w:rPr>
          <w:rFonts w:ascii="Times New Roman" w:hAnsi="Times New Roman"/>
          <w:b/>
          <w:bCs/>
          <w:color w:val="000000"/>
        </w:rPr>
      </w:pPr>
      <w:r w:rsidRPr="0022293C">
        <w:rPr>
          <w:rFonts w:ascii="Times New Roman" w:hAnsi="Times New Roman"/>
          <w:b/>
          <w:bCs/>
          <w:color w:val="000000"/>
        </w:rPr>
        <w:t>A.2. Vplyvy:</w:t>
      </w:r>
    </w:p>
    <w:tbl>
      <w:tblPr>
        <w:tblStyle w:val="TableNormal"/>
        <w:tblW w:w="5000"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8"/>
        <w:gridCol w:w="1189"/>
        <w:gridCol w:w="1179"/>
        <w:gridCol w:w="1192"/>
      </w:tblGrid>
      <w:tr>
        <w:tblPrEx>
          <w:tblW w:w="5000"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rPr>
                <w:rFonts w:ascii="Times New Roman" w:hAnsi="Times New Roman"/>
                <w:color w:val="000000"/>
                <w:sz w:val="22"/>
                <w:szCs w:val="22"/>
              </w:rPr>
            </w:pPr>
          </w:p>
        </w:tc>
        <w:tc>
          <w:tcPr>
            <w:tcW w:w="1189"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jc w:val="center"/>
              <w:rPr>
                <w:rFonts w:ascii="Times New Roman" w:hAnsi="Times New Roman"/>
                <w:color w:val="000000"/>
                <w:sz w:val="22"/>
                <w:szCs w:val="22"/>
              </w:rPr>
            </w:pPr>
            <w:r w:rsidRPr="0022293C">
              <w:rPr>
                <w:rFonts w:ascii="Times New Roman" w:hAnsi="Times New Roman"/>
                <w:color w:val="000000"/>
                <w:sz w:val="22"/>
                <w:szCs w:val="22"/>
              </w:rPr>
              <w:t> Pozitívne </w:t>
            </w:r>
          </w:p>
        </w:tc>
        <w:tc>
          <w:tcPr>
            <w:tcW w:w="1179"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jc w:val="center"/>
              <w:rPr>
                <w:rFonts w:ascii="Times New Roman" w:hAnsi="Times New Roman"/>
                <w:color w:val="000000"/>
                <w:sz w:val="22"/>
                <w:szCs w:val="22"/>
              </w:rPr>
            </w:pPr>
            <w:r w:rsidRPr="0022293C">
              <w:rPr>
                <w:rFonts w:ascii="Times New Roman" w:hAnsi="Times New Roman"/>
                <w:color w:val="000000"/>
                <w:sz w:val="22"/>
                <w:szCs w:val="22"/>
              </w:rPr>
              <w:t> Žiadne </w:t>
            </w:r>
          </w:p>
        </w:tc>
        <w:tc>
          <w:tcPr>
            <w:tcW w:w="1192"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jc w:val="center"/>
              <w:rPr>
                <w:rFonts w:ascii="Times New Roman" w:hAnsi="Times New Roman"/>
                <w:color w:val="000000"/>
                <w:sz w:val="22"/>
                <w:szCs w:val="22"/>
              </w:rPr>
            </w:pPr>
            <w:r w:rsidRPr="0022293C">
              <w:rPr>
                <w:rFonts w:ascii="Times New Roman" w:hAnsi="Times New Roman"/>
                <w:color w:val="000000"/>
                <w:sz w:val="22"/>
                <w:szCs w:val="22"/>
              </w:rPr>
              <w:t> Negatívne </w:t>
            </w:r>
          </w:p>
        </w:tc>
      </w:tr>
      <w:tr>
        <w:tblPrEx>
          <w:tblW w:w="5000" w:type="pct"/>
          <w:tblInd w:w="8" w:type="dxa"/>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rPr>
                <w:rFonts w:ascii="Times New Roman" w:hAnsi="Times New Roman"/>
                <w:color w:val="000000"/>
                <w:sz w:val="20"/>
                <w:szCs w:val="20"/>
              </w:rPr>
            </w:pPr>
            <w:r w:rsidRPr="0022293C">
              <w:rPr>
                <w:rFonts w:ascii="Times New Roman" w:hAnsi="Times New Roman"/>
                <w:color w:val="000000"/>
                <w:sz w:val="20"/>
                <w:szCs w:val="20"/>
              </w:rPr>
              <w:t>1. Vplyvy na rozpočet verejnej správy</w:t>
            </w:r>
          </w:p>
        </w:tc>
        <w:tc>
          <w:tcPr>
            <w:tcW w:w="118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p>
        </w:tc>
        <w:tc>
          <w:tcPr>
            <w:tcW w:w="117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FF0000"/>
                <w:sz w:val="20"/>
                <w:szCs w:val="20"/>
              </w:rPr>
            </w:pPr>
          </w:p>
        </w:tc>
        <w:tc>
          <w:tcPr>
            <w:tcW w:w="1192"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jc w:val="center"/>
              <w:rPr>
                <w:rFonts w:ascii="Times New Roman" w:hAnsi="Times New Roman"/>
                <w:color w:val="000000"/>
                <w:sz w:val="22"/>
                <w:szCs w:val="22"/>
              </w:rPr>
            </w:pPr>
            <w:r w:rsidR="00C46CF8">
              <w:rPr>
                <w:rFonts w:ascii="Times New Roman" w:hAnsi="Times New Roman"/>
                <w:color w:val="000000"/>
                <w:sz w:val="22"/>
                <w:szCs w:val="22"/>
              </w:rPr>
              <w:t>x</w:t>
            </w:r>
          </w:p>
        </w:tc>
      </w:tr>
      <w:tr>
        <w:tblPrEx>
          <w:tblW w:w="5000" w:type="pct"/>
          <w:tblInd w:w="8" w:type="dxa"/>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rPr>
                <w:rFonts w:ascii="Times New Roman" w:hAnsi="Times New Roman"/>
                <w:color w:val="000000"/>
                <w:sz w:val="20"/>
                <w:szCs w:val="20"/>
              </w:rPr>
            </w:pPr>
            <w:r w:rsidRPr="0022293C">
              <w:rPr>
                <w:rFonts w:ascii="Times New Roman" w:hAnsi="Times New Roman"/>
                <w:color w:val="000000"/>
                <w:sz w:val="20"/>
                <w:szCs w:val="20"/>
              </w:rPr>
              <w:t>2. Vplyvy na podnikateľské prostredie – dochádza k zvýšeniu regulačného zaťaženia?</w:t>
            </w:r>
          </w:p>
        </w:tc>
        <w:tc>
          <w:tcPr>
            <w:tcW w:w="118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p>
        </w:tc>
        <w:tc>
          <w:tcPr>
            <w:tcW w:w="1179"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jc w:val="center"/>
              <w:rPr>
                <w:rFonts w:ascii="Times New Roman" w:hAnsi="Times New Roman"/>
                <w:color w:val="000000"/>
                <w:sz w:val="20"/>
                <w:szCs w:val="20"/>
              </w:rPr>
            </w:pPr>
            <w:r w:rsidRPr="0022293C" w:rsidR="00DD0E14">
              <w:rPr>
                <w:rFonts w:ascii="Times New Roman" w:hAnsi="Times New Roman"/>
                <w:color w:val="000000"/>
                <w:sz w:val="20"/>
                <w:szCs w:val="20"/>
              </w:rPr>
              <w:t>x</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2"/>
                <w:szCs w:val="22"/>
              </w:rPr>
            </w:pPr>
          </w:p>
        </w:tc>
      </w:tr>
      <w:tr>
        <w:tblPrEx>
          <w:tblW w:w="5000" w:type="pct"/>
          <w:tblInd w:w="8" w:type="dxa"/>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rPr>
                <w:rFonts w:ascii="Times New Roman" w:hAnsi="Times New Roman"/>
                <w:color w:val="000000"/>
                <w:sz w:val="20"/>
                <w:szCs w:val="20"/>
              </w:rPr>
            </w:pPr>
            <w:r w:rsidRPr="0022293C">
              <w:rPr>
                <w:rFonts w:ascii="Times New Roman" w:hAnsi="Times New Roman"/>
                <w:color w:val="000000"/>
                <w:sz w:val="20"/>
                <w:szCs w:val="20"/>
              </w:rPr>
              <w:t>3. Sociálne vplyvy</w:t>
            </w:r>
          </w:p>
        </w:tc>
        <w:tc>
          <w:tcPr>
            <w:tcW w:w="1189"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jc w:val="center"/>
              <w:rPr>
                <w:rFonts w:ascii="Times New Roman" w:hAnsi="Times New Roman"/>
                <w:color w:val="000000"/>
                <w:sz w:val="20"/>
                <w:szCs w:val="20"/>
              </w:rPr>
            </w:pPr>
            <w:r w:rsidRPr="0022293C">
              <w:rPr>
                <w:rFonts w:ascii="Times New Roman" w:hAnsi="Times New Roman"/>
                <w:color w:val="000000"/>
                <w:sz w:val="20"/>
                <w:szCs w:val="20"/>
              </w:rPr>
              <w:t>x</w:t>
            </w:r>
          </w:p>
        </w:tc>
        <w:tc>
          <w:tcPr>
            <w:tcW w:w="117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2"/>
                <w:szCs w:val="22"/>
              </w:rPr>
            </w:pPr>
          </w:p>
        </w:tc>
      </w:tr>
      <w:tr>
        <w:tblPrEx>
          <w:tblW w:w="5000" w:type="pct"/>
          <w:tblInd w:w="8" w:type="dxa"/>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rPr>
                <w:rFonts w:ascii="Times New Roman" w:hAnsi="Times New Roman"/>
                <w:color w:val="000000"/>
                <w:sz w:val="20"/>
                <w:szCs w:val="20"/>
              </w:rPr>
            </w:pPr>
            <w:r w:rsidRPr="0022293C">
              <w:rPr>
                <w:rFonts w:ascii="Times New Roman" w:hAnsi="Times New Roman"/>
                <w:color w:val="000000"/>
                <w:sz w:val="20"/>
                <w:szCs w:val="2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F3AA3">
            <w:pPr>
              <w:bidi w:val="0"/>
              <w:spacing w:line="276" w:lineRule="auto"/>
              <w:jc w:val="center"/>
              <w:rPr>
                <w:rFonts w:ascii="Times New Roman" w:hAnsi="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F3AA3">
            <w:pPr>
              <w:bidi w:val="0"/>
              <w:spacing w:line="276" w:lineRule="auto"/>
              <w:jc w:val="center"/>
              <w:rPr>
                <w:rFonts w:ascii="Times New Roman" w:hAnsi="Times New Roman"/>
                <w:color w:val="000000"/>
                <w:sz w:val="20"/>
                <w:szCs w:val="20"/>
              </w:rPr>
            </w:pPr>
            <w:r w:rsidRPr="0022293C" w:rsidR="009F3AA3">
              <w:rPr>
                <w:rFonts w:ascii="Times New Roman" w:hAnsi="Times New Roman"/>
                <w:color w:val="000000"/>
                <w:sz w:val="20"/>
                <w:szCs w:val="2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rPr>
                <w:rFonts w:ascii="Times New Roman" w:hAnsi="Times New Roman"/>
                <w:color w:val="000000"/>
                <w:sz w:val="22"/>
                <w:szCs w:val="22"/>
              </w:rPr>
            </w:pPr>
          </w:p>
        </w:tc>
      </w:tr>
      <w:tr>
        <w:tblPrEx>
          <w:tblW w:w="5000" w:type="pct"/>
          <w:tblInd w:w="8" w:type="dxa"/>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rPr>
                <w:rFonts w:ascii="Times New Roman" w:hAnsi="Times New Roman"/>
                <w:color w:val="000000"/>
                <w:sz w:val="20"/>
                <w:szCs w:val="20"/>
              </w:rPr>
            </w:pPr>
            <w:r w:rsidRPr="0022293C">
              <w:rPr>
                <w:rFonts w:ascii="Times New Roman" w:hAnsi="Times New Roman"/>
                <w:color w:val="000000"/>
                <w:sz w:val="20"/>
                <w:szCs w:val="20"/>
              </w:rPr>
              <w:t>– sociálnu exklúziu,</w:t>
            </w:r>
          </w:p>
        </w:tc>
        <w:tc>
          <w:tcPr>
            <w:tcW w:w="118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p>
        </w:tc>
        <w:tc>
          <w:tcPr>
            <w:tcW w:w="117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r w:rsidRPr="0022293C" w:rsidR="00EC5208">
              <w:rPr>
                <w:rFonts w:ascii="Times New Roman" w:hAnsi="Times New Roman"/>
                <w:color w:val="000000"/>
                <w:sz w:val="20"/>
                <w:szCs w:val="20"/>
              </w:rPr>
              <w:t>x</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2"/>
                <w:szCs w:val="22"/>
              </w:rPr>
            </w:pPr>
          </w:p>
        </w:tc>
      </w:tr>
      <w:tr>
        <w:tblPrEx>
          <w:tblW w:w="5000" w:type="pct"/>
          <w:tblInd w:w="8" w:type="dxa"/>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rPr>
                <w:rFonts w:ascii="Times New Roman" w:hAnsi="Times New Roman"/>
                <w:color w:val="000000"/>
                <w:sz w:val="20"/>
                <w:szCs w:val="20"/>
              </w:rPr>
            </w:pPr>
            <w:r w:rsidRPr="0022293C">
              <w:rPr>
                <w:rFonts w:ascii="Times New Roman" w:hAnsi="Times New Roman"/>
                <w:color w:val="000000"/>
                <w:sz w:val="20"/>
                <w:szCs w:val="20"/>
              </w:rPr>
              <w:t>– rovnosť príležitostí a rodovú rovnosť a vplyvy na zamestnanosť</w:t>
            </w:r>
          </w:p>
        </w:tc>
        <w:tc>
          <w:tcPr>
            <w:tcW w:w="118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r w:rsidRPr="0022293C" w:rsidR="00DD0E14">
              <w:rPr>
                <w:rFonts w:ascii="Times New Roman" w:hAnsi="Times New Roman"/>
                <w:color w:val="000000"/>
                <w:sz w:val="20"/>
                <w:szCs w:val="20"/>
              </w:rPr>
              <w:t>x</w:t>
            </w:r>
          </w:p>
        </w:tc>
        <w:tc>
          <w:tcPr>
            <w:tcW w:w="117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2"/>
                <w:szCs w:val="22"/>
              </w:rPr>
            </w:pPr>
          </w:p>
        </w:tc>
      </w:tr>
      <w:tr>
        <w:tblPrEx>
          <w:tblW w:w="5000" w:type="pct"/>
          <w:tblInd w:w="8" w:type="dxa"/>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rPr>
                <w:rFonts w:ascii="Times New Roman" w:hAnsi="Times New Roman"/>
                <w:color w:val="000000"/>
                <w:sz w:val="20"/>
                <w:szCs w:val="20"/>
              </w:rPr>
            </w:pPr>
            <w:r w:rsidRPr="0022293C">
              <w:rPr>
                <w:rFonts w:ascii="Times New Roman" w:hAnsi="Times New Roman"/>
                <w:color w:val="000000"/>
                <w:sz w:val="20"/>
                <w:szCs w:val="20"/>
              </w:rPr>
              <w:t>4. Vplyvy na životné prostredie</w:t>
            </w:r>
          </w:p>
        </w:tc>
        <w:tc>
          <w:tcPr>
            <w:tcW w:w="118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p>
        </w:tc>
        <w:tc>
          <w:tcPr>
            <w:tcW w:w="1179"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jc w:val="center"/>
              <w:rPr>
                <w:rFonts w:ascii="Times New Roman" w:hAnsi="Times New Roman"/>
                <w:color w:val="000000"/>
                <w:sz w:val="20"/>
                <w:szCs w:val="20"/>
              </w:rPr>
            </w:pPr>
            <w:r w:rsidRPr="0022293C">
              <w:rPr>
                <w:rFonts w:ascii="Times New Roman" w:hAnsi="Times New Roman"/>
                <w:color w:val="000000"/>
                <w:sz w:val="20"/>
                <w:szCs w:val="20"/>
              </w:rPr>
              <w:t>x</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2"/>
                <w:szCs w:val="22"/>
              </w:rPr>
            </w:pPr>
          </w:p>
        </w:tc>
      </w:tr>
      <w:tr>
        <w:tblPrEx>
          <w:tblW w:w="5000" w:type="pct"/>
          <w:tblInd w:w="8" w:type="dxa"/>
          <w:tblCellMar>
            <w:left w:w="0" w:type="dxa"/>
            <w:right w:w="0" w:type="dxa"/>
          </w:tblCellMar>
          <w:tblLook w:val="04A0"/>
        </w:tblPrEx>
        <w:tc>
          <w:tcPr>
            <w:tcW w:w="5528"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rPr>
                <w:rFonts w:ascii="Times New Roman" w:hAnsi="Times New Roman"/>
                <w:color w:val="000000"/>
                <w:sz w:val="20"/>
                <w:szCs w:val="20"/>
              </w:rPr>
            </w:pPr>
            <w:r w:rsidRPr="0022293C">
              <w:rPr>
                <w:rFonts w:ascii="Times New Roman" w:hAnsi="Times New Roman"/>
                <w:color w:val="000000"/>
                <w:sz w:val="20"/>
                <w:szCs w:val="20"/>
              </w:rPr>
              <w:t>5. Vplyvy na informatizáciu spoločnosti</w:t>
            </w:r>
          </w:p>
        </w:tc>
        <w:tc>
          <w:tcPr>
            <w:tcW w:w="1189"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0"/>
                <w:szCs w:val="20"/>
              </w:rPr>
            </w:pPr>
            <w:r w:rsidRPr="0022293C" w:rsidR="00DD0E14">
              <w:rPr>
                <w:rFonts w:ascii="Times New Roman" w:hAnsi="Times New Roman"/>
                <w:color w:val="000000"/>
                <w:sz w:val="20"/>
                <w:szCs w:val="20"/>
              </w:rPr>
              <w:t>x</w:t>
            </w:r>
          </w:p>
        </w:tc>
        <w:tc>
          <w:tcPr>
            <w:tcW w:w="1179"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22293C" w:rsidP="00913F63">
            <w:pPr>
              <w:bidi w:val="0"/>
              <w:spacing w:line="276" w:lineRule="auto"/>
              <w:jc w:val="center"/>
              <w:rPr>
                <w:rFonts w:ascii="Times New Roman" w:hAnsi="Times New Roman"/>
                <w:color w:val="000000"/>
                <w:sz w:val="20"/>
                <w:szCs w:val="20"/>
              </w:rPr>
            </w:pP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CA4E56" w:rsidRPr="0022293C" w:rsidP="00913F63">
            <w:pPr>
              <w:bidi w:val="0"/>
              <w:spacing w:line="276" w:lineRule="auto"/>
              <w:jc w:val="center"/>
              <w:rPr>
                <w:rFonts w:ascii="Times New Roman" w:hAnsi="Times New Roman"/>
                <w:color w:val="000000"/>
                <w:sz w:val="22"/>
                <w:szCs w:val="22"/>
              </w:rPr>
            </w:pPr>
          </w:p>
        </w:tc>
      </w:tr>
    </w:tbl>
    <w:p w:rsidR="00CA4E56" w:rsidRPr="0022293C" w:rsidP="00CA4E56">
      <w:pPr>
        <w:bidi w:val="0"/>
        <w:rPr>
          <w:rFonts w:ascii="Times New Roman" w:hAnsi="Times New Roman"/>
          <w:color w:val="000000"/>
        </w:rPr>
      </w:pPr>
      <w:r w:rsidRPr="0022293C">
        <w:rPr>
          <w:rFonts w:ascii="Times New Roman" w:hAnsi="Times New Roman"/>
          <w:color w:val="000000"/>
        </w:rPr>
        <w:t> </w:t>
      </w:r>
    </w:p>
    <w:p w:rsidR="00CA4E56" w:rsidRPr="0022293C" w:rsidP="00CA4E56">
      <w:pPr>
        <w:pStyle w:val="NormalWeb"/>
        <w:bidi w:val="0"/>
        <w:spacing w:before="0" w:beforeAutospacing="0" w:after="0" w:afterAutospacing="0"/>
        <w:jc w:val="both"/>
        <w:rPr>
          <w:rStyle w:val="PlaceholderText"/>
        </w:rPr>
      </w:pPr>
    </w:p>
    <w:p w:rsidR="00CA4E56" w:rsidRPr="0022293C" w:rsidP="00CA4E56">
      <w:pPr>
        <w:pStyle w:val="NormalWeb"/>
        <w:bidi w:val="0"/>
        <w:spacing w:before="0" w:beforeAutospacing="0" w:after="0" w:afterAutospacing="0"/>
        <w:jc w:val="both"/>
        <w:rPr>
          <w:rFonts w:ascii="Times New Roman" w:hAnsi="Times New Roman"/>
        </w:rPr>
      </w:pPr>
      <w:r w:rsidRPr="0022293C">
        <w:rPr>
          <w:rFonts w:ascii="Times New Roman" w:hAnsi="Times New Roman"/>
          <w:b/>
          <w:bCs/>
        </w:rPr>
        <w:t>A.3. Poznámky</w:t>
      </w:r>
    </w:p>
    <w:p w:rsidR="00CA4E56" w:rsidRPr="0022293C" w:rsidP="00CA4E56">
      <w:pPr>
        <w:pStyle w:val="NormalWeb"/>
        <w:bidi w:val="0"/>
        <w:spacing w:before="0" w:beforeAutospacing="0" w:after="0" w:afterAutospacing="0"/>
        <w:jc w:val="both"/>
        <w:rPr>
          <w:rFonts w:ascii="Times New Roman" w:hAnsi="Times New Roman"/>
        </w:rPr>
      </w:pPr>
      <w:r w:rsidRPr="0022293C">
        <w:rPr>
          <w:rFonts w:ascii="Times New Roman" w:hAnsi="Times New Roman"/>
          <w:b/>
          <w:bCs/>
        </w:rPr>
        <w:t> </w:t>
      </w:r>
    </w:p>
    <w:p w:rsidR="00CA4E56" w:rsidRPr="00663BB4" w:rsidP="003C442D">
      <w:pPr>
        <w:pStyle w:val="NormalWeb"/>
        <w:numPr>
          <w:numId w:val="1"/>
        </w:numPr>
        <w:bidi w:val="0"/>
        <w:spacing w:before="0" w:beforeAutospacing="0" w:after="0" w:afterAutospacing="0" w:line="276" w:lineRule="auto"/>
        <w:ind w:left="420"/>
        <w:jc w:val="both"/>
        <w:rPr>
          <w:rFonts w:ascii="Times New Roman" w:hAnsi="Times New Roman"/>
          <w:u w:val="single"/>
        </w:rPr>
      </w:pPr>
      <w:r w:rsidRPr="0022293C" w:rsidR="00FD4C8D">
        <w:rPr>
          <w:rFonts w:ascii="Times New Roman" w:hAnsi="Times New Roman"/>
          <w:u w:val="single"/>
        </w:rPr>
        <w:t>Vplyvy na rozpočet verejnej správy</w:t>
      </w:r>
      <w:r w:rsidRPr="0022293C" w:rsidR="00FD4C8D">
        <w:rPr>
          <w:rFonts w:ascii="Times New Roman" w:hAnsi="Times New Roman"/>
        </w:rPr>
        <w:t xml:space="preserve"> </w:t>
      </w:r>
    </w:p>
    <w:p w:rsidR="00663BB4" w:rsidRPr="0041408E" w:rsidP="00663BB4">
      <w:pPr>
        <w:pStyle w:val="NormalWeb"/>
        <w:bidi w:val="0"/>
        <w:spacing w:before="0" w:beforeAutospacing="0" w:after="0" w:afterAutospacing="0" w:line="276" w:lineRule="auto"/>
        <w:ind w:left="420"/>
        <w:jc w:val="both"/>
        <w:rPr>
          <w:rFonts w:ascii="Times New Roman" w:hAnsi="Times New Roman"/>
          <w:u w:val="single"/>
        </w:rPr>
      </w:pPr>
    </w:p>
    <w:p w:rsidR="00663BB4" w:rsidRPr="00663BB4" w:rsidP="00663BB4">
      <w:pPr>
        <w:numPr>
          <w:numId w:val="4"/>
        </w:numPr>
        <w:bidi w:val="0"/>
        <w:spacing w:line="276" w:lineRule="auto"/>
        <w:jc w:val="both"/>
        <w:rPr>
          <w:rFonts w:ascii="Times New Roman" w:hAnsi="Times New Roman"/>
        </w:rPr>
      </w:pPr>
      <w:r w:rsidRPr="00663BB4">
        <w:rPr>
          <w:rFonts w:ascii="Times New Roman" w:hAnsi="Times New Roman"/>
        </w:rPr>
        <w:t>Návrh zákona v mesiacoch júl a august zdvojnásobuje maximálnu sumu mesačného príjmu z dohôd o brigádnickej práci študentov, ktorá je oslobodená od povinného dôchodkového poistenia na výšku 39,44% priemernej mesačnej mzdy v hospodárstve Slovenskej republiky zistenej štatistickým úradom Slovenskej republiky za rok, ktorý dva roky predchádza kalendárnemu roku, za ktorý sa platí poistné na dôchodkové poistenie, pre fyzickú osobu staršiu ako 18 rokov.</w:t>
      </w:r>
    </w:p>
    <w:p w:rsidR="00663BB4" w:rsidRPr="00663BB4" w:rsidP="00663BB4">
      <w:pPr>
        <w:pStyle w:val="NormalWeb"/>
        <w:bidi w:val="0"/>
        <w:spacing w:before="120" w:beforeAutospacing="0" w:after="0" w:afterAutospacing="0" w:line="276" w:lineRule="auto"/>
        <w:ind w:left="709"/>
        <w:jc w:val="both"/>
        <w:rPr>
          <w:rFonts w:ascii="Times New Roman" w:hAnsi="Times New Roman"/>
        </w:rPr>
      </w:pPr>
      <w:r w:rsidRPr="00663BB4">
        <w:rPr>
          <w:rFonts w:ascii="Times New Roman" w:hAnsi="Times New Roman"/>
        </w:rPr>
        <w:t>V tabuľke uvádzame dopad návrhu zákona na štátny rozpočet</w:t>
      </w:r>
      <w:r>
        <w:rPr>
          <w:rFonts w:ascii="Times New Roman" w:hAnsi="Times New Roman"/>
        </w:rPr>
        <w:t>:</w:t>
      </w:r>
    </w:p>
    <w:p w:rsidR="00FC6DDD" w:rsidRPr="00FC6DDD" w:rsidP="00663BB4">
      <w:pPr>
        <w:pStyle w:val="NormalWeb"/>
        <w:bidi w:val="0"/>
        <w:spacing w:before="0" w:beforeAutospacing="0" w:after="0" w:afterAutospacing="0" w:line="276" w:lineRule="auto"/>
        <w:ind w:left="709"/>
        <w:jc w:val="both"/>
        <w:rPr>
          <w:rFonts w:ascii="Times New Roman" w:hAnsi="Times New Roman"/>
        </w:rPr>
      </w:pPr>
    </w:p>
    <w:tbl>
      <w:tblPr>
        <w:tblStyle w:val="TableNormal"/>
        <w:tblW w:w="5720" w:type="dxa"/>
        <w:tblInd w:w="921" w:type="dxa"/>
        <w:tblCellMar>
          <w:left w:w="70" w:type="dxa"/>
          <w:right w:w="70" w:type="dxa"/>
        </w:tblCellMar>
        <w:tblLook w:val="04A0"/>
      </w:tblPr>
      <w:tblGrid>
        <w:gridCol w:w="1847"/>
        <w:gridCol w:w="1653"/>
        <w:gridCol w:w="2220"/>
      </w:tblGrid>
      <w:tr>
        <w:tblPrEx>
          <w:tblW w:w="5720" w:type="dxa"/>
          <w:tblInd w:w="921" w:type="dxa"/>
          <w:tblCellMar>
            <w:left w:w="70" w:type="dxa"/>
            <w:right w:w="70" w:type="dxa"/>
          </w:tblCellMar>
          <w:tblLook w:val="04A0"/>
        </w:tblPrEx>
        <w:trPr>
          <w:trHeight w:val="615"/>
        </w:trPr>
        <w:tc>
          <w:tcPr>
            <w:tcW w:w="1847" w:type="dxa"/>
            <w:tcBorders>
              <w:top w:val="single" w:sz="8" w:space="0" w:color="auto"/>
              <w:left w:val="single" w:sz="8" w:space="0" w:color="auto"/>
              <w:bottom w:val="single" w:sz="8" w:space="0" w:color="auto"/>
              <w:right w:val="single" w:sz="8" w:space="0" w:color="auto"/>
            </w:tcBorders>
            <w:shd w:val="clear" w:color="000000" w:fill="D9D9D9"/>
            <w:textDirection w:val="lrTb"/>
            <w:vAlign w:val="center"/>
            <w:hideMark/>
          </w:tcPr>
          <w:p w:rsidR="0041408E" w:rsidRPr="0041408E" w:rsidP="00663BB4">
            <w:pPr>
              <w:widowControl/>
              <w:bidi w:val="0"/>
              <w:adjustRightInd/>
              <w:ind w:left="709"/>
              <w:jc w:val="center"/>
              <w:rPr>
                <w:color w:val="000000"/>
                <w:sz w:val="22"/>
                <w:szCs w:val="22"/>
              </w:rPr>
            </w:pPr>
            <w:r w:rsidRPr="0041408E">
              <w:rPr>
                <w:color w:val="000000"/>
                <w:sz w:val="22"/>
                <w:szCs w:val="22"/>
              </w:rPr>
              <w:t>počet študentov  (vek od 18 r.)</w:t>
            </w:r>
          </w:p>
        </w:tc>
        <w:tc>
          <w:tcPr>
            <w:tcW w:w="1653" w:type="dxa"/>
            <w:tcBorders>
              <w:top w:val="single" w:sz="8" w:space="0" w:color="auto"/>
              <w:left w:val="nil"/>
              <w:bottom w:val="single" w:sz="8" w:space="0" w:color="auto"/>
              <w:right w:val="single" w:sz="8" w:space="0" w:color="auto"/>
            </w:tcBorders>
            <w:shd w:val="clear" w:color="000000" w:fill="D9D9D9"/>
            <w:textDirection w:val="lrTb"/>
            <w:vAlign w:val="center"/>
            <w:hideMark/>
          </w:tcPr>
          <w:p w:rsidR="0041408E" w:rsidRPr="0041408E" w:rsidP="00663BB4">
            <w:pPr>
              <w:widowControl/>
              <w:bidi w:val="0"/>
              <w:adjustRightInd/>
              <w:ind w:left="709"/>
              <w:jc w:val="center"/>
              <w:rPr>
                <w:color w:val="000000"/>
                <w:sz w:val="22"/>
                <w:szCs w:val="22"/>
              </w:rPr>
            </w:pPr>
            <w:r>
              <w:rPr>
                <w:color w:val="000000"/>
                <w:sz w:val="22"/>
                <w:szCs w:val="22"/>
              </w:rPr>
              <w:t>Príjem z brigády v Eur</w:t>
            </w:r>
          </w:p>
        </w:tc>
        <w:tc>
          <w:tcPr>
            <w:tcW w:w="2220" w:type="dxa"/>
            <w:tcBorders>
              <w:top w:val="single" w:sz="8" w:space="0" w:color="auto"/>
              <w:left w:val="nil"/>
              <w:bottom w:val="single" w:sz="8" w:space="0" w:color="auto"/>
              <w:right w:val="single" w:sz="8" w:space="0" w:color="auto"/>
            </w:tcBorders>
            <w:shd w:val="clear" w:color="000000" w:fill="D9D9D9"/>
            <w:textDirection w:val="lrTb"/>
            <w:vAlign w:val="center"/>
            <w:hideMark/>
          </w:tcPr>
          <w:p w:rsidR="0041408E" w:rsidRPr="0041408E" w:rsidP="00663BB4">
            <w:pPr>
              <w:widowControl/>
              <w:bidi w:val="0"/>
              <w:adjustRightInd/>
              <w:ind w:left="709"/>
              <w:jc w:val="center"/>
              <w:rPr>
                <w:color w:val="000000"/>
                <w:sz w:val="22"/>
                <w:szCs w:val="22"/>
              </w:rPr>
            </w:pPr>
            <w:r w:rsidRPr="0041408E">
              <w:rPr>
                <w:color w:val="000000"/>
                <w:sz w:val="22"/>
                <w:szCs w:val="22"/>
              </w:rPr>
              <w:t>Dopad na ŠR</w:t>
            </w:r>
          </w:p>
        </w:tc>
      </w:tr>
      <w:tr>
        <w:tblPrEx>
          <w:tblW w:w="5720" w:type="dxa"/>
          <w:tblInd w:w="921" w:type="dxa"/>
          <w:tblCellMar>
            <w:left w:w="70" w:type="dxa"/>
            <w:right w:w="70" w:type="dxa"/>
          </w:tblCellMar>
          <w:tblLook w:val="04A0"/>
        </w:tblPrEx>
        <w:trPr>
          <w:trHeight w:val="300"/>
        </w:trPr>
        <w:tc>
          <w:tcPr>
            <w:tcW w:w="1847" w:type="dxa"/>
            <w:tcBorders>
              <w:top w:val="nil"/>
              <w:left w:val="single" w:sz="8" w:space="0" w:color="auto"/>
              <w:bottom w:val="single" w:sz="4" w:space="0" w:color="auto"/>
              <w:right w:val="single" w:sz="8" w:space="0" w:color="auto"/>
            </w:tcBorders>
            <w:textDirection w:val="lrTb"/>
            <w:vAlign w:val="bottom"/>
            <w:hideMark/>
          </w:tcPr>
          <w:p w:rsidR="0041408E" w:rsidRPr="0041408E" w:rsidP="00663BB4">
            <w:pPr>
              <w:widowControl/>
              <w:bidi w:val="0"/>
              <w:adjustRightInd/>
              <w:ind w:left="709"/>
              <w:jc w:val="center"/>
              <w:rPr>
                <w:color w:val="000000"/>
                <w:sz w:val="22"/>
                <w:szCs w:val="22"/>
              </w:rPr>
            </w:pPr>
            <w:r w:rsidRPr="0041408E">
              <w:rPr>
                <w:color w:val="000000"/>
                <w:sz w:val="22"/>
                <w:szCs w:val="22"/>
              </w:rPr>
              <w:t>15 000</w:t>
            </w:r>
          </w:p>
        </w:tc>
        <w:tc>
          <w:tcPr>
            <w:tcW w:w="1653" w:type="dxa"/>
            <w:tcBorders>
              <w:top w:val="nil"/>
              <w:left w:val="nil"/>
              <w:bottom w:val="single" w:sz="4" w:space="0" w:color="auto"/>
              <w:right w:val="single" w:sz="8" w:space="0" w:color="auto"/>
            </w:tcBorders>
            <w:noWrap/>
            <w:textDirection w:val="lrTb"/>
            <w:vAlign w:val="bottom"/>
            <w:hideMark/>
          </w:tcPr>
          <w:p w:rsidR="0041408E" w:rsidRPr="0041408E" w:rsidP="00663BB4">
            <w:pPr>
              <w:widowControl/>
              <w:bidi w:val="0"/>
              <w:adjustRightInd/>
              <w:ind w:left="709"/>
              <w:jc w:val="right"/>
              <w:rPr>
                <w:color w:val="000000"/>
                <w:sz w:val="22"/>
                <w:szCs w:val="22"/>
              </w:rPr>
            </w:pPr>
            <w:r w:rsidRPr="0041408E">
              <w:rPr>
                <w:color w:val="000000"/>
                <w:sz w:val="22"/>
                <w:szCs w:val="22"/>
              </w:rPr>
              <w:t>318</w:t>
            </w:r>
          </w:p>
        </w:tc>
        <w:tc>
          <w:tcPr>
            <w:tcW w:w="2220" w:type="dxa"/>
            <w:tcBorders>
              <w:top w:val="nil"/>
              <w:left w:val="nil"/>
              <w:bottom w:val="single" w:sz="4" w:space="0" w:color="auto"/>
              <w:right w:val="single" w:sz="8" w:space="0" w:color="auto"/>
            </w:tcBorders>
            <w:noWrap/>
            <w:textDirection w:val="lrTb"/>
            <w:vAlign w:val="bottom"/>
            <w:hideMark/>
          </w:tcPr>
          <w:p w:rsidR="0041408E" w:rsidRPr="0041408E" w:rsidP="00663BB4">
            <w:pPr>
              <w:widowControl/>
              <w:bidi w:val="0"/>
              <w:adjustRightInd/>
              <w:ind w:left="709"/>
              <w:jc w:val="right"/>
              <w:rPr>
                <w:color w:val="000000"/>
                <w:sz w:val="22"/>
                <w:szCs w:val="22"/>
              </w:rPr>
            </w:pPr>
            <w:r w:rsidRPr="0041408E">
              <w:rPr>
                <w:color w:val="000000"/>
                <w:sz w:val="22"/>
                <w:szCs w:val="22"/>
              </w:rPr>
              <w:t>1 457 100,00</w:t>
            </w:r>
          </w:p>
        </w:tc>
      </w:tr>
      <w:tr>
        <w:tblPrEx>
          <w:tblW w:w="5720" w:type="dxa"/>
          <w:tblInd w:w="921" w:type="dxa"/>
          <w:tblCellMar>
            <w:left w:w="70" w:type="dxa"/>
            <w:right w:w="70" w:type="dxa"/>
          </w:tblCellMar>
          <w:tblLook w:val="04A0"/>
        </w:tblPrEx>
        <w:trPr>
          <w:trHeight w:val="315"/>
        </w:trPr>
        <w:tc>
          <w:tcPr>
            <w:tcW w:w="1847" w:type="dxa"/>
            <w:tcBorders>
              <w:top w:val="nil"/>
              <w:left w:val="single" w:sz="8" w:space="0" w:color="auto"/>
              <w:bottom w:val="single" w:sz="8" w:space="0" w:color="auto"/>
              <w:right w:val="single" w:sz="8" w:space="0" w:color="auto"/>
            </w:tcBorders>
            <w:textDirection w:val="lrTb"/>
            <w:vAlign w:val="bottom"/>
            <w:hideMark/>
          </w:tcPr>
          <w:p w:rsidR="0041408E" w:rsidRPr="0041408E" w:rsidP="00663BB4">
            <w:pPr>
              <w:widowControl/>
              <w:bidi w:val="0"/>
              <w:adjustRightInd/>
              <w:ind w:left="709"/>
              <w:jc w:val="center"/>
              <w:rPr>
                <w:color w:val="000000"/>
                <w:sz w:val="22"/>
                <w:szCs w:val="22"/>
              </w:rPr>
            </w:pPr>
            <w:r w:rsidRPr="0041408E">
              <w:rPr>
                <w:color w:val="000000"/>
                <w:sz w:val="22"/>
                <w:szCs w:val="22"/>
              </w:rPr>
              <w:t>10 000</w:t>
            </w:r>
          </w:p>
        </w:tc>
        <w:tc>
          <w:tcPr>
            <w:tcW w:w="1653" w:type="dxa"/>
            <w:tcBorders>
              <w:top w:val="nil"/>
              <w:left w:val="nil"/>
              <w:bottom w:val="single" w:sz="8" w:space="0" w:color="auto"/>
              <w:right w:val="single" w:sz="8" w:space="0" w:color="auto"/>
            </w:tcBorders>
            <w:noWrap/>
            <w:textDirection w:val="lrTb"/>
            <w:vAlign w:val="bottom"/>
            <w:hideMark/>
          </w:tcPr>
          <w:p w:rsidR="0041408E" w:rsidRPr="0041408E" w:rsidP="00663BB4">
            <w:pPr>
              <w:widowControl/>
              <w:bidi w:val="0"/>
              <w:adjustRightInd/>
              <w:ind w:left="709"/>
              <w:jc w:val="right"/>
              <w:rPr>
                <w:color w:val="000000"/>
                <w:sz w:val="22"/>
                <w:szCs w:val="22"/>
              </w:rPr>
            </w:pPr>
            <w:r w:rsidRPr="0041408E">
              <w:rPr>
                <w:color w:val="000000"/>
                <w:sz w:val="22"/>
                <w:szCs w:val="22"/>
              </w:rPr>
              <w:t>318</w:t>
            </w:r>
          </w:p>
        </w:tc>
        <w:tc>
          <w:tcPr>
            <w:tcW w:w="2220" w:type="dxa"/>
            <w:tcBorders>
              <w:top w:val="nil"/>
              <w:left w:val="nil"/>
              <w:bottom w:val="single" w:sz="8" w:space="0" w:color="auto"/>
              <w:right w:val="single" w:sz="8" w:space="0" w:color="auto"/>
            </w:tcBorders>
            <w:noWrap/>
            <w:textDirection w:val="lrTb"/>
            <w:vAlign w:val="bottom"/>
            <w:hideMark/>
          </w:tcPr>
          <w:p w:rsidR="0041408E" w:rsidRPr="0041408E" w:rsidP="00663BB4">
            <w:pPr>
              <w:widowControl/>
              <w:bidi w:val="0"/>
              <w:adjustRightInd/>
              <w:ind w:left="709"/>
              <w:jc w:val="right"/>
              <w:rPr>
                <w:color w:val="000000"/>
                <w:sz w:val="22"/>
                <w:szCs w:val="22"/>
              </w:rPr>
            </w:pPr>
            <w:r w:rsidRPr="0041408E">
              <w:rPr>
                <w:color w:val="000000"/>
                <w:sz w:val="22"/>
                <w:szCs w:val="22"/>
              </w:rPr>
              <w:t>971 400,00</w:t>
            </w:r>
          </w:p>
        </w:tc>
      </w:tr>
    </w:tbl>
    <w:p w:rsidR="00E33DB4" w:rsidRPr="0041408E" w:rsidP="00307576">
      <w:pPr>
        <w:pStyle w:val="NormalWeb"/>
        <w:bidi w:val="0"/>
        <w:spacing w:before="120" w:beforeAutospacing="0" w:after="0" w:afterAutospacing="0" w:line="276" w:lineRule="auto"/>
        <w:ind w:left="709"/>
        <w:jc w:val="both"/>
        <w:rPr>
          <w:rFonts w:ascii="Times New Roman" w:hAnsi="Times New Roman"/>
        </w:rPr>
      </w:pPr>
      <w:r w:rsidR="00663BB4">
        <w:rPr>
          <w:rFonts w:ascii="Times New Roman" w:hAnsi="Times New Roman"/>
        </w:rPr>
        <w:t>P</w:t>
      </w:r>
      <w:r w:rsidR="00FC6DDD">
        <w:rPr>
          <w:rFonts w:ascii="Times New Roman" w:hAnsi="Times New Roman"/>
        </w:rPr>
        <w:t>ri počte 15. tis a 10 tis. študentov</w:t>
      </w:r>
      <w:r w:rsidR="008F760F">
        <w:rPr>
          <w:rFonts w:ascii="Times New Roman" w:hAnsi="Times New Roman"/>
        </w:rPr>
        <w:t xml:space="preserve"> nad 18 rokov</w:t>
      </w:r>
      <w:r w:rsidR="00FC6DDD">
        <w:rPr>
          <w:rFonts w:ascii="Times New Roman" w:hAnsi="Times New Roman"/>
        </w:rPr>
        <w:t>, kto</w:t>
      </w:r>
      <w:r w:rsidR="008F760F">
        <w:rPr>
          <w:rFonts w:ascii="Times New Roman" w:hAnsi="Times New Roman"/>
        </w:rPr>
        <w:t>rí počas dvoch letných mesiacov</w:t>
      </w:r>
      <w:r w:rsidR="00FC6DDD">
        <w:rPr>
          <w:rFonts w:ascii="Times New Roman" w:hAnsi="Times New Roman"/>
        </w:rPr>
        <w:t xml:space="preserve"> zarobia mesačne 318 Eur, čo je </w:t>
      </w:r>
      <w:r w:rsidR="0089643E">
        <w:rPr>
          <w:rFonts w:ascii="Times New Roman" w:hAnsi="Times New Roman"/>
        </w:rPr>
        <w:t>dvojnásobok sumy určenej opatrením MPSVaR</w:t>
      </w:r>
      <w:r w:rsidR="005D7CB0">
        <w:rPr>
          <w:rFonts w:ascii="Times New Roman" w:hAnsi="Times New Roman"/>
        </w:rPr>
        <w:t xml:space="preserve"> SR</w:t>
      </w:r>
      <w:r w:rsidR="0089643E">
        <w:rPr>
          <w:rFonts w:ascii="Times New Roman" w:hAnsi="Times New Roman"/>
        </w:rPr>
        <w:t>,</w:t>
      </w:r>
      <w:r w:rsidRPr="0041408E" w:rsidR="0041408E">
        <w:rPr>
          <w:rFonts w:ascii="Times New Roman" w:hAnsi="Times New Roman"/>
        </w:rPr>
        <w:t xml:space="preserve"> ktorá je</w:t>
      </w:r>
      <w:r w:rsidR="0089643E">
        <w:rPr>
          <w:rFonts w:ascii="Times New Roman" w:hAnsi="Times New Roman"/>
        </w:rPr>
        <w:t xml:space="preserve"> oslobodená od platenia odvodov. Pre rok 2014 je táto suma vo výške 159 Eur. Dopad na rozpočet pri počte 10 000 </w:t>
      </w:r>
      <w:r w:rsidR="00FC6DDD">
        <w:rPr>
          <w:rFonts w:ascii="Times New Roman" w:hAnsi="Times New Roman"/>
        </w:rPr>
        <w:t>študentov</w:t>
      </w:r>
      <w:r w:rsidR="0089643E">
        <w:rPr>
          <w:rFonts w:ascii="Times New Roman" w:hAnsi="Times New Roman"/>
        </w:rPr>
        <w:t xml:space="preserve"> je cca </w:t>
      </w:r>
      <w:r w:rsidR="008F760F">
        <w:rPr>
          <w:rFonts w:ascii="Times New Roman" w:hAnsi="Times New Roman"/>
        </w:rPr>
        <w:t>971</w:t>
      </w:r>
      <w:r w:rsidR="0089643E">
        <w:rPr>
          <w:rFonts w:ascii="Times New Roman" w:hAnsi="Times New Roman"/>
        </w:rPr>
        <w:t xml:space="preserve"> tis. Eur.</w:t>
      </w:r>
    </w:p>
    <w:p w:rsidR="00663BB4" w:rsidP="008F760F">
      <w:pPr>
        <w:pStyle w:val="NormalWeb"/>
        <w:bidi w:val="0"/>
        <w:spacing w:before="0" w:beforeAutospacing="0" w:after="0" w:afterAutospacing="0" w:line="276" w:lineRule="auto"/>
        <w:jc w:val="both"/>
        <w:rPr>
          <w:rFonts w:ascii="Times New Roman" w:hAnsi="Times New Roman"/>
          <w:u w:val="single"/>
        </w:rPr>
      </w:pPr>
    </w:p>
    <w:p w:rsidR="00307576" w:rsidP="008F760F">
      <w:pPr>
        <w:pStyle w:val="NormalWeb"/>
        <w:bidi w:val="0"/>
        <w:spacing w:before="0" w:beforeAutospacing="0" w:after="0" w:afterAutospacing="0" w:line="276" w:lineRule="auto"/>
        <w:jc w:val="both"/>
        <w:rPr>
          <w:rFonts w:ascii="Times New Roman" w:hAnsi="Times New Roman"/>
          <w:u w:val="single"/>
        </w:rPr>
      </w:pPr>
    </w:p>
    <w:p w:rsidR="00663BB4" w:rsidRPr="00663BB4" w:rsidP="00663BB4">
      <w:pPr>
        <w:numPr>
          <w:numId w:val="4"/>
        </w:numPr>
        <w:bidi w:val="0"/>
        <w:spacing w:line="276" w:lineRule="auto"/>
        <w:ind w:left="714" w:hanging="357"/>
        <w:jc w:val="both"/>
        <w:rPr>
          <w:rFonts w:ascii="Times New Roman" w:hAnsi="Times New Roman"/>
        </w:rPr>
      </w:pPr>
      <w:r w:rsidRPr="00663BB4">
        <w:rPr>
          <w:rFonts w:ascii="Times New Roman" w:hAnsi="Times New Roman"/>
        </w:rPr>
        <w:t xml:space="preserve">V mesiacoch júl a august sa zdvojnásobuje maximálna suma mesačného príjmu z dohôd o brigádnickej práci študentov pre osobu ktorá nedovŕšila vek 18 rokov, ktorá je oslobodená od povinného dôchodkového poistenia na výšku 16,78% priemernej mesačnej mzdy v hospodárstve Slovenskej republiky zistenej štatistickým úradom SR za rok, ktorý dva roky predchádza kalendárnemu roku, za ktorý sa platí poistné na dôchodkové poistenie, a to až do konca kalendárneho mesiaca, v ktorom fyzická osoba dovŕšila vek 18 rokov. </w:t>
      </w:r>
    </w:p>
    <w:p w:rsidR="00663BB4" w:rsidRPr="00663BB4" w:rsidP="00663BB4">
      <w:pPr>
        <w:pStyle w:val="NormalWeb"/>
        <w:bidi w:val="0"/>
        <w:spacing w:before="120" w:beforeAutospacing="0" w:after="0" w:afterAutospacing="0" w:line="276" w:lineRule="auto"/>
        <w:ind w:left="709"/>
        <w:jc w:val="both"/>
        <w:rPr>
          <w:rFonts w:ascii="Times New Roman" w:hAnsi="Times New Roman"/>
        </w:rPr>
      </w:pPr>
      <w:r w:rsidRPr="00663BB4">
        <w:rPr>
          <w:rFonts w:ascii="Times New Roman" w:hAnsi="Times New Roman"/>
        </w:rPr>
        <w:t>V tabuľke uvádzame dopad návrhu zákona na štátny rozpočet</w:t>
      </w:r>
      <w:r>
        <w:rPr>
          <w:rFonts w:ascii="Times New Roman" w:hAnsi="Times New Roman"/>
        </w:rPr>
        <w:t>:</w:t>
      </w:r>
    </w:p>
    <w:p w:rsidR="00663BB4" w:rsidP="008F760F">
      <w:pPr>
        <w:pStyle w:val="NormalWeb"/>
        <w:bidi w:val="0"/>
        <w:spacing w:before="0" w:beforeAutospacing="0" w:after="0" w:afterAutospacing="0" w:line="276" w:lineRule="auto"/>
        <w:jc w:val="both"/>
        <w:rPr>
          <w:rFonts w:ascii="Times New Roman" w:hAnsi="Times New Roman"/>
          <w:u w:val="single"/>
        </w:rPr>
      </w:pPr>
    </w:p>
    <w:tbl>
      <w:tblPr>
        <w:tblStyle w:val="TableNormal"/>
        <w:tblW w:w="5720" w:type="dxa"/>
        <w:tblInd w:w="921" w:type="dxa"/>
        <w:tblCellMar>
          <w:left w:w="70" w:type="dxa"/>
          <w:right w:w="70" w:type="dxa"/>
        </w:tblCellMar>
        <w:tblLook w:val="04A0"/>
      </w:tblPr>
      <w:tblGrid>
        <w:gridCol w:w="2020"/>
        <w:gridCol w:w="1480"/>
        <w:gridCol w:w="2220"/>
      </w:tblGrid>
      <w:tr>
        <w:tblPrEx>
          <w:tblW w:w="5720" w:type="dxa"/>
          <w:tblInd w:w="921" w:type="dxa"/>
          <w:tblCellMar>
            <w:left w:w="70" w:type="dxa"/>
            <w:right w:w="70" w:type="dxa"/>
          </w:tblCellMar>
          <w:tblLook w:val="04A0"/>
        </w:tblPrEx>
        <w:trPr>
          <w:trHeight w:val="615"/>
        </w:trPr>
        <w:tc>
          <w:tcPr>
            <w:tcW w:w="2020" w:type="dxa"/>
            <w:tcBorders>
              <w:top w:val="single" w:sz="8" w:space="0" w:color="auto"/>
              <w:left w:val="single" w:sz="8" w:space="0" w:color="auto"/>
              <w:bottom w:val="single" w:sz="8" w:space="0" w:color="auto"/>
              <w:right w:val="single" w:sz="8" w:space="0" w:color="auto"/>
            </w:tcBorders>
            <w:shd w:val="clear" w:color="000000" w:fill="D9D9D9"/>
            <w:textDirection w:val="lrTb"/>
            <w:vAlign w:val="center"/>
            <w:hideMark/>
          </w:tcPr>
          <w:p w:rsidR="0041408E" w:rsidRPr="0041408E" w:rsidP="0041408E">
            <w:pPr>
              <w:widowControl/>
              <w:bidi w:val="0"/>
              <w:adjustRightInd/>
              <w:jc w:val="center"/>
              <w:rPr>
                <w:color w:val="000000"/>
                <w:sz w:val="22"/>
                <w:szCs w:val="22"/>
              </w:rPr>
            </w:pPr>
            <w:r w:rsidRPr="0041408E">
              <w:rPr>
                <w:color w:val="000000"/>
                <w:sz w:val="22"/>
                <w:szCs w:val="22"/>
              </w:rPr>
              <w:t>počet  študentov  (vek do 18 r. )</w:t>
            </w:r>
          </w:p>
        </w:tc>
        <w:tc>
          <w:tcPr>
            <w:tcW w:w="1480" w:type="dxa"/>
            <w:tcBorders>
              <w:top w:val="single" w:sz="8" w:space="0" w:color="auto"/>
              <w:left w:val="nil"/>
              <w:bottom w:val="single" w:sz="8" w:space="0" w:color="auto"/>
              <w:right w:val="single" w:sz="8" w:space="0" w:color="auto"/>
            </w:tcBorders>
            <w:shd w:val="clear" w:color="000000" w:fill="D9D9D9"/>
            <w:textDirection w:val="lrTb"/>
            <w:vAlign w:val="center"/>
            <w:hideMark/>
          </w:tcPr>
          <w:p w:rsidR="0041408E" w:rsidRPr="0041408E" w:rsidP="0041408E">
            <w:pPr>
              <w:widowControl/>
              <w:bidi w:val="0"/>
              <w:adjustRightInd/>
              <w:jc w:val="center"/>
              <w:rPr>
                <w:color w:val="000000"/>
                <w:sz w:val="22"/>
                <w:szCs w:val="22"/>
              </w:rPr>
            </w:pPr>
            <w:r>
              <w:rPr>
                <w:color w:val="000000"/>
                <w:sz w:val="22"/>
                <w:szCs w:val="22"/>
              </w:rPr>
              <w:t>Príjem z brigády v Eur</w:t>
            </w:r>
          </w:p>
        </w:tc>
        <w:tc>
          <w:tcPr>
            <w:tcW w:w="2220" w:type="dxa"/>
            <w:tcBorders>
              <w:top w:val="single" w:sz="8" w:space="0" w:color="auto"/>
              <w:left w:val="nil"/>
              <w:bottom w:val="single" w:sz="8" w:space="0" w:color="auto"/>
              <w:right w:val="single" w:sz="8" w:space="0" w:color="auto"/>
            </w:tcBorders>
            <w:shd w:val="clear" w:color="000000" w:fill="D9D9D9"/>
            <w:textDirection w:val="lrTb"/>
            <w:vAlign w:val="center"/>
            <w:hideMark/>
          </w:tcPr>
          <w:p w:rsidR="0041408E" w:rsidRPr="0041408E" w:rsidP="0041408E">
            <w:pPr>
              <w:widowControl/>
              <w:bidi w:val="0"/>
              <w:adjustRightInd/>
              <w:jc w:val="center"/>
              <w:rPr>
                <w:color w:val="000000"/>
                <w:sz w:val="22"/>
                <w:szCs w:val="22"/>
              </w:rPr>
            </w:pPr>
            <w:r w:rsidRPr="0041408E">
              <w:rPr>
                <w:color w:val="000000"/>
                <w:sz w:val="22"/>
                <w:szCs w:val="22"/>
              </w:rPr>
              <w:t>Dopad na ŠR</w:t>
            </w:r>
          </w:p>
        </w:tc>
      </w:tr>
      <w:tr>
        <w:tblPrEx>
          <w:tblW w:w="5720" w:type="dxa"/>
          <w:tblInd w:w="921" w:type="dxa"/>
          <w:tblCellMar>
            <w:left w:w="70" w:type="dxa"/>
            <w:right w:w="70" w:type="dxa"/>
          </w:tblCellMar>
          <w:tblLook w:val="04A0"/>
        </w:tblPrEx>
        <w:trPr>
          <w:trHeight w:val="300"/>
        </w:trPr>
        <w:tc>
          <w:tcPr>
            <w:tcW w:w="2020" w:type="dxa"/>
            <w:tcBorders>
              <w:top w:val="nil"/>
              <w:left w:val="single" w:sz="8" w:space="0" w:color="auto"/>
              <w:bottom w:val="single" w:sz="4" w:space="0" w:color="auto"/>
              <w:right w:val="single" w:sz="8" w:space="0" w:color="auto"/>
            </w:tcBorders>
            <w:textDirection w:val="lrTb"/>
            <w:vAlign w:val="bottom"/>
            <w:hideMark/>
          </w:tcPr>
          <w:p w:rsidR="0041408E" w:rsidRPr="0041408E" w:rsidP="0041408E">
            <w:pPr>
              <w:widowControl/>
              <w:bidi w:val="0"/>
              <w:adjustRightInd/>
              <w:jc w:val="center"/>
              <w:rPr>
                <w:color w:val="000000"/>
                <w:sz w:val="22"/>
                <w:szCs w:val="22"/>
              </w:rPr>
            </w:pPr>
            <w:r w:rsidRPr="0041408E">
              <w:rPr>
                <w:color w:val="000000"/>
                <w:sz w:val="22"/>
                <w:szCs w:val="22"/>
              </w:rPr>
              <w:t>5 000</w:t>
            </w:r>
          </w:p>
        </w:tc>
        <w:tc>
          <w:tcPr>
            <w:tcW w:w="1480" w:type="dxa"/>
            <w:tcBorders>
              <w:top w:val="nil"/>
              <w:left w:val="nil"/>
              <w:bottom w:val="single" w:sz="4" w:space="0" w:color="auto"/>
              <w:right w:val="single" w:sz="8" w:space="0" w:color="auto"/>
            </w:tcBorders>
            <w:noWrap/>
            <w:textDirection w:val="lrTb"/>
            <w:vAlign w:val="bottom"/>
            <w:hideMark/>
          </w:tcPr>
          <w:p w:rsidR="0041408E" w:rsidRPr="0041408E" w:rsidP="0041408E">
            <w:pPr>
              <w:widowControl/>
              <w:bidi w:val="0"/>
              <w:adjustRightInd/>
              <w:jc w:val="right"/>
              <w:rPr>
                <w:color w:val="000000"/>
                <w:sz w:val="22"/>
                <w:szCs w:val="22"/>
              </w:rPr>
            </w:pPr>
            <w:r w:rsidRPr="0041408E">
              <w:rPr>
                <w:color w:val="000000"/>
                <w:sz w:val="22"/>
                <w:szCs w:val="22"/>
              </w:rPr>
              <w:t>136</w:t>
            </w:r>
          </w:p>
        </w:tc>
        <w:tc>
          <w:tcPr>
            <w:tcW w:w="2220" w:type="dxa"/>
            <w:tcBorders>
              <w:top w:val="nil"/>
              <w:left w:val="nil"/>
              <w:bottom w:val="single" w:sz="4" w:space="0" w:color="auto"/>
              <w:right w:val="single" w:sz="8" w:space="0" w:color="auto"/>
            </w:tcBorders>
            <w:noWrap/>
            <w:textDirection w:val="lrTb"/>
            <w:vAlign w:val="bottom"/>
            <w:hideMark/>
          </w:tcPr>
          <w:p w:rsidR="0041408E" w:rsidRPr="0041408E" w:rsidP="0041408E">
            <w:pPr>
              <w:widowControl/>
              <w:bidi w:val="0"/>
              <w:adjustRightInd/>
              <w:jc w:val="right"/>
              <w:rPr>
                <w:color w:val="000000"/>
                <w:sz w:val="22"/>
                <w:szCs w:val="22"/>
              </w:rPr>
            </w:pPr>
            <w:r w:rsidRPr="0041408E">
              <w:rPr>
                <w:color w:val="000000"/>
                <w:sz w:val="22"/>
                <w:szCs w:val="22"/>
              </w:rPr>
              <w:t>208 600,00</w:t>
            </w:r>
          </w:p>
        </w:tc>
      </w:tr>
      <w:tr>
        <w:tblPrEx>
          <w:tblW w:w="5720" w:type="dxa"/>
          <w:tblInd w:w="921" w:type="dxa"/>
          <w:tblCellMar>
            <w:left w:w="70" w:type="dxa"/>
            <w:right w:w="70" w:type="dxa"/>
          </w:tblCellMar>
          <w:tblLook w:val="04A0"/>
        </w:tblPrEx>
        <w:trPr>
          <w:trHeight w:val="315"/>
        </w:trPr>
        <w:tc>
          <w:tcPr>
            <w:tcW w:w="2020" w:type="dxa"/>
            <w:tcBorders>
              <w:top w:val="nil"/>
              <w:left w:val="single" w:sz="8" w:space="0" w:color="auto"/>
              <w:bottom w:val="single" w:sz="8" w:space="0" w:color="auto"/>
              <w:right w:val="single" w:sz="8" w:space="0" w:color="auto"/>
            </w:tcBorders>
            <w:textDirection w:val="lrTb"/>
            <w:vAlign w:val="bottom"/>
            <w:hideMark/>
          </w:tcPr>
          <w:p w:rsidR="0041408E" w:rsidRPr="0041408E" w:rsidP="0041408E">
            <w:pPr>
              <w:widowControl/>
              <w:bidi w:val="0"/>
              <w:adjustRightInd/>
              <w:jc w:val="center"/>
              <w:rPr>
                <w:color w:val="000000"/>
                <w:sz w:val="22"/>
                <w:szCs w:val="22"/>
              </w:rPr>
            </w:pPr>
            <w:r w:rsidRPr="0041408E">
              <w:rPr>
                <w:color w:val="000000"/>
                <w:sz w:val="22"/>
                <w:szCs w:val="22"/>
              </w:rPr>
              <w:t>2 000</w:t>
            </w:r>
          </w:p>
        </w:tc>
        <w:tc>
          <w:tcPr>
            <w:tcW w:w="1480" w:type="dxa"/>
            <w:tcBorders>
              <w:top w:val="nil"/>
              <w:left w:val="nil"/>
              <w:bottom w:val="single" w:sz="8" w:space="0" w:color="auto"/>
              <w:right w:val="single" w:sz="8" w:space="0" w:color="auto"/>
            </w:tcBorders>
            <w:noWrap/>
            <w:textDirection w:val="lrTb"/>
            <w:vAlign w:val="bottom"/>
            <w:hideMark/>
          </w:tcPr>
          <w:p w:rsidR="0041408E" w:rsidRPr="0041408E" w:rsidP="0041408E">
            <w:pPr>
              <w:widowControl/>
              <w:bidi w:val="0"/>
              <w:adjustRightInd/>
              <w:jc w:val="right"/>
              <w:rPr>
                <w:color w:val="000000"/>
                <w:sz w:val="22"/>
                <w:szCs w:val="22"/>
              </w:rPr>
            </w:pPr>
            <w:r w:rsidRPr="0041408E">
              <w:rPr>
                <w:color w:val="000000"/>
                <w:sz w:val="22"/>
                <w:szCs w:val="22"/>
              </w:rPr>
              <w:t>136</w:t>
            </w:r>
          </w:p>
        </w:tc>
        <w:tc>
          <w:tcPr>
            <w:tcW w:w="2220" w:type="dxa"/>
            <w:tcBorders>
              <w:top w:val="nil"/>
              <w:left w:val="nil"/>
              <w:bottom w:val="single" w:sz="8" w:space="0" w:color="auto"/>
              <w:right w:val="single" w:sz="8" w:space="0" w:color="auto"/>
            </w:tcBorders>
            <w:noWrap/>
            <w:textDirection w:val="lrTb"/>
            <w:vAlign w:val="bottom"/>
            <w:hideMark/>
          </w:tcPr>
          <w:p w:rsidR="0041408E" w:rsidRPr="0041408E" w:rsidP="0041408E">
            <w:pPr>
              <w:widowControl/>
              <w:bidi w:val="0"/>
              <w:adjustRightInd/>
              <w:jc w:val="right"/>
              <w:rPr>
                <w:color w:val="000000"/>
                <w:sz w:val="22"/>
                <w:szCs w:val="22"/>
              </w:rPr>
            </w:pPr>
            <w:r w:rsidRPr="0041408E">
              <w:rPr>
                <w:color w:val="000000"/>
                <w:sz w:val="22"/>
                <w:szCs w:val="22"/>
              </w:rPr>
              <w:t>83 440,00</w:t>
            </w:r>
          </w:p>
        </w:tc>
      </w:tr>
    </w:tbl>
    <w:p w:rsidR="00FC6DDD" w:rsidRPr="0041408E" w:rsidP="00663BB4">
      <w:pPr>
        <w:pStyle w:val="NormalWeb"/>
        <w:bidi w:val="0"/>
        <w:spacing w:before="120" w:beforeAutospacing="0" w:after="0" w:afterAutospacing="0" w:line="276" w:lineRule="auto"/>
        <w:ind w:left="709"/>
        <w:jc w:val="both"/>
        <w:rPr>
          <w:rFonts w:ascii="Times New Roman" w:hAnsi="Times New Roman"/>
        </w:rPr>
      </w:pPr>
      <w:r w:rsidR="00663BB4">
        <w:rPr>
          <w:rFonts w:ascii="Times New Roman" w:hAnsi="Times New Roman"/>
        </w:rPr>
        <w:t>P</w:t>
      </w:r>
      <w:r>
        <w:rPr>
          <w:rFonts w:ascii="Times New Roman" w:hAnsi="Times New Roman"/>
        </w:rPr>
        <w:t>ri počte 5. tis a 2 tis. študentov do 18 rokov, kto</w:t>
      </w:r>
      <w:r w:rsidR="008F760F">
        <w:rPr>
          <w:rFonts w:ascii="Times New Roman" w:hAnsi="Times New Roman"/>
        </w:rPr>
        <w:t>rí počas dvoch letných mesiacov</w:t>
      </w:r>
      <w:r>
        <w:rPr>
          <w:rFonts w:ascii="Times New Roman" w:hAnsi="Times New Roman"/>
        </w:rPr>
        <w:t xml:space="preserve"> zarobia mesačne 136 Eur, čo je dvojnásobok sumy určenej opatrením MPSVaR</w:t>
      </w:r>
      <w:r w:rsidR="005D7CB0">
        <w:rPr>
          <w:rFonts w:ascii="Times New Roman" w:hAnsi="Times New Roman"/>
        </w:rPr>
        <w:t xml:space="preserve"> SR</w:t>
      </w:r>
      <w:r>
        <w:rPr>
          <w:rFonts w:ascii="Times New Roman" w:hAnsi="Times New Roman"/>
        </w:rPr>
        <w:t>,</w:t>
      </w:r>
      <w:r w:rsidRPr="0041408E">
        <w:rPr>
          <w:rFonts w:ascii="Times New Roman" w:hAnsi="Times New Roman"/>
        </w:rPr>
        <w:t xml:space="preserve"> ktorá je</w:t>
      </w:r>
      <w:r>
        <w:rPr>
          <w:rFonts w:ascii="Times New Roman" w:hAnsi="Times New Roman"/>
        </w:rPr>
        <w:t xml:space="preserve"> oslobodená od platenia odvodov. Pre rok 2014 je táto suma vo výške 68 Eur. Dopad na rozpočet pri počte 5 000 študentov je cca 209 tis. Eur.</w:t>
      </w:r>
    </w:p>
    <w:p w:rsidR="0089643E" w:rsidP="0089643E">
      <w:pPr>
        <w:pStyle w:val="NormalWeb"/>
        <w:bidi w:val="0"/>
        <w:spacing w:before="0" w:beforeAutospacing="0" w:after="0" w:afterAutospacing="0" w:line="276" w:lineRule="auto"/>
        <w:ind w:left="420"/>
        <w:jc w:val="both"/>
        <w:rPr>
          <w:rFonts w:ascii="Times New Roman" w:hAnsi="Times New Roman"/>
          <w:u w:val="single"/>
        </w:rPr>
      </w:pPr>
    </w:p>
    <w:p w:rsidR="0089643E" w:rsidRPr="0022293C" w:rsidP="00E33DB4">
      <w:pPr>
        <w:pStyle w:val="NormalWeb"/>
        <w:bidi w:val="0"/>
        <w:spacing w:before="0" w:beforeAutospacing="0" w:after="0" w:afterAutospacing="0" w:line="276" w:lineRule="auto"/>
        <w:ind w:left="420"/>
        <w:jc w:val="both"/>
        <w:rPr>
          <w:rFonts w:ascii="Times New Roman" w:hAnsi="Times New Roman"/>
          <w:u w:val="single"/>
        </w:rPr>
      </w:pPr>
    </w:p>
    <w:p w:rsidR="00CA4E56" w:rsidRPr="0022293C" w:rsidP="00EC5208">
      <w:pPr>
        <w:pStyle w:val="NormalWeb"/>
        <w:numPr>
          <w:numId w:val="1"/>
        </w:numPr>
        <w:bidi w:val="0"/>
        <w:spacing w:before="0" w:beforeAutospacing="0" w:after="0" w:afterAutospacing="0" w:line="276" w:lineRule="auto"/>
        <w:ind w:left="420"/>
        <w:jc w:val="both"/>
        <w:rPr>
          <w:rFonts w:ascii="Times New Roman" w:hAnsi="Times New Roman"/>
        </w:rPr>
      </w:pPr>
      <w:r w:rsidRPr="0022293C">
        <w:rPr>
          <w:rFonts w:ascii="Times New Roman" w:hAnsi="Times New Roman"/>
          <w:u w:val="single"/>
        </w:rPr>
        <w:t>Vplyvy na podnikateľské prostredie</w:t>
      </w:r>
      <w:r w:rsidRPr="0022293C">
        <w:rPr>
          <w:rFonts w:ascii="Times New Roman" w:hAnsi="Times New Roman"/>
        </w:rPr>
        <w:t xml:space="preserve"> – návrh zákona </w:t>
      </w:r>
      <w:r w:rsidRPr="0022293C" w:rsidR="00E90F86">
        <w:rPr>
          <w:rFonts w:ascii="Times New Roman" w:hAnsi="Times New Roman"/>
        </w:rPr>
        <w:t xml:space="preserve">má </w:t>
      </w:r>
      <w:r w:rsidRPr="0022293C" w:rsidR="00EC5208">
        <w:rPr>
          <w:rFonts w:ascii="Times New Roman" w:hAnsi="Times New Roman"/>
        </w:rPr>
        <w:t xml:space="preserve">neutrálny </w:t>
      </w:r>
      <w:r w:rsidRPr="0022293C" w:rsidR="00E90F86">
        <w:rPr>
          <w:rFonts w:ascii="Times New Roman" w:hAnsi="Times New Roman"/>
        </w:rPr>
        <w:t>vplyv</w:t>
      </w:r>
      <w:r w:rsidRPr="0022293C">
        <w:rPr>
          <w:rFonts w:ascii="Times New Roman" w:hAnsi="Times New Roman"/>
        </w:rPr>
        <w:t xml:space="preserve"> na podnikateľské prostredie. </w:t>
      </w:r>
    </w:p>
    <w:p w:rsidR="00EC5208" w:rsidRPr="0022293C" w:rsidP="00EC5208">
      <w:pPr>
        <w:pStyle w:val="NormalWeb"/>
        <w:bidi w:val="0"/>
        <w:spacing w:before="0" w:beforeAutospacing="0" w:after="0" w:afterAutospacing="0" w:line="276" w:lineRule="auto"/>
        <w:ind w:left="-300"/>
        <w:jc w:val="both"/>
        <w:rPr>
          <w:rFonts w:ascii="Times New Roman" w:hAnsi="Times New Roman"/>
        </w:rPr>
      </w:pPr>
    </w:p>
    <w:p w:rsidR="00E90F86" w:rsidRPr="0022293C" w:rsidP="00EC5208">
      <w:pPr>
        <w:pStyle w:val="NormalWeb"/>
        <w:numPr>
          <w:numId w:val="1"/>
        </w:numPr>
        <w:bidi w:val="0"/>
        <w:spacing w:before="0" w:beforeAutospacing="0" w:after="0" w:afterAutospacing="0" w:line="276" w:lineRule="auto"/>
        <w:ind w:left="420"/>
        <w:jc w:val="both"/>
        <w:rPr>
          <w:rFonts w:ascii="Times New Roman" w:hAnsi="Times New Roman"/>
        </w:rPr>
      </w:pPr>
      <w:r w:rsidRPr="0022293C" w:rsidR="00CA4E56">
        <w:rPr>
          <w:rFonts w:ascii="Times New Roman" w:hAnsi="Times New Roman"/>
          <w:u w:val="single"/>
        </w:rPr>
        <w:t>Sociálne vplyvy</w:t>
      </w:r>
      <w:r w:rsidRPr="0022293C" w:rsidR="00CA4E56">
        <w:rPr>
          <w:rFonts w:ascii="Times New Roman" w:hAnsi="Times New Roman"/>
        </w:rPr>
        <w:t xml:space="preserve"> – návrh zákona má pozitívne sociálne vplyvy. </w:t>
      </w:r>
    </w:p>
    <w:p w:rsidR="00CA4E56" w:rsidRPr="0022293C" w:rsidP="00EC5208">
      <w:pPr>
        <w:pStyle w:val="NormalWeb"/>
        <w:bidi w:val="0"/>
        <w:spacing w:before="0" w:beforeAutospacing="0" w:after="0" w:afterAutospacing="0"/>
        <w:ind w:left="408"/>
        <w:jc w:val="both"/>
        <w:rPr>
          <w:rFonts w:ascii="Times New Roman" w:hAnsi="Times New Roman"/>
        </w:rPr>
      </w:pPr>
      <w:r w:rsidRPr="0022293C" w:rsidR="00EC5208">
        <w:rPr>
          <w:rFonts w:ascii="Times New Roman" w:hAnsi="Times New Roman"/>
        </w:rPr>
        <w:t xml:space="preserve">Návrh zákona bude mať </w:t>
      </w:r>
      <w:r w:rsidRPr="0022293C" w:rsidR="00E33DB4">
        <w:rPr>
          <w:rFonts w:ascii="Times New Roman" w:hAnsi="Times New Roman"/>
        </w:rPr>
        <w:t xml:space="preserve">pozitívny </w:t>
      </w:r>
      <w:r w:rsidRPr="0022293C" w:rsidR="00EC5208">
        <w:rPr>
          <w:rFonts w:ascii="Times New Roman" w:hAnsi="Times New Roman"/>
        </w:rPr>
        <w:t xml:space="preserve">vplyv na </w:t>
      </w:r>
      <w:r w:rsidRPr="0022293C" w:rsidR="00E33DB4">
        <w:rPr>
          <w:rFonts w:ascii="Times New Roman" w:hAnsi="Times New Roman"/>
        </w:rPr>
        <w:t>finančné zabezpečenie študentov</w:t>
      </w:r>
      <w:r w:rsidRPr="0022293C" w:rsidR="00EC5208">
        <w:rPr>
          <w:rFonts w:ascii="Times New Roman" w:hAnsi="Times New Roman"/>
        </w:rPr>
        <w:t>i bez nároku na čerpanie prostriedkov z verejných zdrojov.</w:t>
      </w:r>
    </w:p>
    <w:p w:rsidR="004F464A" w:rsidRPr="0022293C" w:rsidP="00CA4E56">
      <w:pPr>
        <w:pStyle w:val="NormalWeb"/>
        <w:bidi w:val="0"/>
        <w:spacing w:before="0" w:beforeAutospacing="0" w:after="0" w:afterAutospacing="0"/>
        <w:jc w:val="both"/>
        <w:rPr>
          <w:rFonts w:ascii="Times New Roman" w:hAnsi="Times New Roman"/>
          <w:b/>
          <w:bCs/>
        </w:rPr>
      </w:pPr>
    </w:p>
    <w:p w:rsidR="00CA4E56" w:rsidRPr="0022293C" w:rsidP="00CA4E56">
      <w:pPr>
        <w:pStyle w:val="NormalWeb"/>
        <w:bidi w:val="0"/>
        <w:spacing w:before="0" w:beforeAutospacing="0" w:after="0" w:afterAutospacing="0"/>
        <w:jc w:val="both"/>
        <w:rPr>
          <w:rFonts w:ascii="Times New Roman" w:hAnsi="Times New Roman"/>
        </w:rPr>
      </w:pPr>
      <w:r w:rsidRPr="0022293C">
        <w:rPr>
          <w:rFonts w:ascii="Times New Roman" w:hAnsi="Times New Roman"/>
          <w:b/>
          <w:bCs/>
        </w:rPr>
        <w:t>A.4. Alternatívne riešenia</w:t>
      </w:r>
    </w:p>
    <w:p w:rsidR="00CA4E56" w:rsidRPr="0022293C" w:rsidP="00CA4E56">
      <w:pPr>
        <w:pStyle w:val="NormalWeb"/>
        <w:bidi w:val="0"/>
        <w:spacing w:before="0" w:beforeAutospacing="0" w:after="0" w:afterAutospacing="0"/>
        <w:jc w:val="both"/>
        <w:rPr>
          <w:rFonts w:ascii="Times New Roman" w:hAnsi="Times New Roman"/>
        </w:rPr>
      </w:pPr>
    </w:p>
    <w:p w:rsidR="00CA4E56" w:rsidRPr="0022293C" w:rsidP="00CA4E56">
      <w:pPr>
        <w:pStyle w:val="NormalWeb"/>
        <w:bidi w:val="0"/>
        <w:spacing w:before="0" w:beforeAutospacing="0" w:after="0" w:afterAutospacing="0"/>
        <w:jc w:val="both"/>
        <w:rPr>
          <w:rFonts w:ascii="Times New Roman" w:hAnsi="Times New Roman"/>
        </w:rPr>
      </w:pPr>
      <w:r w:rsidRPr="0022293C">
        <w:rPr>
          <w:rFonts w:ascii="Times New Roman" w:hAnsi="Times New Roman"/>
        </w:rPr>
        <w:t>Neuvažovalo sa s alternatívnymi riešeniami.</w:t>
      </w:r>
    </w:p>
    <w:p w:rsidR="00CA4E56" w:rsidRPr="0022293C" w:rsidP="00CA4E56">
      <w:pPr>
        <w:pStyle w:val="NormalWeb"/>
        <w:bidi w:val="0"/>
        <w:spacing w:before="0" w:beforeAutospacing="0" w:after="0" w:afterAutospacing="0"/>
        <w:ind w:left="1416"/>
        <w:jc w:val="both"/>
        <w:rPr>
          <w:rFonts w:ascii="Times New Roman" w:hAnsi="Times New Roman"/>
        </w:rPr>
      </w:pPr>
      <w:r w:rsidRPr="0022293C">
        <w:rPr>
          <w:rFonts w:ascii="Times New Roman" w:hAnsi="Times New Roman"/>
        </w:rPr>
        <w:t> </w:t>
      </w:r>
    </w:p>
    <w:p w:rsidR="00CA4E56" w:rsidRPr="0022293C" w:rsidP="00CA4E56">
      <w:pPr>
        <w:pStyle w:val="NormalWeb"/>
        <w:bidi w:val="0"/>
        <w:spacing w:before="0" w:beforeAutospacing="0" w:after="0" w:afterAutospacing="0"/>
        <w:rPr>
          <w:rFonts w:ascii="Times New Roman" w:hAnsi="Times New Roman"/>
          <w:b/>
          <w:bCs/>
        </w:rPr>
      </w:pPr>
      <w:r w:rsidRPr="0022293C">
        <w:rPr>
          <w:rFonts w:ascii="Times New Roman" w:hAnsi="Times New Roman"/>
          <w:b/>
          <w:bCs/>
        </w:rPr>
        <w:t xml:space="preserve">A.5. Stanovisko gestorov </w:t>
      </w:r>
    </w:p>
    <w:p w:rsidR="00CA4E56" w:rsidRPr="0022293C" w:rsidP="00CA4E56">
      <w:pPr>
        <w:pStyle w:val="NormalWeb"/>
        <w:bidi w:val="0"/>
        <w:spacing w:before="0" w:beforeAutospacing="0" w:after="0" w:afterAutospacing="0"/>
        <w:rPr>
          <w:rFonts w:ascii="Times New Roman" w:hAnsi="Times New Roman"/>
          <w:bCs/>
        </w:rPr>
      </w:pPr>
    </w:p>
    <w:p w:rsidR="00913F63" w:rsidRPr="0022293C" w:rsidP="00CA4E56">
      <w:pPr>
        <w:pStyle w:val="NormalWeb"/>
        <w:bidi w:val="0"/>
        <w:spacing w:before="0" w:beforeAutospacing="0" w:after="0" w:afterAutospacing="0"/>
        <w:rPr>
          <w:rFonts w:ascii="Times New Roman" w:hAnsi="Times New Roman"/>
          <w:bCs/>
        </w:rPr>
      </w:pPr>
      <w:r w:rsidRPr="0022293C" w:rsidR="00CA4E56">
        <w:rPr>
          <w:rFonts w:ascii="Times New Roman" w:hAnsi="Times New Roman"/>
          <w:bCs/>
        </w:rPr>
        <w:t>Bezpredmetné</w:t>
      </w:r>
    </w:p>
    <w:sectPr w:rsidSect="0039628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C2E"/>
    <w:multiLevelType w:val="hybridMultilevel"/>
    <w:tmpl w:val="9600F414"/>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
    <w:nsid w:val="2466146C"/>
    <w:multiLevelType w:val="hybridMultilevel"/>
    <w:tmpl w:val="4E50B0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96717DC"/>
    <w:multiLevelType w:val="hybridMultilevel"/>
    <w:tmpl w:val="0F5EFBD0"/>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hint="default"/>
      </w:rPr>
    </w:lvl>
    <w:lvl w:ilvl="8">
      <w:start w:val="1"/>
      <w:numFmt w:val="bullet"/>
      <w:lvlText w:val=""/>
      <w:lvlJc w:val="left"/>
      <w:pPr>
        <w:ind w:left="6900" w:hanging="360"/>
      </w:pPr>
      <w:rPr>
        <w:rFonts w:ascii="Wingdings" w:hAnsi="Wingdings" w:hint="default"/>
      </w:rPr>
    </w:lvl>
  </w:abstractNum>
  <w:abstractNum w:abstractNumId="3">
    <w:nsid w:val="7F8A31C7"/>
    <w:multiLevelType w:val="hybridMultilevel"/>
    <w:tmpl w:val="AAE4579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A4E56"/>
    <w:rsid w:val="00013711"/>
    <w:rsid w:val="0020178B"/>
    <w:rsid w:val="0022293C"/>
    <w:rsid w:val="002774C3"/>
    <w:rsid w:val="002B5103"/>
    <w:rsid w:val="002F6B19"/>
    <w:rsid w:val="00307576"/>
    <w:rsid w:val="00396289"/>
    <w:rsid w:val="003C442D"/>
    <w:rsid w:val="0041408E"/>
    <w:rsid w:val="00443432"/>
    <w:rsid w:val="004F464A"/>
    <w:rsid w:val="00522D9E"/>
    <w:rsid w:val="005B37ED"/>
    <w:rsid w:val="005D7CB0"/>
    <w:rsid w:val="00663BB4"/>
    <w:rsid w:val="0077286F"/>
    <w:rsid w:val="007B7C46"/>
    <w:rsid w:val="00885167"/>
    <w:rsid w:val="0089643E"/>
    <w:rsid w:val="008F760F"/>
    <w:rsid w:val="00913F63"/>
    <w:rsid w:val="00966807"/>
    <w:rsid w:val="009F3AA3"/>
    <w:rsid w:val="00AF369F"/>
    <w:rsid w:val="00B43D70"/>
    <w:rsid w:val="00C46CF8"/>
    <w:rsid w:val="00CA4E56"/>
    <w:rsid w:val="00D21900"/>
    <w:rsid w:val="00D4543B"/>
    <w:rsid w:val="00D92324"/>
    <w:rsid w:val="00DD0E14"/>
    <w:rsid w:val="00DF421D"/>
    <w:rsid w:val="00E00508"/>
    <w:rsid w:val="00E33DB4"/>
    <w:rsid w:val="00E90F86"/>
    <w:rsid w:val="00EC5208"/>
    <w:rsid w:val="00FC6DDD"/>
    <w:rsid w:val="00FD4C8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E56"/>
    <w:pPr>
      <w:framePr w:wrap="auto"/>
      <w:widowControl w:val="0"/>
      <w:autoSpaceDE/>
      <w:autoSpaceDN/>
      <w:adjustRightInd w:val="0"/>
      <w:ind w:left="0" w:right="0"/>
      <w:jc w:val="left"/>
      <w:textAlignment w:val="auto"/>
    </w:pPr>
    <w:rPr>
      <w:rFonts w:ascii="Calibri" w:hAnsi="Calibri"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uiPriority w:val="99"/>
    <w:semiHidden/>
    <w:rsid w:val="00CA4E56"/>
    <w:rPr>
      <w:rFonts w:ascii="Times New Roman" w:hAnsi="Times New Roman" w:cs="Times New Roman"/>
      <w:color w:val="808080"/>
    </w:rPr>
  </w:style>
  <w:style w:type="paragraph" w:styleId="NormalWeb">
    <w:name w:val="Normal (Web)"/>
    <w:basedOn w:val="Normal"/>
    <w:uiPriority w:val="99"/>
    <w:unhideWhenUsed/>
    <w:rsid w:val="00CA4E56"/>
    <w:pPr>
      <w:widowControl/>
      <w:adjustRightInd/>
      <w:spacing w:before="100" w:beforeAutospacing="1" w:after="100" w:afterAutospacing="1"/>
      <w:jc w:val="left"/>
    </w:pPr>
    <w:rPr>
      <w:rFonts w:ascii="Times New Roman" w:hAnsi="Times New Roman"/>
    </w:rPr>
  </w:style>
  <w:style w:type="paragraph" w:styleId="ListParagraph">
    <w:name w:val="List Paragraph"/>
    <w:basedOn w:val="Normal"/>
    <w:uiPriority w:val="34"/>
    <w:qFormat/>
    <w:rsid w:val="00E90F86"/>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457</Words>
  <Characters>2610</Characters>
  <Application>Microsoft Office Word</Application>
  <DocSecurity>0</DocSecurity>
  <Lines>0</Lines>
  <Paragraphs>0</Paragraphs>
  <ScaleCrop>false</ScaleCrop>
  <Company>Kancelaria NR SR</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Gabika Šedová</dc:creator>
  <cp:lastModifiedBy>Gašparíková, Jarmila</cp:lastModifiedBy>
  <cp:revision>2</cp:revision>
  <dcterms:created xsi:type="dcterms:W3CDTF">2014-04-25T13:03:00Z</dcterms:created>
  <dcterms:modified xsi:type="dcterms:W3CDTF">2014-04-25T13:03:00Z</dcterms:modified>
</cp:coreProperties>
</file>