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66E" w:rsidRPr="006819C1">
      <w:pPr>
        <w:bidi w:val="0"/>
        <w:rPr>
          <w:rFonts w:ascii="Times New Roman" w:eastAsia="Times New Roman Bold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Dô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vodová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</w:t>
      </w:r>
    </w:p>
    <w:p w:rsidR="0092466E" w:rsidRPr="006819C1">
      <w:pPr>
        <w:numPr>
          <w:numId w:val="3"/>
        </w:numPr>
        <w:tabs>
          <w:tab w:val="num" w:pos="330"/>
          <w:tab w:val="clear" w:pos="360"/>
        </w:tabs>
        <w:bidi w:val="0"/>
        <w:ind w:left="330" w:hanging="330"/>
        <w:rPr>
          <w:rFonts w:ascii="Times New Roman" w:eastAsia="Times New Roman Bold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eobecná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asť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Pred rokom prijatý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kon nepriniesol 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iaden pokrok v odstraň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ovaní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znych 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n, najmä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alergé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nnej rastliny ambró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zie palinolistej (Ambrosia artemisifolia), ktorá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sa ď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alej rozš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iruje.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Nakoľ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nom, ktorý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je oprá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vnený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konať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podľ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 prijatej novelizá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cie v roku 2013, je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rody, ktorý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 sa automaticky myslí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tna ochrana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alebo 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 poverená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osoba,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kon v praxi nemá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iaden úč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inok, lebo: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tna ochrana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je finanč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ne a personá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lne mnohoná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sobne poddim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enzovaná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rozpoč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tová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organizá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cia MŽ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 a nemá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dostatok personá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lnych kapací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 na kontrolu zamorenia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znymi rastlinami a neexistuje 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iaden predpoklad, 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 tieto kapacity sa navýš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ia, dokonca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nestí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ha ani jeho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kladnú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funkciu: dohľ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ad nad c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nený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mi 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zemiami.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tna ochrana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takisto nemá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dostatok finanč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prostriedkov na odstraň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ovanie 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znych 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vlastný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mi silami alebo cez poverené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osoby, ktoré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by mohli potom,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sledne vymá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od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kov pozemkov.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tna ochrana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así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 prež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itie a zabezpeč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ujú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väčš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inou len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funkcie administratí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vneho charakteru. Tento stav sa v dohľ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adnej budú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cnosti takisto nebude meniť.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Naviac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tna ochrana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je rozpoč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tová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organizá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cia, jej jednotlivé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regioná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lne zlož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ky nemajú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vnu subj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ektivitu a finanč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prostriedky môž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u využí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len na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klade vopred schvá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lené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ho rozpoč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tu, podľ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 rozhodnutia riaditeľ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OP</w:t>
      </w:r>
      <w:r w:rsidR="006819C1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 je vzhľ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adom na pož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iadavku operatí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vnosti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sahov pre zastavenie zamorenia nemysliteľ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zatiaľ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 je predví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dateľ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, koľ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 odstraň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ovací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 treba roč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ne vopred naplá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novať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v ktorý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oblastiach.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Preto navrhujeme, aby do monitoringu a odstraň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ovaniu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znych 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boli zapojené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aj iné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ny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rody: samosprá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vy obcí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miest, pre ktoré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to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innosť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nevytvorí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navýš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y a aby obce a mestá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dostali 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vomoc odstrá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niť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zne druhy 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na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klady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ka pozemkov. Obce a mestá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majú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prirodzený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prehľ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ad o situá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cii v ich katastri, dostá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medzi prvý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mi </w:t>
      </w:r>
      <w:r w:rsidRPr="006819C1" w:rsidR="006819C1">
        <w:rPr>
          <w:rFonts w:ascii="Times New Roman" w:hAnsi="Times New Roman" w:cs="Times New Roman" w:hint="default"/>
          <w:sz w:val="24"/>
          <w:szCs w:val="24"/>
          <w:lang w:val="sk-SK"/>
        </w:rPr>
        <w:t>informá</w:t>
      </w:r>
      <w:r w:rsidRPr="006819C1" w:rsidR="006819C1">
        <w:rPr>
          <w:rFonts w:ascii="Times New Roman" w:hAnsi="Times New Roman" w:cs="Times New Roman" w:hint="default"/>
          <w:sz w:val="24"/>
          <w:szCs w:val="24"/>
          <w:lang w:val="sk-SK"/>
        </w:rPr>
        <w:t>cie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nosti od obč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anov a disponujú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väčš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ou finanč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nou flexi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bilitou a vedia na princí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pe subsidiarity lepš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ie posú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diť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spoloč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enskú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potrebu vykonať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odstrá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nenie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znych, najmä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alergé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nnych 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vo svojom katastri. Takisto obce a mestá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majú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fungujú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ce pá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ky a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stroje na prinú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tenie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kov parciel ako a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j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na vymá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hanie peň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azí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za odstraň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ovanie ako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tny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rody. Naviac v pochybnostiach sa vž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dy môž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u obrá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tiť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na regioná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lne pracoviská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tnej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rody o </w:t>
      </w:r>
      <w:r w:rsidRPr="006819C1" w:rsidR="006819C1">
        <w:rPr>
          <w:rFonts w:ascii="Times New Roman" w:hAnsi="Times New Roman" w:cs="Times New Roman" w:hint="default"/>
          <w:sz w:val="24"/>
          <w:szCs w:val="24"/>
          <w:lang w:val="sk-SK"/>
        </w:rPr>
        <w:t>odborný</w:t>
      </w:r>
      <w:r w:rsidRPr="006819C1" w:rsidR="004427A9">
        <w:rPr>
          <w:rFonts w:ascii="Times New Roman" w:hAnsi="Times New Roman" w:cs="Times New Roman"/>
          <w:sz w:val="24"/>
          <w:szCs w:val="24"/>
          <w:lang w:val="sk-SK"/>
        </w:rPr>
        <w:t xml:space="preserve"> posudok</w:t>
      </w:r>
      <w:r w:rsidR="006819C1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 sa tý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ka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nosti zamorenia.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Treba naviac principiá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lne </w:t>
      </w:r>
      <w:r w:rsidRPr="006819C1" w:rsidR="006819C1">
        <w:rPr>
          <w:rFonts w:ascii="Times New Roman" w:hAnsi="Times New Roman" w:cs="Times New Roman" w:hint="default"/>
          <w:sz w:val="24"/>
          <w:szCs w:val="24"/>
          <w:lang w:val="sk-SK"/>
        </w:rPr>
        <w:t>vyzdvihnúť</w:t>
      </w:r>
      <w:r w:rsidRPr="006819C1" w:rsidR="004427A9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 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to zmena je len spresnení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kona, lebo aj obce a mesta sú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nmi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rody, teda v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sade by vš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etky tieto 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va a povinnosti mali aj </w:t>
      </w:r>
      <w:r w:rsidR="006819C1">
        <w:rPr>
          <w:rFonts w:ascii="Times New Roman" w:hAnsi="Times New Roman" w:cs="Times New Roman"/>
          <w:sz w:val="24"/>
          <w:szCs w:val="24"/>
          <w:lang w:val="sk-SK"/>
        </w:rPr>
        <w:t>pre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nich platiť.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 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ve preto, považ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ujeme za potrebné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zmeniť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kon tak, 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 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to novelizá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cia neukladá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obciam a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mestá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 novú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povinnosť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, ale 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vež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 ich z existujú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cej ale nejasnej povinnosti zbavuje ale ponechá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 im 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vomoc zasiahnuť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, ak zí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skajú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presvedč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enie, 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 treba neodkladne konať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 prospech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a verejné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ho zdravia.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Navrhovaná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novela má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pozití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vny vpl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yv na podnikateľ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ské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prostredie, lebo existujú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kon sa stane vykonateľ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nejší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m, keďž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 ploš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ochrana zniž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uje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klady poľ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nohospodá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rov na intenzí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vnu ochranu na obhospodarovaný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pô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dach. Vš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eobecne vš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etky invazí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vne rastliny spô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sobujú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poľ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nohospodá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rstve viacm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lió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nové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kody na 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rode a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na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kladoch na ich nič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enie v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obrá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banej pô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de, preto ploš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zabezpeč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enie ich likvidá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cie aj na nevyuží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plochá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bude mať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vysoký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hospodá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rsky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nos aj pre poľ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nohospodá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rstvo a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lesní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ctvo. Na druhej strane povinnosť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odstraň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ovania 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iaducich 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nie je novou povinnosť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ou, lebo sa novelizá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cia povinnosti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kov rieš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 len z pohľ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adu urč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enia </w:t>
      </w:r>
      <w:r w:rsidRPr="006819C1" w:rsidR="006819C1">
        <w:rPr>
          <w:rFonts w:ascii="Times New Roman" w:hAnsi="Times New Roman" w:cs="Times New Roman" w:hint="default"/>
          <w:sz w:val="24"/>
          <w:szCs w:val="24"/>
          <w:lang w:val="sk-SK"/>
        </w:rPr>
        <w:t>pevné</w:t>
      </w:r>
      <w:r w:rsidRPr="006819C1" w:rsidR="006819C1">
        <w:rPr>
          <w:rFonts w:ascii="Times New Roman" w:hAnsi="Times New Roman" w:cs="Times New Roman" w:hint="default"/>
          <w:sz w:val="24"/>
          <w:szCs w:val="24"/>
          <w:lang w:val="sk-SK"/>
        </w:rPr>
        <w:t>ho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termí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nu jedinej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znej rastliny a to do 1. 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la bež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ho roka,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 nevytvá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ra naviac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klady 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iadnej strane.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Vplyv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vrhu na rozpoč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et 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verejnej sprá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vy je vyrovnaný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, keďž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 pokiaľ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sa samosprá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 rozhodne na vlastný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et ale vž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dy na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klady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ka pozemku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zne rastliny dať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odstrá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niť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, tak bude mať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rok na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hradu tý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chto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kladov od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ka, ktoré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je mož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uplatniť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aj formou sú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dnej ex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cie. Naviac poskytnutá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kompetencia vytvá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ra obciam a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nom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lež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itosť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erpať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prostriedky z rô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znych úč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elový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fondov (napr. z Enviromentá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lneho fondu) a zo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trukturá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lnych fondov pre osvetovú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innosť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 oblasti prevencii a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odstraň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ovania in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znych druhov 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n.</w:t>
      </w:r>
    </w:p>
    <w:p w:rsidR="0092466E" w:rsidRPr="006819C1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kona je v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lade s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stavou Slovenskej republiky,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konmi a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ostatný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mi vš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eobecne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vä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mi 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vnymi predpismi ako aj s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medziná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mi zmluvami, ktorý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mi je Slovenská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republika viazaná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, ako aj 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vom Euró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pskej 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nie.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vrh je v sú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lade s Euró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pskou straté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giou pre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zne nepô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vodné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druhy, ktorá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bola schvá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lená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lym vý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borom Bernské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ho dohovoru    5. decembra 2003 v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trasburgu a takisto je v sú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lade s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vrhom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rodnej straté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gie pre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zne nepô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vodné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druhy pripravené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Ministerstvom 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ivotn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ho prostredia SR. </w:t>
      </w:r>
    </w:p>
    <w:p w:rsidR="0092466E" w:rsidRPr="006819C1">
      <w:pPr>
        <w:bidi w:val="0"/>
        <w:jc w:val="both"/>
        <w:rPr>
          <w:rFonts w:ascii="Times New Roman" w:eastAsia="Times New Roman Bold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B. Osobitná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asť</w:t>
      </w:r>
    </w:p>
    <w:p w:rsidR="0092466E" w:rsidRPr="006819C1">
      <w:pPr>
        <w:bidi w:val="0"/>
        <w:jc w:val="both"/>
        <w:rPr>
          <w:rFonts w:ascii="Times New Roman" w:eastAsia="Times New Roman Bold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l. I</w:t>
      </w:r>
    </w:p>
    <w:p w:rsidR="0092466E" w:rsidRPr="006819C1">
      <w:pPr>
        <w:bidi w:val="0"/>
        <w:jc w:val="both"/>
        <w:rPr>
          <w:rFonts w:ascii="Times New Roman" w:eastAsia="Times New Roman Bold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/>
          <w:sz w:val="24"/>
          <w:szCs w:val="24"/>
          <w:lang w:val="sk-SK"/>
        </w:rPr>
        <w:t>K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bodu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. 1 </w:t>
      </w:r>
    </w:p>
    <w:p w:rsidR="0092466E" w:rsidRPr="006819C1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vrh upresň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uje hranič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termí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pre odstraň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ovanie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zneho druhu Ambró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zia palinolistá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(Ambrosia artemisifolia) do 1. 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la bež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ho roka preto, aby bolo pre vš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etky povinné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osoby zrejmá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 a jasná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povinn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samotné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odstraň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ovanie malo najväčš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iu úč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innosť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- pred rozkvitnutí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 a zamorovaní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 silne alergé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nnym peľ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om.</w:t>
      </w:r>
    </w:p>
    <w:p w:rsidR="0092466E" w:rsidRPr="006819C1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Konkré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tne urč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termí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v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pade alergé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nnej rastliny Ambró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zia palinolistá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(Ambrosia artemisifolia) sa veľ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mi pozití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vne osvedč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il vo viacerý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krajin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ch, kde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pasia s alergiou na Ambró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ziu palinolistú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(Ambrosia artemisifolia), ako je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vajč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iarsko, Taliansko, Francú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zsko, Maď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arsko. </w:t>
      </w:r>
    </w:p>
    <w:p w:rsidR="0092466E" w:rsidRPr="006819C1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Ambró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ziu palinolistá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je veľ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mi silný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 alergé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nom, na ktorú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je citlivá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80% populá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cie, postihnutej alergiami dý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chací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ch ciest 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–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 skoro milió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na obč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anov. Vď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aka tejto novele sa alergikom vý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razne zlepší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zdravotná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situá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cia, 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 predstavuje ekonomické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spory aj pre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 v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milió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noch Eur roč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ne. </w:t>
      </w:r>
    </w:p>
    <w:p w:rsidR="0092466E" w:rsidRPr="006819C1">
      <w:pPr>
        <w:bidi w:val="0"/>
        <w:jc w:val="both"/>
        <w:rPr>
          <w:rFonts w:ascii="Times New Roman" w:eastAsia="Times New Roman Bold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/>
          <w:sz w:val="24"/>
          <w:szCs w:val="24"/>
          <w:lang w:val="sk-SK"/>
        </w:rPr>
        <w:t>K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bodu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. 2</w:t>
      </w:r>
    </w:p>
    <w:p w:rsidR="0092466E" w:rsidRPr="006819C1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Cieľ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om je, aby aj obce a mestá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mali mož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upozorniť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vyzvať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kov pozemk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ov na odstrá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nenie, nie len na bezvý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sledné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“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udá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vanie”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u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nov 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tnej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rody.</w:t>
      </w:r>
    </w:p>
    <w:p w:rsidR="0092466E" w:rsidRPr="006819C1">
      <w:pPr>
        <w:bidi w:val="0"/>
        <w:jc w:val="both"/>
        <w:rPr>
          <w:rFonts w:ascii="Times New Roman" w:eastAsia="Times New Roman Bold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/>
          <w:sz w:val="24"/>
          <w:szCs w:val="24"/>
          <w:lang w:val="sk-SK"/>
        </w:rPr>
        <w:t>K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bodu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. 3</w:t>
      </w:r>
    </w:p>
    <w:p w:rsidR="0092466E" w:rsidRPr="006819C1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/>
          <w:sz w:val="24"/>
          <w:szCs w:val="24"/>
          <w:lang w:val="sk-SK"/>
        </w:rPr>
        <w:t>V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pade nebezpeč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enstva vzniku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kodlivý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sledkov môž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nariadiť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kovi (sprá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vcovi,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jomcovi) pozemku odstrá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nenie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znych d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ruhov 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n. Ak takto ulož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enú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povinnosť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 nesplní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, za úč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elom odstrá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nenia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znych druhov 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na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klady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ka sa ustanovuje oprá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vnenie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nu 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tnej ochrany prí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rody a obce, v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ktorej katastrá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lnom 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zemí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pozemok s 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skytom invá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znych druhov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rastlí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 sa nachá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dza alebo taký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mto orgá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nom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  obcou poverený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ch osô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b, vstupovať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na cudzie pozemky na nevyhnutne potrebný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as po predchá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dzajú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com upozornení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vlastní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ka (sprá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vcu, ná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jomcu) dotknuté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ho pozemku.</w:t>
      </w:r>
    </w:p>
    <w:p w:rsidR="0092466E" w:rsidRPr="006819C1">
      <w:pPr>
        <w:bidi w:val="0"/>
        <w:jc w:val="both"/>
        <w:rPr>
          <w:rFonts w:ascii="Times New Roman" w:eastAsia="Times New Roman Bold" w:hAnsi="Times New Roman" w:cs="Times New Roman"/>
          <w:sz w:val="24"/>
          <w:szCs w:val="24"/>
          <w:lang w:val="sk-SK"/>
        </w:rPr>
      </w:pPr>
    </w:p>
    <w:p w:rsidR="0092466E" w:rsidRPr="006819C1">
      <w:pPr>
        <w:bidi w:val="0"/>
        <w:jc w:val="both"/>
        <w:rPr>
          <w:rFonts w:ascii="Times New Roman" w:eastAsia="Times New Roman Bold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K 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l. II</w:t>
      </w:r>
    </w:p>
    <w:p w:rsidR="0092466E" w:rsidRPr="006819C1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Navrhuje sa úč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>innosť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6819C1" w:rsidR="004427A9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 na </w:t>
      </w:r>
      <w:r w:rsidRPr="006819C1" w:rsidR="006819C1">
        <w:rPr>
          <w:rFonts w:ascii="Times New Roman" w:hAnsi="Times New Roman" w:cs="Times New Roman"/>
          <w:sz w:val="24"/>
          <w:szCs w:val="24"/>
          <w:lang w:val="sk-SK"/>
        </w:rPr>
        <w:t>1. septembra</w:t>
      </w:r>
      <w:r w:rsidRPr="006819C1" w:rsidR="006819C1">
        <w:rPr>
          <w:rFonts w:ascii="Times New Roman" w:hAnsi="Times New Roman" w:cs="Times New Roman"/>
          <w:sz w:val="24"/>
          <w:szCs w:val="24"/>
          <w:lang w:val="sk-SK"/>
        </w:rPr>
        <w:t xml:space="preserve"> 2014</w:t>
      </w:r>
      <w:r w:rsidRPr="006819C1" w:rsidR="004427A9">
        <w:rPr>
          <w:rFonts w:ascii="Times New Roman" w:hAnsi="Times New Roman" w:cs="Times New Roman"/>
          <w:sz w:val="24"/>
          <w:szCs w:val="24"/>
          <w:lang w:val="sk-SK"/>
        </w:rPr>
        <w:t>.</w:t>
      </w:r>
    </w:p>
    <w:sectPr w:rsidSect="0092466E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6E">
    <w:pPr>
      <w:pStyle w:val="Fejlcslblc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6E">
    <w:pPr>
      <w:pStyle w:val="Fejlcslblc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04B9"/>
    <w:multiLevelType w:val="multilevel"/>
    <w:tmpl w:val="C8A4F59A"/>
    <w:lvl w:ilvl="0">
      <w:start w:val="1"/>
      <w:numFmt w:val="upperLetter"/>
      <w:lvlText w:val="%1.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abstractNum w:abstractNumId="1">
    <w:nsid w:val="2D9D0A9F"/>
    <w:multiLevelType w:val="multilevel"/>
    <w:tmpl w:val="464A1B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</w:abstractNum>
  <w:abstractNum w:abstractNumId="2">
    <w:nsid w:val="4AB95443"/>
    <w:multiLevelType w:val="multilevel"/>
    <w:tmpl w:val="B1861368"/>
    <w:styleLink w:val="List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2466E"/>
    <w:rsid w:val="00114A15"/>
    <w:rsid w:val="004427A9"/>
    <w:rsid w:val="006819C1"/>
    <w:rsid w:val="0092466E"/>
    <w:rsid w:val="00CA3D7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466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Arial Unicode MS" w:hAnsi="Arial Unicode MS" w:cs="Arial Unicode MS"/>
      <w:color w:val="000000"/>
      <w:sz w:val="22"/>
      <w:szCs w:val="22"/>
      <w:u w:color="00000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insideV w:val="none" w:sz="31" w:space="31" w:color="FFFFFF" w:shadow="1" w:frame="1"/>
      </w:tcBorders>
    </w:tc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466E"/>
    <w:rPr>
      <w:u w:val="single"/>
    </w:rPr>
  </w:style>
  <w:style w:type="table" w:customStyle="1" w:styleId="TableNormal1">
    <w:name w:val="Table Normal1"/>
    <w:rsid w:val="009246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>
        <w:insideV w:val="none" w:sz="31" w:space="31" w:color="FFFFFF" w:shadow="1" w:frame="1"/>
      </w:tcBorders>
    </w:tcPr>
  </w:style>
  <w:style w:type="paragraph" w:customStyle="1" w:styleId="Fejlcslblc">
    <w:name w:val="Fejléc és lábléc"/>
    <w:rsid w:val="0092466E"/>
    <w:pPr>
      <w:framePr w:wrap="auto"/>
      <w:widowControl/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4"/>
      <w:szCs w:val="24"/>
      <w:rtl w:val="0"/>
      <w:cs w:val="0"/>
      <w:lang w:val="sk-SK" w:eastAsia="sk-SK" w:bidi="ar-SA"/>
    </w:rPr>
  </w:style>
  <w:style w:type="numbering" w:customStyle="1" w:styleId="List0">
    <w:name w:val="List 0"/>
    <w:basedOn w:val="NoList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1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993</Words>
  <Characters>5666</Characters>
  <Application>Microsoft Office Word</Application>
  <DocSecurity>0</DocSecurity>
  <Lines>0</Lines>
  <Paragraphs>0</Paragraphs>
  <ScaleCrop>false</ScaleCrop>
  <Company>Kancelaria NR SR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2014-04-24T11:07:00Z</dcterms:created>
  <dcterms:modified xsi:type="dcterms:W3CDTF">2014-04-24T11:07:00Z</dcterms:modified>
</cp:coreProperties>
</file>