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6753" w:rsidRPr="00C84E71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 w:rsidRPr="00C84E71"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7D6753" w:rsidRPr="00C84E71">
      <w:pPr>
        <w:bidi w:val="0"/>
        <w:jc w:val="center"/>
        <w:rPr>
          <w:rFonts w:ascii="Times New Roman" w:hAnsi="Times New Roman"/>
          <w:b/>
          <w:lang w:val="sk-SK"/>
        </w:rPr>
      </w:pPr>
      <w:r w:rsidRPr="00C84E71">
        <w:rPr>
          <w:rFonts w:ascii="Times New Roman" w:hAnsi="Times New Roman"/>
          <w:b/>
          <w:lang w:val="sk-SK"/>
        </w:rPr>
        <w:t>právneho predpisu s právom Európskej únie </w:t>
      </w:r>
    </w:p>
    <w:p w:rsidR="007D6753" w:rsidRPr="00C84E71">
      <w:pPr>
        <w:bidi w:val="0"/>
        <w:rPr>
          <w:rFonts w:ascii="Times New Roman" w:hAnsi="Times New Roman"/>
          <w:lang w:val="sk-SK"/>
        </w:rPr>
      </w:pPr>
    </w:p>
    <w:p w:rsidR="007D6753" w:rsidRPr="00C84E71">
      <w:pPr>
        <w:bidi w:val="0"/>
        <w:rPr>
          <w:rFonts w:ascii="Times New Roman" w:hAnsi="Times New Roman"/>
          <w:lang w:val="sk-SK"/>
        </w:rPr>
      </w:pPr>
    </w:p>
    <w:p w:rsidR="007D6753" w:rsidRPr="00C84E71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C84E71">
        <w:rPr>
          <w:rFonts w:ascii="Times New Roman" w:hAnsi="Times New Roman"/>
          <w:b/>
          <w:lang w:val="sk-SK"/>
        </w:rPr>
        <w:t>1.</w:t>
        <w:tab/>
        <w:t>Predkladateľ právneho predpisu:</w:t>
      </w:r>
      <w:r w:rsidRPr="00C84E71">
        <w:rPr>
          <w:rFonts w:ascii="Times New Roman" w:hAnsi="Times New Roman"/>
          <w:lang w:val="sk-SK"/>
        </w:rPr>
        <w:t xml:space="preserve"> vláda Slovenskej republiky </w:t>
      </w:r>
    </w:p>
    <w:p w:rsidR="007D6753" w:rsidRPr="00C84E71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 w:rsidRPr="00C84E71">
        <w:rPr>
          <w:rFonts w:ascii="Times New Roman" w:hAnsi="Times New Roman"/>
          <w:lang w:val="sk-SK"/>
        </w:rPr>
        <w:t xml:space="preserve"> </w:t>
      </w:r>
    </w:p>
    <w:p w:rsidR="007D6753" w:rsidRPr="00C84E71" w:rsidP="00355994">
      <w:pPr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Pr="00C84E71">
        <w:rPr>
          <w:rFonts w:ascii="Times New Roman" w:hAnsi="Times New Roman"/>
          <w:b/>
          <w:lang w:val="sk-SK"/>
        </w:rPr>
        <w:t>2.</w:t>
        <w:tab/>
        <w:t>Názov návrhu právneho predpisu:</w:t>
      </w:r>
      <w:r w:rsidRPr="00C84E71">
        <w:rPr>
          <w:rFonts w:ascii="Times New Roman" w:hAnsi="Times New Roman"/>
          <w:lang w:val="sk-SK"/>
        </w:rPr>
        <w:t xml:space="preserve"> Návrh zákona, ktorým sa mení a dopĺňa zákon č. 355/2007 Z. z. o ochrane, podpore a rozvoji verejného zdravia a o zmene a doplnení niektorých zákonov v znení neskorších predpisov a o zmene a doplnení niektorých zákonov  </w:t>
      </w:r>
    </w:p>
    <w:p w:rsidR="007D6753" w:rsidRPr="00C84E71">
      <w:pPr>
        <w:bidi w:val="0"/>
        <w:rPr>
          <w:rFonts w:ascii="Times New Roman" w:hAnsi="Times New Roman"/>
          <w:lang w:val="sk-SK"/>
        </w:rPr>
      </w:pPr>
    </w:p>
    <w:p w:rsidR="007D6753" w:rsidRPr="00C84E71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C84E71">
        <w:rPr>
          <w:rFonts w:ascii="Times New Roman" w:hAnsi="Times New Roman"/>
          <w:b/>
          <w:lang w:val="sk-SK"/>
        </w:rPr>
        <w:t>3.</w:t>
        <w:tab/>
        <w:t>Problematika návrhu právneho predpisu:</w:t>
      </w:r>
    </w:p>
    <w:p w:rsidR="007D6753" w:rsidRPr="00C84E71">
      <w:pPr>
        <w:bidi w:val="0"/>
        <w:ind w:firstLine="360"/>
        <w:rPr>
          <w:rFonts w:ascii="Times New Roman" w:hAnsi="Times New Roman"/>
          <w:lang w:val="sk-SK"/>
        </w:rPr>
      </w:pPr>
    </w:p>
    <w:p w:rsidR="007D6753" w:rsidRPr="00C84E71">
      <w:pPr>
        <w:bidi w:val="0"/>
        <w:ind w:left="709" w:hanging="349"/>
        <w:rPr>
          <w:rFonts w:ascii="Times New Roman" w:hAnsi="Times New Roman"/>
          <w:lang w:val="sk-SK"/>
        </w:rPr>
      </w:pPr>
      <w:r w:rsidRPr="00C84E71">
        <w:rPr>
          <w:rFonts w:ascii="Times New Roman" w:hAnsi="Times New Roman"/>
          <w:lang w:val="sk-SK"/>
        </w:rPr>
        <w:t>a)</w:t>
        <w:tab/>
        <w:t>je upravená v práve Európskej únie</w:t>
      </w:r>
    </w:p>
    <w:p w:rsidR="007D6753" w:rsidRPr="00C84E71">
      <w:pPr>
        <w:bidi w:val="0"/>
        <w:ind w:left="360"/>
        <w:rPr>
          <w:rFonts w:ascii="Times New Roman" w:hAnsi="Times New Roman"/>
          <w:lang w:val="sk-SK"/>
        </w:rPr>
      </w:pPr>
    </w:p>
    <w:p w:rsidR="007D6753" w:rsidRPr="00C84E71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  <w:r w:rsidRPr="00C84E71">
        <w:rPr>
          <w:rFonts w:ascii="Times New Roman" w:hAnsi="Times New Roman"/>
          <w:lang w:val="sk-SK"/>
        </w:rPr>
        <w:t>-</w:t>
        <w:tab/>
      </w:r>
      <w:r w:rsidRPr="00C84E71">
        <w:rPr>
          <w:rFonts w:ascii="Times New Roman" w:hAnsi="Times New Roman"/>
          <w:i/>
          <w:lang w:val="sk-SK"/>
        </w:rPr>
        <w:t>primárnom</w:t>
      </w:r>
    </w:p>
    <w:p w:rsidR="007D6753" w:rsidRPr="00C84E71" w:rsidP="00355994">
      <w:pPr>
        <w:bidi w:val="0"/>
        <w:ind w:left="851"/>
        <w:jc w:val="both"/>
        <w:rPr>
          <w:rFonts w:ascii="Times New Roman" w:hAnsi="Times New Roman"/>
          <w:lang w:val="sk-SK"/>
        </w:rPr>
      </w:pPr>
    </w:p>
    <w:p w:rsidR="007D6753" w:rsidRPr="00C84E71" w:rsidP="00355994">
      <w:pPr>
        <w:bidi w:val="0"/>
        <w:ind w:left="851"/>
        <w:jc w:val="both"/>
        <w:rPr>
          <w:rFonts w:ascii="Times New Roman" w:hAnsi="Times New Roman"/>
          <w:lang w:val="sk-SK"/>
        </w:rPr>
      </w:pPr>
      <w:r w:rsidRPr="00C84E71">
        <w:rPr>
          <w:rFonts w:ascii="Times New Roman" w:hAnsi="Times New Roman"/>
          <w:lang w:val="sk-SK"/>
        </w:rPr>
        <w:t>čl. 151 Zmluvy o fungovaní Európskej únie v platnom znení, podľa ktorého Európska únia a členské štáty majú za cieľ zlepšovať životné a pracovné podmienky tak, aby sa dosiahlo ich zosúladenie pri zachovaní dosiahnutej úrovne.</w:t>
        <w:br/>
        <w:t>čl. 153 ods. 1 písm. a) a b) Zmluvy o fungovaní Európskej únie v platnom znení, ktoré ustanovujú, že na dosiahnutie cieľov uvedených v článku 151 Európska únia podporuje a dopĺňa činnosti členských štátov v oblasti a) zlepšovania pracovného prostredia najmä s ohľadom na ochranu zdravia a bezpečnosti pracovníkov, b) pracovných podmienok</w:t>
        <w:br/>
        <w:t>Zmluva o fungovaní Európskej únie, Tretia časť, Hlava II (Voľný pohyb tovaru) Hlava VII kapitola 3 (Aproximácia práva ), Hlava XV (Ochrana spotrebiteľa) </w:t>
      </w:r>
    </w:p>
    <w:p w:rsidR="007D6753" w:rsidRPr="00C84E71" w:rsidP="00355994">
      <w:pPr>
        <w:bidi w:val="0"/>
        <w:ind w:firstLine="360"/>
        <w:jc w:val="both"/>
        <w:rPr>
          <w:rFonts w:ascii="Times New Roman" w:hAnsi="Times New Roman"/>
          <w:lang w:val="sk-SK"/>
        </w:rPr>
      </w:pPr>
    </w:p>
    <w:p w:rsidR="007D6753" w:rsidRPr="00C84E71" w:rsidP="00355994">
      <w:pPr>
        <w:tabs>
          <w:tab w:val="left" w:pos="1068"/>
        </w:tabs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 w:rsidRPr="00C84E71">
        <w:rPr>
          <w:rFonts w:ascii="Times New Roman" w:hAnsi="Times New Roman"/>
          <w:lang w:val="sk-SK"/>
        </w:rPr>
        <w:t>-</w:t>
        <w:tab/>
      </w:r>
      <w:r w:rsidRPr="00C84E71"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7D6753" w:rsidRPr="00C84E71" w:rsidP="00355994">
      <w:pPr>
        <w:tabs>
          <w:tab w:val="left" w:pos="1068"/>
        </w:tabs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</w:p>
    <w:p w:rsidR="007D6753" w:rsidRPr="00C84E71" w:rsidP="00355994">
      <w:pPr>
        <w:bidi w:val="0"/>
        <w:ind w:left="1239" w:hanging="360"/>
        <w:jc w:val="both"/>
        <w:rPr>
          <w:rFonts w:ascii="Times New Roman" w:hAnsi="Times New Roman"/>
          <w:i/>
          <w:lang w:val="sk-SK"/>
        </w:rPr>
      </w:pPr>
      <w:r w:rsidRPr="00C84E71">
        <w:rPr>
          <w:rFonts w:ascii="Times New Roman" w:hAnsi="Times New Roman"/>
          <w:lang w:val="sk-SK"/>
        </w:rPr>
        <w:t>1.</w:t>
        <w:tab/>
        <w:t xml:space="preserve">legislatívne akty </w:t>
      </w:r>
    </w:p>
    <w:p w:rsidR="007D6753" w:rsidRPr="00C84E71">
      <w:pPr>
        <w:bidi w:val="0"/>
        <w:ind w:firstLine="360"/>
        <w:rPr>
          <w:rFonts w:ascii="Times New Roman" w:hAnsi="Times New Roman"/>
          <w:lang w:val="sk-SK"/>
        </w:rPr>
      </w:pPr>
    </w:p>
    <w:p w:rsidR="007D6753" w:rsidRPr="00C84E71">
      <w:pPr>
        <w:bidi w:val="0"/>
        <w:ind w:left="851"/>
        <w:rPr>
          <w:rFonts w:ascii="Times New Roman" w:hAnsi="Times New Roman"/>
          <w:lang w:val="sk-SK"/>
        </w:rPr>
      </w:pPr>
      <w:r w:rsidRPr="00C84E71">
        <w:rPr>
          <w:rFonts w:ascii="Times New Roman" w:hAnsi="Times New Roman"/>
          <w:lang w:val="sk-SK"/>
        </w:rPr>
        <w:t> </w:t>
      </w:r>
    </w:p>
    <w:p w:rsidR="007D6753" w:rsidRPr="00C84E71">
      <w:pPr>
        <w:bidi w:val="0"/>
        <w:ind w:left="851"/>
        <w:rPr>
          <w:rFonts w:ascii="Times New Roman" w:hAnsi="Times New Roman"/>
          <w:lang w:val="sk-SK"/>
        </w:rPr>
      </w:pPr>
    </w:p>
    <w:p w:rsidR="007D6753" w:rsidRPr="00C84E71">
      <w:pPr>
        <w:bidi w:val="0"/>
        <w:ind w:left="1239" w:hanging="360"/>
        <w:jc w:val="both"/>
        <w:rPr>
          <w:rFonts w:ascii="Times New Roman" w:hAnsi="Times New Roman"/>
          <w:i/>
          <w:lang w:val="sk-SK"/>
        </w:rPr>
      </w:pPr>
      <w:r w:rsidRPr="00C84E71">
        <w:rPr>
          <w:rFonts w:ascii="Times New Roman" w:hAnsi="Times New Roman"/>
          <w:lang w:val="sk-SK"/>
        </w:rPr>
        <w:t>2.</w:t>
        <w:tab/>
        <w:t>nelegislatívne akty</w:t>
      </w:r>
    </w:p>
    <w:p w:rsidR="007D6753" w:rsidRPr="00C84E71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C84E71">
        <w:rPr>
          <w:rFonts w:ascii="Times New Roman" w:hAnsi="Times New Roman"/>
          <w:lang w:val="sk-SK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D6753" w:rsidRPr="00C84E7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C84E71">
              <w:rPr>
                <w:rFonts w:ascii="Times New Roman" w:hAnsi="Times New Roman"/>
                <w:lang w:val="sk-SK"/>
              </w:rPr>
              <w:t> </w:t>
            </w:r>
          </w:p>
        </w:tc>
      </w:tr>
    </w:tbl>
    <w:p w:rsidR="007D6753" w:rsidRPr="00C84E71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7D6753" w:rsidRPr="00C84E71">
      <w:pPr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 w:rsidRPr="00C84E71">
        <w:rPr>
          <w:rFonts w:ascii="Times New Roman" w:hAnsi="Times New Roman"/>
          <w:lang w:val="sk-SK"/>
        </w:rPr>
        <w:t>-</w:t>
        <w:tab/>
      </w:r>
      <w:r w:rsidRPr="00C84E71"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7D6753" w:rsidRPr="00C84E71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D6753" w:rsidRPr="00C84E7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C84E71">
              <w:rPr>
                <w:rFonts w:ascii="Times New Roman" w:hAnsi="Times New Roman"/>
                <w:lang w:val="sk-SK"/>
              </w:rPr>
              <w:t>smernica Rady 89/391/EHS z 12. júna 1989 o zavádzaní opatrení na podporu zlepšenia bezpečnosti a zdravia pracovníkov pri práci (Mimoriadne vydanie Ú. v. EÚ, kap. 05/zv. 1) v platnom znení - článok 7,</w:t>
              <w:br/>
              <w:t>smernica Rady 74/556/EHS zo 4. júna 1974, ktorou sa stanovujú podrobnosti o prechodných opatreniach týkajúcich sa činností, ktoré súvisia s obchodovaním a distribúciou toxických výrobkov a činností, ktoré zahŕňajú odborné využitie takýchto výrobkov vrátane činností sprostredkovateľov (Mimoriadne vydanie Ú. v. EÚ, kap. 06/zv. 1)</w:t>
              <w:br/>
              <w:t>nariadenie Európskeho parlamentu a Rady (ES) č. 1223/2009 z 30. novembra 2009 o kozmetických výrobkoch (Ú. v. EÚ L 342, 22. 12. 2009) </w:t>
            </w:r>
          </w:p>
        </w:tc>
      </w:tr>
    </w:tbl>
    <w:p w:rsidR="007D6753" w:rsidRPr="00C84E71">
      <w:pPr>
        <w:bidi w:val="0"/>
        <w:ind w:left="851"/>
        <w:rPr>
          <w:rFonts w:ascii="Times New Roman" w:hAnsi="Times New Roman"/>
          <w:lang w:val="sk-SK"/>
        </w:rPr>
      </w:pPr>
    </w:p>
    <w:p w:rsidR="007D6753" w:rsidRPr="00C84E71">
      <w:pPr>
        <w:bidi w:val="0"/>
        <w:ind w:left="360"/>
        <w:rPr>
          <w:rFonts w:ascii="Times New Roman" w:hAnsi="Times New Roman"/>
          <w:lang w:val="sk-SK"/>
        </w:rPr>
      </w:pPr>
    </w:p>
    <w:p w:rsidR="007D6753" w:rsidRPr="00C84E71">
      <w:pPr>
        <w:bidi w:val="0"/>
        <w:ind w:firstLine="360"/>
        <w:rPr>
          <w:rFonts w:ascii="Times New Roman" w:hAnsi="Times New Roman"/>
          <w:lang w:val="sk-SK"/>
        </w:rPr>
      </w:pPr>
    </w:p>
    <w:p w:rsidR="007D6753" w:rsidRPr="00C84E71">
      <w:pPr>
        <w:bidi w:val="0"/>
        <w:ind w:left="709" w:hanging="349"/>
        <w:rPr>
          <w:rFonts w:ascii="Times New Roman" w:hAnsi="Times New Roman"/>
          <w:lang w:val="sk-SK"/>
        </w:rPr>
      </w:pPr>
      <w:r w:rsidRPr="00C84E71">
        <w:rPr>
          <w:rFonts w:ascii="Times New Roman" w:hAnsi="Times New Roman"/>
          <w:lang w:val="sk-SK"/>
        </w:rPr>
        <w:t>b)</w:t>
        <w:tab/>
        <w:t>je obsiahnutá v judikatúre Súdneho dvora Európskej únie.</w:t>
      </w:r>
    </w:p>
    <w:p w:rsidR="007D6753" w:rsidRPr="00C84E71">
      <w:pPr>
        <w:bidi w:val="0"/>
        <w:ind w:left="709" w:hanging="349"/>
        <w:rPr>
          <w:rFonts w:ascii="Times New Roman" w:hAnsi="Times New Roman"/>
          <w:lang w:val="sk-SK"/>
        </w:rPr>
      </w:pPr>
    </w:p>
    <w:p w:rsidR="007D6753" w:rsidRPr="00C84E71">
      <w:pPr>
        <w:bidi w:val="0"/>
        <w:ind w:left="720"/>
        <w:rPr>
          <w:rFonts w:ascii="Times New Roman" w:hAnsi="Times New Roman"/>
          <w:lang w:val="en-US"/>
        </w:rPr>
      </w:pPr>
      <w:r w:rsidRPr="00C84E71">
        <w:rPr>
          <w:rFonts w:ascii="Times New Roman" w:hAnsi="Times New Roman"/>
          <w:lang w:val="en-US"/>
        </w:rPr>
        <w:t>European Commission against Federal Republic of Germany, C 319/05</w:t>
        <w:br/>
        <w:t>http://europa.eu/smartapi/cgi/sga_doc?smartapi!celexplus!prod!CELEXnumdoc&amp;lg=en&amp;numdoc=61991J0219Criminal proceedings against Johannes Stephanus, C-219/91</w:t>
        <w:br/>
        <w:t>Upjohn Company and Upjohn NV v Farzoo Inc. and J. Kortmann, C-112/89</w:t>
        <w:br/>
        <w:t>Criminal proceedings against Jean Monteil and Daniel Samanni, C-60/89</w:t>
        <w:br/>
        <w:t>Criminal proceedings against Jean-Marie Delattre, C-369/88</w:t>
        <w:br/>
        <w:t>Roby Profumi Srl v Comune di Parma, Case C 257/06</w:t>
        <w:br/>
        <w:t>Criminal proceedings against Gottfried Linhart and Hans Biffl, C-99/01</w:t>
        <w:br/>
        <w:t xml:space="preserve">Hans Schwarzkopf GmbH &amp; Co. </w:t>
      </w:r>
      <w:r w:rsidRPr="00FA5086">
        <w:rPr>
          <w:rFonts w:ascii="Times New Roman" w:hAnsi="Times New Roman"/>
          <w:lang w:val="de-DE"/>
        </w:rPr>
        <w:t>KG v Zentrale zur Bekämpfung unlauteren Wettbewerbs eV, C-169/99</w:t>
        <w:br/>
        <w:t xml:space="preserve">Estée Lauder Cosmetics GmbH &amp; Co. </w:t>
      </w:r>
      <w:r w:rsidRPr="00C84E71">
        <w:rPr>
          <w:rFonts w:ascii="Times New Roman" w:hAnsi="Times New Roman"/>
          <w:lang w:val="en-US"/>
        </w:rPr>
        <w:t>OHG v Lancaster Group GmbH, C-220/98</w:t>
        <w:br/>
        <w:t>Österreichische Unilever GmbH v Smithkline Beecham Markenartikel GmbH, C-77/97</w:t>
        <w:br/>
        <w:t>Verband Sozialer Wettbewerb eV v Clinique Laboratoires SNC et Estée Lauder Cosmetics GmbH, C-315/92</w:t>
        <w:br/>
        <w:t>Kommanditgesellschaft in Firma Eau de Cologne &amp; Parfümerie-Fabrik, Glockengasse n. 4711 v Provide Srl, C-150/88</w:t>
        <w:br/>
        <w:t>Commission of the European Communities v Italian Republic, Case C-365/00</w:t>
        <w:br/>
        <w:t>Commission of the European Communities v French Republic, C-246/91</w:t>
        <w:br/>
        <w:t>Commission of the European Communities v Hellenic Republic, C-29/90</w:t>
        <w:br/>
        <w:t>Commission of the European Communities v Italian Republic, C 94/81</w:t>
        <w:br/>
        <w:t>SNF SA v Commission of the European Communities, T-213/02</w:t>
        <w:br/>
        <w:t>Laboratoires Pharmaceutiques Bergaderm SA, and Jean-Jacques Goupil - APPEAL, Case C-352/98 P</w:t>
        <w:br/>
        <w:t>Laboratoires pharmaceutiques Bergaderm SA, Jean-Jacques Goupil contre Commission des Communautés européennes, Affaire T-199/96</w:t>
        <w:br/>
        <w:t>Angelopharm GmbH v Freie Hansestadt Hamburg, C-212/91</w:t>
        <w:br/>
        <w:t xml:space="preserve">-European Federation for Cosmetic Ingredients (EFfCI) v European Parliament and Council of the European Union, T-196/03 </w:t>
        <w:br/>
        <w:t>French Republic v European Parliament and Council of the European Union, Case C-244/03</w:t>
        <w:br/>
        <w:t>Kruidvat BVBA v Commission of the European Communities, C-70/97</w:t>
        <w:br/>
        <w:t>Javico International and Javico AG v Yves Saint Laurent Parfums SA (YSLP), C-306/96</w:t>
        <w:br/>
        <w:t>BVBA Kruidvat v Commission of the European Communities, T-87/92</w:t>
        <w:br/>
        <w:t>Société d'Hygiene Dermatologique de Vichy v Commission of the European Communities, T-19/91</w:t>
        <w:br/>
        <w:t>Italian Republic v Commission of the European Communities, Case C-482/98 </w:t>
      </w:r>
    </w:p>
    <w:p w:rsidR="007D6753" w:rsidRPr="00C84E71">
      <w:pPr>
        <w:bidi w:val="0"/>
        <w:ind w:left="426"/>
        <w:rPr>
          <w:rFonts w:ascii="Times New Roman" w:hAnsi="Times New Roman"/>
          <w:lang w:val="en-US"/>
        </w:rPr>
      </w:pPr>
    </w:p>
    <w:p w:rsidR="007D6753" w:rsidRPr="00C84E71">
      <w:pPr>
        <w:bidi w:val="0"/>
        <w:rPr>
          <w:rFonts w:ascii="Times New Roman" w:hAnsi="Times New Roman"/>
          <w:lang w:val="sk-SK"/>
        </w:rPr>
      </w:pPr>
    </w:p>
    <w:p w:rsidR="007D6753" w:rsidRPr="00C84E71" w:rsidP="00355994">
      <w:pPr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Pr="00C84E71"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7D6753" w:rsidRPr="00C84E71" w:rsidP="00355994">
      <w:pPr>
        <w:bidi w:val="0"/>
        <w:jc w:val="both"/>
        <w:rPr>
          <w:rFonts w:ascii="Times New Roman" w:hAnsi="Times New Roman"/>
          <w:lang w:val="sk-SK"/>
        </w:rPr>
      </w:pPr>
    </w:p>
    <w:p w:rsidR="007D6753" w:rsidRPr="00C84E71" w:rsidP="00355994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C84E71">
        <w:rPr>
          <w:rFonts w:ascii="Times New Roman" w:hAnsi="Times New Roman"/>
          <w:lang w:val="sk-SK"/>
        </w:rPr>
        <w:t>a)</w:t>
        <w:tab/>
        <w:t>lehota na prebratie smernice alebo lehota na implementáciu nariadenia alebo rozhodnutia</w:t>
      </w:r>
    </w:p>
    <w:p w:rsidR="007D6753" w:rsidRPr="00C84E71" w:rsidP="00355994">
      <w:pPr>
        <w:bidi w:val="0"/>
        <w:ind w:left="720"/>
        <w:jc w:val="both"/>
        <w:rPr>
          <w:rFonts w:ascii="Times New Roman" w:hAnsi="Times New Roman"/>
          <w:lang w:val="sk-SK"/>
        </w:rPr>
      </w:pPr>
    </w:p>
    <w:p w:rsidR="007D6753" w:rsidRPr="00C84E71" w:rsidP="00355994">
      <w:pPr>
        <w:bidi w:val="0"/>
        <w:ind w:left="720"/>
        <w:jc w:val="both"/>
        <w:rPr>
          <w:rFonts w:ascii="Times New Roman" w:hAnsi="Times New Roman"/>
          <w:lang w:val="sk-SK"/>
        </w:rPr>
      </w:pPr>
      <w:r w:rsidRPr="00C84E71">
        <w:rPr>
          <w:rFonts w:ascii="Times New Roman" w:hAnsi="Times New Roman"/>
          <w:lang w:val="sk-SK"/>
        </w:rPr>
        <w:t xml:space="preserve">Lehota na prebratie smernice Rady 89/391/EHS z 12. júna 1989 o zavádzaní opatrení na podporu zlepšenia bezpečnosti a zdravia pracovníkov pri práci (Mimoriadne vydanie Ú. v. EÚ, kap. 05/zv. 1) bola 1. mája 2004. </w:t>
        <w:br/>
        <w:br/>
        <w:t xml:space="preserve">Lehota na prebratie smernice Rady 74/556/EHS zo 4. júna 1974, ktorou sa stanovujú podrobnosti o prechodných opatreniach týkajúcich sa činností, ktoré súvisia s obchodovaním a distribúciou toxických výrobkov a činností, ktoré zahŕňajú odborné využitie takýchto výrobkov vrátane činností sprostredkovateľov (Mimoriadne vydanie Ú. v. EÚ, kap. 06/zv. 1) bola 4. januára 1975. </w:t>
        <w:br/>
        <w:t xml:space="preserve">Lehota na implementáciu nariadenia Európskeho parlamentu a Rady (ES) č. 1223/2009 z 30. novembra 2009 o kozmetických výrobkoch (Ú. v. EÚ L 342, 22. 12. 2009) je do 11. júla 2013. </w:t>
        <w:br/>
        <w:t> </w:t>
      </w:r>
    </w:p>
    <w:p w:rsidR="007D6753" w:rsidRPr="00C84E71" w:rsidP="00355994">
      <w:pPr>
        <w:bidi w:val="0"/>
        <w:jc w:val="both"/>
        <w:rPr>
          <w:rFonts w:ascii="Times New Roman" w:hAnsi="Times New Roman"/>
          <w:lang w:val="sk-SK"/>
        </w:rPr>
      </w:pPr>
    </w:p>
    <w:p w:rsidR="007D6753" w:rsidRPr="00C84E71" w:rsidP="00355994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C84E71">
        <w:rPr>
          <w:rFonts w:ascii="Times New Roman" w:hAnsi="Times New Roman"/>
          <w:lang w:val="sk-SK"/>
        </w:rPr>
        <w:t>b)</w:t>
        <w:tab/>
      </w:r>
      <w:r w:rsidRPr="00C84E71">
        <w:rPr>
          <w:rFonts w:ascii="Times New Roman" w:hAnsi="Times New Roman"/>
          <w:color w:val="000000"/>
          <w:lang w:val="sk-SK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7D6753" w:rsidRPr="00C84E71" w:rsidP="00355994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C84E71">
        <w:rPr>
          <w:rFonts w:ascii="Times New Roman" w:hAnsi="Times New Roman"/>
          <w:lang w:val="sk-SK"/>
        </w:rPr>
        <w:tab/>
      </w:r>
    </w:p>
    <w:p w:rsidR="007D6753" w:rsidRPr="00C84E71" w:rsidP="00355994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C84E71">
        <w:rPr>
          <w:rFonts w:ascii="Times New Roman" w:hAnsi="Times New Roman"/>
          <w:lang w:val="sk-SK"/>
        </w:rPr>
        <w:tab/>
        <w:t> </w:t>
      </w:r>
    </w:p>
    <w:p w:rsidR="007D6753" w:rsidRPr="00C84E71" w:rsidP="00355994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C84E71">
        <w:rPr>
          <w:rFonts w:ascii="Times New Roman" w:hAnsi="Times New Roman"/>
          <w:lang w:val="sk-SK"/>
        </w:rPr>
        <w:t>c)</w:t>
        <w:tab/>
        <w:t>informácia o konaní začatom proti Slovenskej republike o porušení podľa čl. 258 až 260 Zmluvy o fungovaní Európskej únie</w:t>
      </w:r>
    </w:p>
    <w:p w:rsidR="007D6753" w:rsidRPr="00C84E71" w:rsidP="00355994">
      <w:pPr>
        <w:bidi w:val="0"/>
        <w:ind w:left="720"/>
        <w:jc w:val="both"/>
        <w:rPr>
          <w:rFonts w:ascii="Times New Roman" w:hAnsi="Times New Roman"/>
          <w:lang w:val="sk-SK"/>
        </w:rPr>
      </w:pPr>
    </w:p>
    <w:p w:rsidR="007D6753" w:rsidRPr="00C84E71" w:rsidP="00355994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C84E71">
        <w:rPr>
          <w:rFonts w:ascii="Times New Roman" w:hAnsi="Times New Roman"/>
          <w:lang w:val="sk-SK"/>
        </w:rPr>
        <w:t>Proti Slovenskej republike sa začalo konanie o porušení podľa čl. 258 až 260 Zmluvy o fungovaní Európskej únie (</w:t>
      </w:r>
      <w:r w:rsidRPr="00C84E71" w:rsidR="00355994">
        <w:rPr>
          <w:rFonts w:ascii="Times New Roman" w:hAnsi="Times New Roman"/>
          <w:lang w:val="sk-SK"/>
        </w:rPr>
        <w:t>Odôvodnené stanovisko - Porušenie 2013/4113</w:t>
      </w:r>
      <w:r w:rsidRPr="00C84E71">
        <w:rPr>
          <w:rFonts w:ascii="Times New Roman" w:hAnsi="Times New Roman"/>
          <w:lang w:val="sk-SK"/>
        </w:rPr>
        <w:t>)</w:t>
      </w:r>
      <w:r w:rsidRPr="00C84E71" w:rsidR="00355994">
        <w:rPr>
          <w:rFonts w:ascii="Times New Roman" w:hAnsi="Times New Roman"/>
          <w:lang w:val="sk-SK"/>
        </w:rPr>
        <w:t xml:space="preserve"> vo veci nesprávnej transpozície </w:t>
      </w:r>
      <w:r w:rsidRPr="00C84E71">
        <w:rPr>
          <w:rFonts w:ascii="Times New Roman" w:hAnsi="Times New Roman"/>
          <w:lang w:val="sk-SK"/>
        </w:rPr>
        <w:t>článku 7 (Ochranné a preventívne služby) smernice Rady 89/391/EHS z 12. júna 1989 o zavádzaní opatrení na podporu zlepšenia bezpečnosti a ochrany zdravia pracovníkov pri práci. V súlade s článkom 258 Zmluvy o fungovaní Európskej únie Komisia vyzýva vládu SR, aby jej v uvedenej veci doručila pripomienky v lehote dvoch mesiacov odo dňa doručenia tohto listu. </w:t>
      </w:r>
    </w:p>
    <w:p w:rsidR="007D6753" w:rsidRPr="00C84E71" w:rsidP="00355994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7D6753" w:rsidRPr="00C84E71" w:rsidP="00355994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C84E71">
        <w:rPr>
          <w:rFonts w:ascii="Times New Roman" w:hAnsi="Times New Roman"/>
          <w:lang w:val="sk-SK"/>
        </w:rPr>
        <w:t>d)</w:t>
        <w:tab/>
        <w:t>informácia o právnych predpisoch, v ktorých sú preberané smernice už prebraté spolu s uvedením rozsahu tohto prebratia</w:t>
      </w:r>
    </w:p>
    <w:p w:rsidR="007D6753" w:rsidRPr="00C84E71" w:rsidP="00355994">
      <w:pPr>
        <w:bidi w:val="0"/>
        <w:ind w:left="720"/>
        <w:jc w:val="both"/>
        <w:rPr>
          <w:rFonts w:ascii="Times New Roman" w:hAnsi="Times New Roman"/>
          <w:lang w:val="sk-SK"/>
        </w:rPr>
      </w:pPr>
    </w:p>
    <w:p w:rsidR="007D6753" w:rsidRPr="00C84E71" w:rsidP="00355994">
      <w:pPr>
        <w:bidi w:val="0"/>
        <w:jc w:val="both"/>
        <w:rPr>
          <w:rFonts w:ascii="Times New Roman" w:hAnsi="Times New Roman"/>
          <w:lang w:val="sk-SK"/>
        </w:rPr>
      </w:pPr>
      <w:r w:rsidRPr="00C84E71">
        <w:rPr>
          <w:rFonts w:ascii="Times New Roman" w:hAnsi="Times New Roman"/>
          <w:lang w:val="sk-SK"/>
        </w:rPr>
        <w:t xml:space="preserve">• smernica Rady 89/391/EHS z 12. júna 1989 o zavádzaní opatrení na podporu zlepšenia bezpečnosti a zdravia pracovníkov pri práci (Mimoriadne vydanie Ú. v. EÚ, kap. 05/zv. 1) v platnom znení – článok 7 </w:t>
        <w:br/>
        <w:t xml:space="preserve">– v zákone č. 124/2006 Z. z. o bezpečnosti a ochrane zdravia pri práci a o zmene a doplnení niektorých zákonov v znení neskorších predpisov, </w:t>
        <w:br/>
        <w:t xml:space="preserve">– v zákone č. 355/2007 Z. z. o ochrane, podpore a rozvoji verejného zdravia a o zmene a doplnení niektorých zákonov v znení neskorších predpisov. </w:t>
        <w:br/>
        <w:br/>
        <w:t xml:space="preserve">• smernica Rady 74/556/EHS zo 4. júna 1974, ktorou sa stanovujú podrobnosti o prechodných opatreniach týkajúcich sa činností, ktoré súvisia s obchodovaním a distribúciou toxických výrobkov a činností, ktoré zahŕňajú odborné využitie takýchto výrobkov, vrátane činností sprostredkovateľov. (Mimoriadne vydanie Ú. v. EÚ, kap. 06/zv. 1). </w:t>
        <w:br/>
        <w:t xml:space="preserve">– v zákone č. 355/2007 Z. z. o ochrane, podpore a rozvoji verejného zdravia a o zmene a doplnení niektorých zákonov v znení neskorších predpisov. </w:t>
        <w:br/>
        <w:t> </w:t>
      </w:r>
    </w:p>
    <w:p w:rsidR="007D6753" w:rsidRPr="00C84E71" w:rsidP="00355994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7D6753" w:rsidRPr="00C84E71" w:rsidP="00355994">
      <w:pPr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Pr="00C84E71"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7D6753" w:rsidRPr="00C84E71" w:rsidP="00355994">
      <w:pPr>
        <w:bidi w:val="0"/>
        <w:jc w:val="both"/>
        <w:rPr>
          <w:rFonts w:ascii="Times New Roman" w:hAnsi="Times New Roman"/>
          <w:lang w:val="sk-SK"/>
        </w:rPr>
      </w:pPr>
    </w:p>
    <w:p w:rsidR="007D6753" w:rsidRPr="00C84E71" w:rsidP="00355994">
      <w:pPr>
        <w:bidi w:val="0"/>
        <w:ind w:firstLine="360"/>
        <w:jc w:val="both"/>
        <w:rPr>
          <w:rFonts w:ascii="Times New Roman" w:hAnsi="Times New Roman"/>
          <w:lang w:val="sk-SK"/>
        </w:rPr>
      </w:pPr>
      <w:r w:rsidRPr="00C84E71">
        <w:rPr>
          <w:rFonts w:ascii="Times New Roman" w:hAnsi="Times New Roman"/>
          <w:lang w:val="sk-SK"/>
        </w:rPr>
        <w:t>Stupeň zlučiteľnosti - úplný </w:t>
      </w:r>
    </w:p>
    <w:p w:rsidR="007D6753" w:rsidRPr="00C84E71" w:rsidP="00355994">
      <w:pPr>
        <w:bidi w:val="0"/>
        <w:jc w:val="both"/>
        <w:rPr>
          <w:rFonts w:ascii="Times New Roman" w:hAnsi="Times New Roman"/>
          <w:lang w:val="sk-SK"/>
        </w:rPr>
      </w:pPr>
    </w:p>
    <w:p w:rsidR="007D6753" w:rsidRPr="00C84E71" w:rsidP="00355994">
      <w:pPr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Pr="00C84E71">
        <w:rPr>
          <w:rFonts w:ascii="Times New Roman" w:hAnsi="Times New Roman"/>
          <w:b/>
          <w:lang w:val="sk-SK"/>
        </w:rPr>
        <w:t>6.</w:t>
        <w:tab/>
        <w:t xml:space="preserve">Gestor a spolupracujúce rezorty: </w:t>
      </w:r>
    </w:p>
    <w:p w:rsidR="007D6753" w:rsidRPr="00C84E71" w:rsidP="00355994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lang w:val="sk-SK"/>
        </w:rPr>
      </w:pPr>
    </w:p>
    <w:p w:rsidR="00355994" w:rsidRPr="00C84E71" w:rsidP="00355994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lang w:val="sk-SK"/>
        </w:rPr>
      </w:pPr>
      <w:r w:rsidRPr="00C84E71" w:rsidR="007D6753">
        <w:rPr>
          <w:rFonts w:ascii="Times New Roman" w:hAnsi="Times New Roman"/>
          <w:lang w:val="sk-SK"/>
        </w:rPr>
        <w:t>Ministerstvo práce, sociálnych vecí a rodiny Slovenskej republiky</w:t>
      </w:r>
      <w:r w:rsidRPr="00C84E71" w:rsidR="00473DC3">
        <w:rPr>
          <w:rFonts w:ascii="Times New Roman" w:hAnsi="Times New Roman"/>
          <w:lang w:val="sk-SK"/>
        </w:rPr>
        <w:t xml:space="preserve"> – gestor pre implementáciu smernice Rady 89/391/EHS z 12. júna 1989</w:t>
      </w:r>
    </w:p>
    <w:p w:rsidR="007D6753" w:rsidRPr="00C84E71" w:rsidP="00355994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lang w:val="sk-SK"/>
        </w:rPr>
      </w:pPr>
      <w:r w:rsidRPr="00C84E71" w:rsidR="00355994">
        <w:rPr>
          <w:rFonts w:ascii="Times New Roman" w:hAnsi="Times New Roman"/>
          <w:lang w:val="sk-SK"/>
        </w:rPr>
        <w:t>Ministerstvo zdravotníctva Slovenskej republiky – spolupracujúci rezort</w:t>
      </w:r>
      <w:r w:rsidRPr="00C84E71" w:rsidR="00473DC3">
        <w:rPr>
          <w:rFonts w:ascii="Times New Roman" w:hAnsi="Times New Roman"/>
          <w:lang w:val="sk-SK"/>
        </w:rPr>
        <w:t xml:space="preserve"> pre implementáciu smernice Rady 89/391/EHS z 12. júna 1989</w:t>
      </w:r>
      <w:r w:rsidRPr="00C84E71">
        <w:rPr>
          <w:rFonts w:ascii="Times New Roman" w:hAnsi="Times New Roman"/>
          <w:lang w:val="sk-SK"/>
        </w:rPr>
        <w:br/>
      </w:r>
      <w:r w:rsidRPr="00C84E71" w:rsidR="00473DC3">
        <w:rPr>
          <w:rFonts w:ascii="Times New Roman" w:hAnsi="Times New Roman"/>
          <w:lang w:val="sk-SK"/>
        </w:rPr>
        <w:t xml:space="preserve">Ministerstvo hospodárstva Slovenskej republiky – gestor </w:t>
      </w:r>
      <w:r w:rsidRPr="00C84E71">
        <w:rPr>
          <w:rFonts w:ascii="Times New Roman" w:hAnsi="Times New Roman"/>
          <w:lang w:val="sk-SK"/>
        </w:rPr>
        <w:t> </w:t>
      </w:r>
      <w:r w:rsidRPr="00C84E71" w:rsidR="00473DC3">
        <w:rPr>
          <w:rFonts w:ascii="Times New Roman" w:hAnsi="Times New Roman"/>
          <w:lang w:val="sk-SK"/>
        </w:rPr>
        <w:t>pre implementáciu smernice Rady 74/556/EHS zo 4. júna 1974</w:t>
      </w:r>
    </w:p>
    <w:p w:rsidR="00473DC3" w:rsidRPr="00C84E71" w:rsidP="00355994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lang w:val="sk-SK"/>
        </w:rPr>
      </w:pPr>
      <w:r w:rsidRPr="00C84E71">
        <w:rPr>
          <w:rFonts w:ascii="Times New Roman" w:hAnsi="Times New Roman"/>
          <w:lang w:val="sk-SK"/>
        </w:rPr>
        <w:t>Ministerstvo zdravotníctva Slovenskej republiky – gestor pre implementáciu nariadenia Európskeho parlamentu a Rady (ES) č. 1223/2009 z 30. novembra 2009</w:t>
      </w:r>
    </w:p>
    <w:p w:rsidR="007D6753" w:rsidRPr="00C84E71" w:rsidP="00355994">
      <w:pPr>
        <w:tabs>
          <w:tab w:val="left" w:pos="360"/>
        </w:tabs>
        <w:bidi w:val="0"/>
        <w:jc w:val="both"/>
        <w:rPr>
          <w:rFonts w:ascii="Times New Roman" w:hAnsi="Times New Roman"/>
          <w:lang w:val="sk-SK"/>
        </w:rPr>
      </w:pPr>
    </w:p>
    <w:p w:rsidR="007D6753" w:rsidP="00355994">
      <w:pPr>
        <w:bidi w:val="0"/>
        <w:jc w:val="both"/>
        <w:rPr>
          <w:rFonts w:ascii="Times New Roman" w:hAnsi="Times New Roman"/>
          <w:lang w:val="en-US"/>
        </w:rPr>
      </w:pPr>
    </w:p>
    <w:p w:rsidR="007D6753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sectPr>
      <w:footerReference w:type="default" r:id="rId4"/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86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Pr="00FA5086">
      <w:rPr>
        <w:rFonts w:ascii="Times New Roman" w:hAnsi="Times New Roman"/>
        <w:noProof/>
        <w:lang w:val="sk-SK"/>
      </w:rPr>
      <w:t>4</w:t>
    </w:r>
    <w:r>
      <w:rPr>
        <w:rFonts w:ascii="Times New Roman" w:hAnsi="Times New Roman"/>
      </w:rPr>
      <w:fldChar w:fldCharType="end"/>
    </w:r>
  </w:p>
  <w:p w:rsidR="00FA5086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55994"/>
    <w:rsid w:val="00355994"/>
    <w:rsid w:val="00473DC3"/>
    <w:rsid w:val="007D6753"/>
    <w:rsid w:val="00C84E71"/>
    <w:rsid w:val="00E96AAE"/>
    <w:rsid w:val="00FA508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FA508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A5086"/>
    <w:rPr>
      <w:rFonts w:cs="Times New Roman"/>
      <w:sz w:val="24"/>
      <w:szCs w:val="24"/>
      <w:rtl w:val="0"/>
      <w:cs w:val="0"/>
      <w:lang w:val="ru-RU" w:eastAsia="x-none"/>
    </w:rPr>
  </w:style>
  <w:style w:type="paragraph" w:styleId="Footer">
    <w:name w:val="footer"/>
    <w:basedOn w:val="Normal"/>
    <w:link w:val="PtaChar"/>
    <w:uiPriority w:val="99"/>
    <w:unhideWhenUsed/>
    <w:rsid w:val="00FA508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A5086"/>
    <w:rPr>
      <w:rFonts w:cs="Times New Roman"/>
      <w:sz w:val="24"/>
      <w:szCs w:val="24"/>
      <w:rtl w:val="0"/>
      <w:cs w:val="0"/>
      <w:lang w:val="ru-RU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4</Pages>
  <Words>1219</Words>
  <Characters>6951</Characters>
  <Application>Microsoft Office Word</Application>
  <DocSecurity>0</DocSecurity>
  <Lines>0</Lines>
  <Paragraphs>0</Paragraphs>
  <ScaleCrop>false</ScaleCrop>
  <Company/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Magdaléna Lacová</cp:lastModifiedBy>
  <cp:revision>5</cp:revision>
  <dcterms:created xsi:type="dcterms:W3CDTF">2014-04-08T09:53:00Z</dcterms:created>
  <dcterms:modified xsi:type="dcterms:W3CDTF">2014-04-09T14:01:00Z</dcterms:modified>
</cp:coreProperties>
</file>