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1F4DA9" w:rsidP="0050019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1F4DA9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F4DA9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1F4DA9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F4DA9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276100">
        <w:rPr>
          <w:rFonts w:ascii="Book Antiqua" w:hAnsi="Book Antiqua"/>
          <w:sz w:val="22"/>
          <w:szCs w:val="22"/>
        </w:rPr>
        <w:t>z ... 2014</w:t>
      </w:r>
      <w:r w:rsidRPr="001F4DA9">
        <w:rPr>
          <w:rFonts w:ascii="Book Antiqua" w:hAnsi="Book Antiqua"/>
          <w:sz w:val="22"/>
          <w:szCs w:val="22"/>
        </w:rPr>
        <w:t>,</w:t>
      </w: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1F4DA9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1F4DA9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F4DA9" w:rsidR="009F4744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1F4DA9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1F4DA9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76100">
        <w:rPr>
          <w:rFonts w:ascii="Book Antiqua" w:hAnsi="Book Antiqua"/>
          <w:b/>
          <w:bCs/>
          <w:sz w:val="22"/>
          <w:szCs w:val="22"/>
        </w:rPr>
        <w:t>č. 302/2</w:t>
      </w:r>
      <w:r w:rsidRPr="001F4DA9" w:rsidR="009F4744">
        <w:rPr>
          <w:rFonts w:ascii="Book Antiqua" w:hAnsi="Book Antiqua"/>
          <w:b/>
          <w:bCs/>
          <w:sz w:val="22"/>
          <w:szCs w:val="22"/>
        </w:rPr>
        <w:t>0</w:t>
      </w:r>
      <w:r w:rsidR="00276100">
        <w:rPr>
          <w:rFonts w:ascii="Book Antiqua" w:hAnsi="Book Antiqua"/>
          <w:b/>
          <w:bCs/>
          <w:sz w:val="22"/>
          <w:szCs w:val="22"/>
        </w:rPr>
        <w:t>01</w:t>
      </w:r>
      <w:r w:rsidRPr="001F4DA9" w:rsidR="009F4744">
        <w:rPr>
          <w:rFonts w:ascii="Book Antiqua" w:hAnsi="Book Antiqua"/>
          <w:b/>
          <w:bCs/>
          <w:sz w:val="22"/>
          <w:szCs w:val="22"/>
        </w:rPr>
        <w:t xml:space="preserve"> Z</w:t>
      </w:r>
      <w:r w:rsidR="00276100">
        <w:rPr>
          <w:rFonts w:ascii="Book Antiqua" w:hAnsi="Book Antiqua"/>
          <w:b/>
          <w:bCs/>
          <w:sz w:val="22"/>
          <w:szCs w:val="22"/>
        </w:rPr>
        <w:t>.</w:t>
      </w:r>
      <w:r w:rsidR="00500197">
        <w:rPr>
          <w:rFonts w:ascii="Book Antiqua" w:hAnsi="Book Antiqua"/>
          <w:b/>
          <w:bCs/>
          <w:sz w:val="22"/>
          <w:szCs w:val="22"/>
        </w:rPr>
        <w:t xml:space="preserve"> </w:t>
      </w:r>
      <w:r w:rsidR="00276100">
        <w:rPr>
          <w:rFonts w:ascii="Book Antiqua" w:hAnsi="Book Antiqua"/>
          <w:b/>
          <w:bCs/>
          <w:sz w:val="22"/>
          <w:szCs w:val="22"/>
        </w:rPr>
        <w:t>z.</w:t>
      </w:r>
      <w:r w:rsidRPr="001F4DA9" w:rsidR="00D17313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76100" w:rsidR="00276100">
        <w:rPr>
          <w:rFonts w:ascii="Book Antiqua" w:hAnsi="Book Antiqua"/>
          <w:b/>
          <w:bCs/>
          <w:sz w:val="22"/>
          <w:szCs w:val="22"/>
        </w:rPr>
        <w:t xml:space="preserve">o samospráve vyšších územných celkov (zákon o samosprávnych krajoch) </w:t>
      </w:r>
      <w:r w:rsidR="00184F57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</w:p>
    <w:p w:rsidR="00C92C9A" w:rsidP="0050019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9B0040" w:rsidRPr="001F4DA9" w:rsidP="00500197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3198" w:rsidRPr="001F4DA9" w:rsidP="00500197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276100">
        <w:rPr>
          <w:rFonts w:ascii="Book Antiqua" w:hAnsi="Book Antiqua"/>
          <w:b/>
          <w:bCs/>
          <w:sz w:val="22"/>
          <w:szCs w:val="22"/>
        </w:rPr>
        <w:t>Čl. I</w:t>
      </w:r>
    </w:p>
    <w:p w:rsidR="007C3198" w:rsidRPr="001F4DA9" w:rsidP="00500197">
      <w:pPr>
        <w:pStyle w:val="BodyText"/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:rsidR="0055703D" w:rsidRPr="001F4DA9" w:rsidP="00500197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1F4DA9" w:rsidR="007C3198">
        <w:rPr>
          <w:rFonts w:ascii="Book Antiqua" w:hAnsi="Book Antiqua"/>
          <w:sz w:val="22"/>
          <w:szCs w:val="22"/>
        </w:rPr>
        <w:t xml:space="preserve">Zákon č. 302/2001 Z. z. o samospráve vyšších územných celkov (zákon o samosprávnych krajoch) v znení zákona č. 445/2001 Z. z., zákona č. 553/2003 Z. z., zákona č. 369/2004 Z. z., zákona č. 583/2004 Z. z., zákona č. 615/2004 Z. z., zákona č. 628/2005 Z. z., zákona </w:t>
      </w:r>
      <w:r w:rsidR="004B762F">
        <w:rPr>
          <w:rFonts w:ascii="Book Antiqua" w:hAnsi="Book Antiqua"/>
          <w:sz w:val="22"/>
          <w:szCs w:val="22"/>
        </w:rPr>
        <w:t>č. </w:t>
      </w:r>
      <w:r w:rsidRPr="001F4DA9" w:rsidR="007C3198">
        <w:rPr>
          <w:rFonts w:ascii="Book Antiqua" w:hAnsi="Book Antiqua"/>
          <w:sz w:val="22"/>
          <w:szCs w:val="22"/>
        </w:rPr>
        <w:t>16/2006 Z. z., zákona č. 330/2007 Z. z., zákona č. 334/2007 Z. z., zákona č. 335/2007 Z. z., zákona č. 384/2008 Z. z. a zákona č. 445/2008 Z. z.</w:t>
      </w:r>
      <w:r w:rsidRPr="001F4DA9" w:rsidR="00C5799F">
        <w:rPr>
          <w:rFonts w:ascii="Book Antiqua" w:hAnsi="Book Antiqua"/>
          <w:sz w:val="22"/>
          <w:szCs w:val="22"/>
        </w:rPr>
        <w:t>, 361/2012 Z. z</w:t>
      </w:r>
      <w:r w:rsidRPr="001F4DA9" w:rsidR="00EA0A76">
        <w:rPr>
          <w:rFonts w:ascii="Book Antiqua" w:hAnsi="Book Antiqua"/>
          <w:sz w:val="22"/>
          <w:szCs w:val="22"/>
        </w:rPr>
        <w:t xml:space="preserve">. </w:t>
      </w:r>
      <w:r w:rsidRPr="001F4DA9" w:rsidR="007C3198">
        <w:rPr>
          <w:rFonts w:ascii="Book Antiqua" w:hAnsi="Book Antiqua"/>
          <w:sz w:val="22"/>
          <w:szCs w:val="22"/>
        </w:rPr>
        <w:t>sa mení a dopĺňa takto:</w:t>
      </w:r>
    </w:p>
    <w:p w:rsidR="00DA780F" w:rsidRPr="001F4DA9" w:rsidP="0050019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B762F" w:rsidP="0050019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C06E54">
        <w:rPr>
          <w:rFonts w:ascii="Book Antiqua" w:hAnsi="Book Antiqua"/>
          <w:sz w:val="22"/>
          <w:szCs w:val="22"/>
        </w:rPr>
        <w:t>V § 16</w:t>
      </w:r>
      <w:r>
        <w:rPr>
          <w:rFonts w:ascii="Book Antiqua" w:hAnsi="Book Antiqua"/>
          <w:sz w:val="22"/>
          <w:szCs w:val="22"/>
        </w:rPr>
        <w:t> ods. 9  sa za slovo „zastupujú“ vkladajú slová „n</w:t>
      </w:r>
      <w:r w:rsidR="00733BFA">
        <w:rPr>
          <w:rFonts w:ascii="Book Antiqua" w:hAnsi="Book Antiqua"/>
          <w:sz w:val="22"/>
          <w:szCs w:val="22"/>
        </w:rPr>
        <w:t>ajviac dvaja“.</w:t>
      </w:r>
    </w:p>
    <w:p w:rsidR="00733BFA" w:rsidP="00500197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06E54" w:rsidRPr="00D95441" w:rsidP="0050019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</w:t>
      </w:r>
      <w:r w:rsidRPr="00C06E54">
        <w:rPr>
          <w:rFonts w:ascii="Book Antiqua" w:hAnsi="Book Antiqua"/>
          <w:sz w:val="22"/>
          <w:szCs w:val="22"/>
        </w:rPr>
        <w:t>§ 19a</w:t>
      </w:r>
      <w:r>
        <w:rPr>
          <w:rFonts w:ascii="Book Antiqua" w:hAnsi="Book Antiqua"/>
          <w:sz w:val="22"/>
          <w:szCs w:val="22"/>
        </w:rPr>
        <w:t xml:space="preserve"> ods. 1 </w:t>
      </w:r>
      <w:r w:rsidR="00733BFA">
        <w:rPr>
          <w:rFonts w:ascii="Book Antiqua" w:hAnsi="Book Antiqua"/>
          <w:sz w:val="22"/>
          <w:szCs w:val="22"/>
        </w:rPr>
        <w:t>sa slovo „prvého“ nahrádza slovom „druhého“.</w:t>
      </w:r>
    </w:p>
    <w:p w:rsidR="00D95441" w:rsidP="00500197">
      <w:pPr>
        <w:pStyle w:val="ListParagraph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D95441" w:rsidP="0050019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0401E4">
        <w:rPr>
          <w:rFonts w:ascii="Book Antiqua" w:hAnsi="Book Antiqua"/>
          <w:bCs/>
          <w:sz w:val="22"/>
          <w:szCs w:val="22"/>
        </w:rPr>
        <w:t xml:space="preserve">V § 19a ods. 3 sa za </w:t>
      </w:r>
      <w:r w:rsidR="00193A58">
        <w:rPr>
          <w:rFonts w:ascii="Book Antiqua" w:hAnsi="Book Antiqua"/>
          <w:bCs/>
          <w:sz w:val="22"/>
          <w:szCs w:val="22"/>
        </w:rPr>
        <w:t>druhú</w:t>
      </w:r>
      <w:r w:rsidR="000401E4">
        <w:rPr>
          <w:rFonts w:ascii="Book Antiqua" w:hAnsi="Book Antiqua"/>
          <w:bCs/>
          <w:sz w:val="22"/>
          <w:szCs w:val="22"/>
        </w:rPr>
        <w:t xml:space="preserve"> vetu vkladá nová </w:t>
      </w:r>
      <w:r w:rsidR="00193A58">
        <w:rPr>
          <w:rFonts w:ascii="Book Antiqua" w:hAnsi="Book Antiqua"/>
          <w:bCs/>
          <w:sz w:val="22"/>
          <w:szCs w:val="22"/>
        </w:rPr>
        <w:t>tretia</w:t>
      </w:r>
      <w:r>
        <w:rPr>
          <w:rFonts w:ascii="Book Antiqua" w:hAnsi="Book Antiqua"/>
          <w:bCs/>
          <w:sz w:val="22"/>
          <w:szCs w:val="22"/>
        </w:rPr>
        <w:t xml:space="preserve"> veta, ktorá znie</w:t>
      </w:r>
      <w:r w:rsidR="0023304A">
        <w:rPr>
          <w:rFonts w:ascii="Book Antiqua" w:hAnsi="Book Antiqua"/>
          <w:bCs/>
          <w:sz w:val="22"/>
          <w:szCs w:val="22"/>
        </w:rPr>
        <w:t>: „Ak sa voľby</w:t>
      </w:r>
      <w:r w:rsidR="00381D65">
        <w:rPr>
          <w:rFonts w:ascii="Book Antiqua" w:hAnsi="Book Antiqua"/>
          <w:bCs/>
          <w:sz w:val="22"/>
          <w:szCs w:val="22"/>
        </w:rPr>
        <w:t xml:space="preserve"> zúčastnil len jeden kandidát a nezískal súhlas nadpolovičnej väčšiny všetkých poslancov zastupiteľstva, vyhlásia sa nové voľby podľa </w:t>
      </w:r>
      <w:r w:rsidRPr="00193A58" w:rsidR="00381D65">
        <w:rPr>
          <w:rFonts w:ascii="Book Antiqua" w:hAnsi="Book Antiqua"/>
          <w:bCs/>
          <w:sz w:val="22"/>
          <w:szCs w:val="22"/>
        </w:rPr>
        <w:t>odseku 2.“</w:t>
      </w:r>
      <w:r w:rsidRPr="00193A58" w:rsidR="00500197">
        <w:rPr>
          <w:rFonts w:ascii="Book Antiqua" w:hAnsi="Book Antiqua"/>
          <w:bCs/>
          <w:sz w:val="22"/>
          <w:szCs w:val="22"/>
        </w:rPr>
        <w:t>.</w:t>
      </w:r>
      <w:r w:rsidR="00381D65">
        <w:rPr>
          <w:rFonts w:ascii="Book Antiqua" w:hAnsi="Book Antiqua"/>
          <w:bCs/>
          <w:sz w:val="22"/>
          <w:szCs w:val="22"/>
        </w:rPr>
        <w:t xml:space="preserve"> </w:t>
      </w:r>
      <w:r w:rsidR="0023304A">
        <w:rPr>
          <w:rFonts w:ascii="Book Antiqua" w:hAnsi="Book Antiqua"/>
          <w:bCs/>
          <w:sz w:val="22"/>
          <w:szCs w:val="22"/>
        </w:rPr>
        <w:t xml:space="preserve"> </w:t>
      </w:r>
    </w:p>
    <w:p w:rsidR="00EC1AC1" w:rsidP="00500197">
      <w:pPr>
        <w:pStyle w:val="ListParagraph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EC1AC1" w:rsidRPr="001F4DA9" w:rsidP="0050019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BE4096">
        <w:rPr>
          <w:rFonts w:ascii="Book Antiqua" w:hAnsi="Book Antiqua"/>
          <w:sz w:val="22"/>
          <w:szCs w:val="22"/>
        </w:rPr>
        <w:t>Za § 23a sa vkladá § 23b</w:t>
      </w:r>
      <w:r w:rsidRPr="001F4DA9">
        <w:rPr>
          <w:rFonts w:ascii="Book Antiqua" w:hAnsi="Book Antiqua"/>
          <w:sz w:val="22"/>
          <w:szCs w:val="22"/>
        </w:rPr>
        <w:t>, ktorý vrátane nadpisu znie:</w:t>
      </w:r>
    </w:p>
    <w:p w:rsidR="00EC1AC1" w:rsidRPr="001F4DA9" w:rsidP="00500197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1F4DA9">
        <w:rPr>
          <w:rFonts w:ascii="Book Antiqua" w:hAnsi="Book Antiqua"/>
          <w:sz w:val="22"/>
          <w:szCs w:val="22"/>
        </w:rPr>
        <w:t>„</w:t>
      </w:r>
      <w:r w:rsidR="00BE4096">
        <w:rPr>
          <w:rFonts w:ascii="Book Antiqua" w:hAnsi="Book Antiqua"/>
          <w:b/>
          <w:sz w:val="22"/>
          <w:szCs w:val="22"/>
        </w:rPr>
        <w:t>§ 23b</w:t>
      </w:r>
    </w:p>
    <w:p w:rsidR="00EC1AC1" w:rsidRPr="001F4DA9" w:rsidP="00500197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="000401E4">
        <w:rPr>
          <w:rFonts w:ascii="Book Antiqua" w:hAnsi="Book Antiqua"/>
          <w:b/>
          <w:sz w:val="22"/>
          <w:szCs w:val="22"/>
        </w:rPr>
        <w:t xml:space="preserve">Prechodné </w:t>
      </w:r>
      <w:r w:rsidRPr="00193A58" w:rsidR="000401E4">
        <w:rPr>
          <w:rFonts w:ascii="Book Antiqua" w:hAnsi="Book Antiqua"/>
          <w:b/>
          <w:sz w:val="22"/>
          <w:szCs w:val="22"/>
        </w:rPr>
        <w:t>ustanovenia k zmenám</w:t>
      </w:r>
      <w:r w:rsidRPr="00193A58">
        <w:rPr>
          <w:rFonts w:ascii="Book Antiqua" w:hAnsi="Book Antiqua"/>
          <w:b/>
          <w:sz w:val="22"/>
          <w:szCs w:val="22"/>
        </w:rPr>
        <w:t xml:space="preserve"> účinným</w:t>
      </w:r>
      <w:r w:rsidRPr="001F4DA9">
        <w:rPr>
          <w:rFonts w:ascii="Book Antiqua" w:hAnsi="Book Antiqua"/>
          <w:b/>
          <w:sz w:val="22"/>
          <w:szCs w:val="22"/>
        </w:rPr>
        <w:t xml:space="preserve"> od 1. </w:t>
      </w:r>
      <w:r>
        <w:rPr>
          <w:rFonts w:ascii="Book Antiqua" w:hAnsi="Book Antiqua"/>
          <w:b/>
          <w:sz w:val="22"/>
          <w:szCs w:val="22"/>
        </w:rPr>
        <w:t>septembra</w:t>
      </w:r>
      <w:r w:rsidRPr="001F4DA9">
        <w:rPr>
          <w:rFonts w:ascii="Book Antiqua" w:hAnsi="Book Antiqua"/>
          <w:b/>
          <w:sz w:val="22"/>
          <w:szCs w:val="22"/>
        </w:rPr>
        <w:t xml:space="preserve"> 2014</w:t>
      </w:r>
    </w:p>
    <w:p w:rsidR="00EC1AC1" w:rsidRPr="001F4DA9" w:rsidP="00500197">
      <w:pPr>
        <w:numPr>
          <w:numId w:val="13"/>
        </w:numPr>
        <w:bidi w:val="0"/>
        <w:spacing w:before="120" w:line="276" w:lineRule="auto"/>
        <w:ind w:left="1134" w:hanging="41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Samosprávny kraj je povinný</w:t>
      </w:r>
      <w:r w:rsidR="00BE4096">
        <w:rPr>
          <w:rFonts w:ascii="Book Antiqua" w:hAnsi="Book Antiqua"/>
          <w:sz w:val="22"/>
          <w:szCs w:val="22"/>
        </w:rPr>
        <w:t xml:space="preserve"> prispô</w:t>
      </w:r>
      <w:r w:rsidR="00193A58">
        <w:rPr>
          <w:rFonts w:ascii="Book Antiqua" w:hAnsi="Book Antiqua"/>
          <w:sz w:val="22"/>
          <w:szCs w:val="22"/>
        </w:rPr>
        <w:t xml:space="preserve">sobiť počet podpredsedov podľa </w:t>
      </w:r>
      <w:r w:rsidR="00BE4096">
        <w:rPr>
          <w:rFonts w:ascii="Book Antiqua" w:hAnsi="Book Antiqua"/>
          <w:sz w:val="22"/>
          <w:szCs w:val="22"/>
        </w:rPr>
        <w:t>§ 16 ods. 9 do 60 dní</w:t>
      </w:r>
      <w:r w:rsidRPr="001F4DA9">
        <w:rPr>
          <w:rFonts w:ascii="Book Antiqua" w:hAnsi="Book Antiqua"/>
          <w:sz w:val="22"/>
          <w:szCs w:val="22"/>
        </w:rPr>
        <w:t xml:space="preserve"> </w:t>
      </w:r>
      <w:r w:rsidR="00BE4096">
        <w:rPr>
          <w:rFonts w:ascii="Book Antiqua" w:hAnsi="Book Antiqua"/>
          <w:sz w:val="22"/>
          <w:szCs w:val="22"/>
        </w:rPr>
        <w:t>odo dňa nadobudnutia</w:t>
      </w:r>
      <w:r w:rsidRPr="001F4DA9">
        <w:rPr>
          <w:rFonts w:ascii="Book Antiqua" w:hAnsi="Book Antiqua"/>
          <w:sz w:val="22"/>
          <w:szCs w:val="22"/>
        </w:rPr>
        <w:t xml:space="preserve"> účinnosti tohto zákona.</w:t>
      </w:r>
    </w:p>
    <w:p w:rsidR="00EC1AC1" w:rsidRPr="00D3447D" w:rsidP="00500197">
      <w:pPr>
        <w:numPr>
          <w:numId w:val="13"/>
        </w:numPr>
        <w:bidi w:val="0"/>
        <w:spacing w:before="120" w:line="276" w:lineRule="auto"/>
        <w:ind w:left="1134" w:hanging="414"/>
        <w:jc w:val="both"/>
        <w:rPr>
          <w:rFonts w:ascii="Book Antiqua" w:hAnsi="Book Antiqua"/>
          <w:sz w:val="22"/>
          <w:szCs w:val="22"/>
        </w:rPr>
      </w:pPr>
      <w:r w:rsidRPr="001F4DA9" w:rsidR="00BE4096">
        <w:rPr>
          <w:rFonts w:ascii="Book Antiqua" w:hAnsi="Book Antiqua"/>
          <w:sz w:val="22"/>
          <w:szCs w:val="22"/>
        </w:rPr>
        <w:t>Predpoklady na výkon funkci</w:t>
      </w:r>
      <w:r w:rsidR="00193A58">
        <w:rPr>
          <w:rFonts w:ascii="Book Antiqua" w:hAnsi="Book Antiqua"/>
          <w:sz w:val="22"/>
          <w:szCs w:val="22"/>
        </w:rPr>
        <w:t>e hlavného kontrolóra podľa § 19</w:t>
      </w:r>
      <w:r w:rsidRPr="001F4DA9" w:rsidR="00BE4096">
        <w:rPr>
          <w:rFonts w:ascii="Book Antiqua" w:hAnsi="Book Antiqua"/>
          <w:sz w:val="22"/>
          <w:szCs w:val="22"/>
        </w:rPr>
        <w:t>a ods. 1 sa vzťahujú na hlavného kontrolóra zvoleného po nadobudnutí účinnosti tohto zákona</w:t>
      </w:r>
      <w:r w:rsidRPr="00193A58" w:rsidR="00BE4096">
        <w:rPr>
          <w:rFonts w:ascii="Book Antiqua" w:hAnsi="Book Antiqua"/>
          <w:sz w:val="22"/>
          <w:szCs w:val="22"/>
        </w:rPr>
        <w:t>.“</w:t>
      </w:r>
      <w:r w:rsidRPr="00193A58" w:rsidR="000401E4">
        <w:rPr>
          <w:rFonts w:ascii="Book Antiqua" w:hAnsi="Book Antiqua"/>
          <w:sz w:val="22"/>
          <w:szCs w:val="22"/>
        </w:rPr>
        <w:t>.</w:t>
      </w:r>
    </w:p>
    <w:p w:rsidR="00C06E54" w:rsidP="00500197">
      <w:pPr>
        <w:pStyle w:val="BodyText"/>
        <w:tabs>
          <w:tab w:val="center" w:pos="4536"/>
          <w:tab w:val="left" w:pos="5325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DF496C" w:rsidRPr="001F4DA9" w:rsidP="0050019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F4DA9" w:rsidR="00C2340D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1F4DA9" w:rsidR="00474793">
        <w:rPr>
          <w:rFonts w:ascii="Book Antiqua" w:hAnsi="Book Antiqua"/>
          <w:b/>
          <w:bCs/>
          <w:sz w:val="22"/>
          <w:szCs w:val="22"/>
        </w:rPr>
        <w:t>I</w:t>
      </w:r>
      <w:r w:rsidR="008B277C">
        <w:rPr>
          <w:rFonts w:ascii="Book Antiqua" w:hAnsi="Book Antiqua"/>
          <w:b/>
          <w:bCs/>
          <w:sz w:val="22"/>
          <w:szCs w:val="22"/>
        </w:rPr>
        <w:t>I</w:t>
      </w:r>
    </w:p>
    <w:p w:rsidR="001A7A6A" w:rsidRPr="00F60637" w:rsidP="00500197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1F4DA9" w:rsidR="00DF496C">
        <w:rPr>
          <w:rFonts w:ascii="Book Antiqua" w:hAnsi="Book Antiqua" w:cs="Times New Roman"/>
          <w:sz w:val="22"/>
          <w:szCs w:val="22"/>
        </w:rPr>
        <w:t>Tento zák</w:t>
      </w:r>
      <w:r w:rsidRPr="001F4DA9" w:rsidR="00155E74">
        <w:rPr>
          <w:rFonts w:ascii="Book Antiqua" w:hAnsi="Book Antiqua" w:cs="Times New Roman"/>
          <w:sz w:val="22"/>
          <w:szCs w:val="22"/>
        </w:rPr>
        <w:t>on n</w:t>
      </w:r>
      <w:r w:rsidR="00495853">
        <w:rPr>
          <w:rFonts w:ascii="Book Antiqua" w:hAnsi="Book Antiqua" w:cs="Times New Roman"/>
          <w:sz w:val="22"/>
          <w:szCs w:val="22"/>
        </w:rPr>
        <w:t xml:space="preserve">adobúda účinnosť 1. </w:t>
      </w:r>
      <w:r w:rsidR="00AE1FA0">
        <w:rPr>
          <w:rFonts w:ascii="Book Antiqua" w:hAnsi="Book Antiqua" w:cs="Times New Roman"/>
          <w:sz w:val="22"/>
          <w:szCs w:val="22"/>
        </w:rPr>
        <w:t>septemb</w:t>
      </w:r>
      <w:r w:rsidR="00EC1AC1">
        <w:rPr>
          <w:rFonts w:ascii="Book Antiqua" w:hAnsi="Book Antiqua" w:cs="Times New Roman"/>
          <w:sz w:val="22"/>
          <w:szCs w:val="22"/>
        </w:rPr>
        <w:t>r</w:t>
      </w:r>
      <w:r w:rsidR="00AE1FA0">
        <w:rPr>
          <w:rFonts w:ascii="Book Antiqua" w:hAnsi="Book Antiqua" w:cs="Times New Roman"/>
          <w:sz w:val="22"/>
          <w:szCs w:val="22"/>
        </w:rPr>
        <w:t>a</w:t>
      </w:r>
      <w:r w:rsidR="00EC1AC1">
        <w:rPr>
          <w:rFonts w:ascii="Book Antiqua" w:hAnsi="Book Antiqua" w:cs="Times New Roman"/>
          <w:sz w:val="22"/>
          <w:szCs w:val="22"/>
        </w:rPr>
        <w:t xml:space="preserve"> 2014</w:t>
      </w:r>
      <w:r w:rsidRPr="001F4DA9" w:rsidR="00DF496C">
        <w:rPr>
          <w:rFonts w:ascii="Book Antiqua" w:hAnsi="Book Antiqua" w:cs="Times New Roman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9C46D5"/>
    <w:multiLevelType w:val="hybrid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286A1E9B"/>
    <w:multiLevelType w:val="hybrid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14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011E9"/>
    <w:rsid w:val="00017E02"/>
    <w:rsid w:val="00030F4C"/>
    <w:rsid w:val="0003276E"/>
    <w:rsid w:val="000401E4"/>
    <w:rsid w:val="00055036"/>
    <w:rsid w:val="00063471"/>
    <w:rsid w:val="00071193"/>
    <w:rsid w:val="00071F0F"/>
    <w:rsid w:val="00076190"/>
    <w:rsid w:val="0009053A"/>
    <w:rsid w:val="00096340"/>
    <w:rsid w:val="000B0093"/>
    <w:rsid w:val="000B09C6"/>
    <w:rsid w:val="000C16D3"/>
    <w:rsid w:val="000E6840"/>
    <w:rsid w:val="000F2CCD"/>
    <w:rsid w:val="0010486E"/>
    <w:rsid w:val="001053DE"/>
    <w:rsid w:val="00144CBA"/>
    <w:rsid w:val="00155E74"/>
    <w:rsid w:val="001730CC"/>
    <w:rsid w:val="00182AAD"/>
    <w:rsid w:val="00184F57"/>
    <w:rsid w:val="00193A58"/>
    <w:rsid w:val="001A7A6A"/>
    <w:rsid w:val="001B3623"/>
    <w:rsid w:val="001C1837"/>
    <w:rsid w:val="001D34E2"/>
    <w:rsid w:val="001E1A11"/>
    <w:rsid w:val="001E24E9"/>
    <w:rsid w:val="001F4DA9"/>
    <w:rsid w:val="00231824"/>
    <w:rsid w:val="0023304A"/>
    <w:rsid w:val="0024597E"/>
    <w:rsid w:val="00252B36"/>
    <w:rsid w:val="00276100"/>
    <w:rsid w:val="00277433"/>
    <w:rsid w:val="00281A0F"/>
    <w:rsid w:val="00284833"/>
    <w:rsid w:val="00292899"/>
    <w:rsid w:val="002A7269"/>
    <w:rsid w:val="002B3483"/>
    <w:rsid w:val="002D5C8E"/>
    <w:rsid w:val="002E2F42"/>
    <w:rsid w:val="002F7292"/>
    <w:rsid w:val="003003A1"/>
    <w:rsid w:val="003233F9"/>
    <w:rsid w:val="00353BF0"/>
    <w:rsid w:val="00375BBA"/>
    <w:rsid w:val="00381D65"/>
    <w:rsid w:val="003A1F5E"/>
    <w:rsid w:val="003B12E0"/>
    <w:rsid w:val="003B5AEA"/>
    <w:rsid w:val="003E2C4A"/>
    <w:rsid w:val="003E5341"/>
    <w:rsid w:val="003E6219"/>
    <w:rsid w:val="003E77D8"/>
    <w:rsid w:val="003F01D0"/>
    <w:rsid w:val="0040611A"/>
    <w:rsid w:val="0040622B"/>
    <w:rsid w:val="00413478"/>
    <w:rsid w:val="00441456"/>
    <w:rsid w:val="00452582"/>
    <w:rsid w:val="00462838"/>
    <w:rsid w:val="004632F2"/>
    <w:rsid w:val="004643BD"/>
    <w:rsid w:val="004729C2"/>
    <w:rsid w:val="004742EB"/>
    <w:rsid w:val="00474793"/>
    <w:rsid w:val="00475AF7"/>
    <w:rsid w:val="00494617"/>
    <w:rsid w:val="00495853"/>
    <w:rsid w:val="004B53F6"/>
    <w:rsid w:val="004B5947"/>
    <w:rsid w:val="004B762F"/>
    <w:rsid w:val="004C1C56"/>
    <w:rsid w:val="004E7584"/>
    <w:rsid w:val="004F1F34"/>
    <w:rsid w:val="00500197"/>
    <w:rsid w:val="0050773F"/>
    <w:rsid w:val="005104D6"/>
    <w:rsid w:val="00514FDA"/>
    <w:rsid w:val="00515977"/>
    <w:rsid w:val="005164CA"/>
    <w:rsid w:val="0053372D"/>
    <w:rsid w:val="00542DCE"/>
    <w:rsid w:val="0055703D"/>
    <w:rsid w:val="00562F8E"/>
    <w:rsid w:val="00563B19"/>
    <w:rsid w:val="005923E8"/>
    <w:rsid w:val="005B1706"/>
    <w:rsid w:val="005E3FE6"/>
    <w:rsid w:val="005E6064"/>
    <w:rsid w:val="005F50BC"/>
    <w:rsid w:val="00614FB7"/>
    <w:rsid w:val="0063284E"/>
    <w:rsid w:val="00632E4D"/>
    <w:rsid w:val="00635A1C"/>
    <w:rsid w:val="0065754F"/>
    <w:rsid w:val="00662A0C"/>
    <w:rsid w:val="00672D91"/>
    <w:rsid w:val="0067449A"/>
    <w:rsid w:val="00677E88"/>
    <w:rsid w:val="006A792A"/>
    <w:rsid w:val="006C60CD"/>
    <w:rsid w:val="006E4A22"/>
    <w:rsid w:val="00702A01"/>
    <w:rsid w:val="00714078"/>
    <w:rsid w:val="0072187A"/>
    <w:rsid w:val="00727F69"/>
    <w:rsid w:val="00733BFA"/>
    <w:rsid w:val="00752116"/>
    <w:rsid w:val="007546A1"/>
    <w:rsid w:val="0076263D"/>
    <w:rsid w:val="007863E5"/>
    <w:rsid w:val="0078738B"/>
    <w:rsid w:val="00792E82"/>
    <w:rsid w:val="0079523C"/>
    <w:rsid w:val="007B7F2E"/>
    <w:rsid w:val="007C3198"/>
    <w:rsid w:val="007C3B68"/>
    <w:rsid w:val="007D1F9C"/>
    <w:rsid w:val="007D6758"/>
    <w:rsid w:val="00802550"/>
    <w:rsid w:val="00820143"/>
    <w:rsid w:val="00831751"/>
    <w:rsid w:val="00862E96"/>
    <w:rsid w:val="00885C35"/>
    <w:rsid w:val="008A41F6"/>
    <w:rsid w:val="008B1C40"/>
    <w:rsid w:val="008B277C"/>
    <w:rsid w:val="008C10F5"/>
    <w:rsid w:val="008C1A3B"/>
    <w:rsid w:val="008D7D19"/>
    <w:rsid w:val="008F6057"/>
    <w:rsid w:val="00900AA6"/>
    <w:rsid w:val="00910803"/>
    <w:rsid w:val="00942E4E"/>
    <w:rsid w:val="00954627"/>
    <w:rsid w:val="009A1957"/>
    <w:rsid w:val="009A4CFA"/>
    <w:rsid w:val="009A5306"/>
    <w:rsid w:val="009B0040"/>
    <w:rsid w:val="009B2C8D"/>
    <w:rsid w:val="009B605D"/>
    <w:rsid w:val="009D5F1A"/>
    <w:rsid w:val="009F08A3"/>
    <w:rsid w:val="009F4744"/>
    <w:rsid w:val="00A07E1F"/>
    <w:rsid w:val="00A319D0"/>
    <w:rsid w:val="00A41977"/>
    <w:rsid w:val="00A441AE"/>
    <w:rsid w:val="00A65E34"/>
    <w:rsid w:val="00A70242"/>
    <w:rsid w:val="00A82AF5"/>
    <w:rsid w:val="00A85A29"/>
    <w:rsid w:val="00AA6159"/>
    <w:rsid w:val="00AE1FA0"/>
    <w:rsid w:val="00AE328D"/>
    <w:rsid w:val="00B0642D"/>
    <w:rsid w:val="00B06CF3"/>
    <w:rsid w:val="00B07B27"/>
    <w:rsid w:val="00B46502"/>
    <w:rsid w:val="00B46CDA"/>
    <w:rsid w:val="00B65D47"/>
    <w:rsid w:val="00BB453E"/>
    <w:rsid w:val="00BE4096"/>
    <w:rsid w:val="00BF0E6F"/>
    <w:rsid w:val="00C06E54"/>
    <w:rsid w:val="00C16D26"/>
    <w:rsid w:val="00C2340D"/>
    <w:rsid w:val="00C25817"/>
    <w:rsid w:val="00C5799F"/>
    <w:rsid w:val="00C76936"/>
    <w:rsid w:val="00C92C9A"/>
    <w:rsid w:val="00CB13A8"/>
    <w:rsid w:val="00CB5B4D"/>
    <w:rsid w:val="00CD4676"/>
    <w:rsid w:val="00CE19E3"/>
    <w:rsid w:val="00D01319"/>
    <w:rsid w:val="00D02D28"/>
    <w:rsid w:val="00D12F74"/>
    <w:rsid w:val="00D17313"/>
    <w:rsid w:val="00D3447D"/>
    <w:rsid w:val="00D37EE7"/>
    <w:rsid w:val="00D46F98"/>
    <w:rsid w:val="00D619D0"/>
    <w:rsid w:val="00D64430"/>
    <w:rsid w:val="00D77840"/>
    <w:rsid w:val="00D95441"/>
    <w:rsid w:val="00DA780F"/>
    <w:rsid w:val="00DD68C1"/>
    <w:rsid w:val="00DF229A"/>
    <w:rsid w:val="00DF496C"/>
    <w:rsid w:val="00E15E21"/>
    <w:rsid w:val="00E33F9A"/>
    <w:rsid w:val="00E46E3D"/>
    <w:rsid w:val="00E64BBD"/>
    <w:rsid w:val="00E74361"/>
    <w:rsid w:val="00E762E9"/>
    <w:rsid w:val="00E7753E"/>
    <w:rsid w:val="00E85E26"/>
    <w:rsid w:val="00EA0A76"/>
    <w:rsid w:val="00EA511A"/>
    <w:rsid w:val="00EC1AC1"/>
    <w:rsid w:val="00ED1564"/>
    <w:rsid w:val="00EE3E9D"/>
    <w:rsid w:val="00EE5086"/>
    <w:rsid w:val="00EF1D41"/>
    <w:rsid w:val="00F04329"/>
    <w:rsid w:val="00F17665"/>
    <w:rsid w:val="00F32300"/>
    <w:rsid w:val="00F42A12"/>
    <w:rsid w:val="00F42DE1"/>
    <w:rsid w:val="00F51AD2"/>
    <w:rsid w:val="00F60637"/>
    <w:rsid w:val="00F6784B"/>
    <w:rsid w:val="00F67F4D"/>
    <w:rsid w:val="00F71E18"/>
    <w:rsid w:val="00F93C47"/>
    <w:rsid w:val="00FC2779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C76936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35FC-3E4F-4EB5-B5E6-8B4F19F3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237</Words>
  <Characters>1351</Characters>
  <Application>Microsoft Office Word</Application>
  <DocSecurity>0</DocSecurity>
  <Lines>0</Lines>
  <Paragraphs>0</Paragraphs>
  <ScaleCrop>false</ScaleCrop>
  <Company>Nebo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2014-04-23T12:34:00Z</dcterms:created>
  <dcterms:modified xsi:type="dcterms:W3CDTF">2014-04-23T12:34:00Z</dcterms:modified>
</cp:coreProperties>
</file>