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851"/>
        <w:gridCol w:w="850"/>
        <w:gridCol w:w="4678"/>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4A7FBD" w:rsidP="0078287E">
            <w:pPr>
              <w:pStyle w:val="Heading1"/>
              <w:bidi w:val="0"/>
              <w:spacing w:after="0" w:line="240" w:lineRule="auto"/>
              <w:rPr>
                <w:rFonts w:ascii="Times New Roman" w:hAnsi="Times New Roman"/>
                <w:sz w:val="20"/>
                <w:szCs w:val="20"/>
              </w:rPr>
            </w:pPr>
            <w:r w:rsidRPr="004A7FBD">
              <w:rPr>
                <w:rFonts w:ascii="Times New Roman" w:hAnsi="Times New Roman"/>
                <w:sz w:val="20"/>
                <w:szCs w:val="20"/>
              </w:rPr>
              <w:t>TABUĽKA  ZHODY</w:t>
            </w:r>
          </w:p>
          <w:p w:rsidR="008F7E44" w:rsidRPr="008F7E44" w:rsidP="008F7E44">
            <w:pPr>
              <w:pStyle w:val="Zkladntext"/>
              <w:bidi w:val="0"/>
              <w:spacing w:after="0" w:line="240" w:lineRule="auto"/>
              <w:jc w:val="center"/>
              <w:rPr>
                <w:rFonts w:ascii="Times New Roman" w:hAnsi="Times New Roman"/>
                <w:b/>
                <w:sz w:val="20"/>
                <w:szCs w:val="20"/>
              </w:rPr>
            </w:pPr>
            <w:r w:rsidRPr="004A7FBD" w:rsidR="004577EC">
              <w:rPr>
                <w:rFonts w:ascii="Times New Roman" w:hAnsi="Times New Roman"/>
                <w:b/>
                <w:sz w:val="20"/>
                <w:szCs w:val="20"/>
              </w:rPr>
              <w:t>k </w:t>
            </w:r>
            <w:r w:rsidRPr="004A7FBD" w:rsidR="0078287E">
              <w:rPr>
                <w:rFonts w:ascii="Times New Roman" w:hAnsi="Times New Roman"/>
                <w:b/>
                <w:sz w:val="20"/>
                <w:szCs w:val="20"/>
              </w:rPr>
              <w:t>n</w:t>
            </w:r>
            <w:r w:rsidRPr="004A7FBD" w:rsidR="0091636B">
              <w:rPr>
                <w:rFonts w:ascii="Times New Roman" w:hAnsi="Times New Roman"/>
                <w:b/>
                <w:sz w:val="20"/>
                <w:szCs w:val="20"/>
              </w:rPr>
              <w:t>ávrh zákona</w:t>
            </w:r>
            <w:r w:rsidRPr="004A7FBD" w:rsidR="002E1D16">
              <w:rPr>
                <w:rFonts w:ascii="Times New Roman" w:hAnsi="Times New Roman"/>
                <w:b/>
                <w:sz w:val="20"/>
                <w:szCs w:val="20"/>
              </w:rPr>
              <w:t xml:space="preserve">, </w:t>
            </w:r>
            <w:r w:rsidRPr="008F7E44">
              <w:rPr>
                <w:rFonts w:ascii="Times New Roman" w:hAnsi="Times New Roman"/>
                <w:b/>
                <w:sz w:val="20"/>
                <w:szCs w:val="20"/>
              </w:rPr>
              <w:t>ktorým sa mení a dopĺňa zákon č.</w:t>
            </w:r>
            <w:r>
              <w:rPr>
                <w:rFonts w:ascii="Times New Roman" w:hAnsi="Times New Roman"/>
                <w:b/>
                <w:sz w:val="20"/>
                <w:szCs w:val="20"/>
              </w:rPr>
              <w:t xml:space="preserve"> 4</w:t>
            </w:r>
            <w:r w:rsidRPr="008F7E44">
              <w:rPr>
                <w:rFonts w:ascii="Times New Roman" w:hAnsi="Times New Roman"/>
                <w:b/>
                <w:sz w:val="20"/>
                <w:szCs w:val="20"/>
              </w:rPr>
              <w:t>83/2001</w:t>
            </w:r>
            <w:r>
              <w:rPr>
                <w:rFonts w:ascii="Times New Roman" w:hAnsi="Times New Roman"/>
                <w:b/>
                <w:sz w:val="20"/>
                <w:szCs w:val="20"/>
              </w:rPr>
              <w:t xml:space="preserve"> </w:t>
            </w:r>
            <w:r w:rsidRPr="008F7E44">
              <w:rPr>
                <w:rFonts w:ascii="Times New Roman" w:hAnsi="Times New Roman"/>
                <w:b/>
                <w:sz w:val="20"/>
                <w:szCs w:val="20"/>
              </w:rPr>
              <w:t>Z.</w:t>
            </w:r>
            <w:r>
              <w:rPr>
                <w:rFonts w:ascii="Times New Roman" w:hAnsi="Times New Roman"/>
                <w:b/>
                <w:sz w:val="20"/>
                <w:szCs w:val="20"/>
              </w:rPr>
              <w:t xml:space="preserve"> </w:t>
            </w:r>
            <w:r w:rsidRPr="008F7E44">
              <w:rPr>
                <w:rFonts w:ascii="Times New Roman" w:hAnsi="Times New Roman"/>
                <w:b/>
                <w:sz w:val="20"/>
                <w:szCs w:val="20"/>
              </w:rPr>
              <w:t xml:space="preserve">z. o bankách a o zmene a doplnení niektorých zákonov v znení neskorších predpisov </w:t>
            </w:r>
          </w:p>
          <w:p w:rsidR="008F7E44" w:rsidRPr="008F7E44" w:rsidP="008F7E44">
            <w:pPr>
              <w:pStyle w:val="Zkladntext"/>
              <w:bidi w:val="0"/>
              <w:spacing w:after="0" w:line="240" w:lineRule="auto"/>
              <w:jc w:val="center"/>
              <w:rPr>
                <w:rFonts w:ascii="Times New Roman" w:hAnsi="Times New Roman"/>
                <w:b/>
                <w:sz w:val="20"/>
                <w:szCs w:val="20"/>
              </w:rPr>
            </w:pPr>
            <w:r w:rsidRPr="008F7E44">
              <w:rPr>
                <w:rFonts w:ascii="Times New Roman" w:hAnsi="Times New Roman"/>
                <w:b/>
                <w:sz w:val="20"/>
                <w:szCs w:val="20"/>
              </w:rPr>
              <w:t>a ktorým sa menia a dopĺňajú niektoré zákony</w:t>
            </w:r>
          </w:p>
          <w:p w:rsidR="008C54C3" w:rsidRPr="004A7FBD" w:rsidP="008F7E44">
            <w:pPr>
              <w:pStyle w:val="Zkladntext"/>
              <w:bidi w:val="0"/>
              <w:spacing w:after="0" w:line="240" w:lineRule="auto"/>
              <w:jc w:val="center"/>
              <w:rPr>
                <w:rFonts w:ascii="Times New Roman" w:hAnsi="Times New Roman"/>
                <w:b/>
                <w:bCs/>
                <w:sz w:val="20"/>
                <w:szCs w:val="20"/>
              </w:rPr>
            </w:pPr>
            <w:r w:rsidRPr="008F7E44" w:rsidR="008F7E44">
              <w:rPr>
                <w:rFonts w:ascii="Times New Roman" w:hAnsi="Times New Roman"/>
                <w:b/>
                <w:sz w:val="20"/>
                <w:szCs w:val="20"/>
              </w:rPr>
              <w:t xml:space="preserve">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4A7FBD">
            <w:pPr>
              <w:pStyle w:val="Heading4"/>
              <w:bidi w:val="0"/>
              <w:spacing w:after="0" w:line="240" w:lineRule="auto"/>
              <w:jc w:val="both"/>
              <w:rPr>
                <w:rFonts w:ascii="Times New Roman" w:hAnsi="Times New Roman"/>
                <w:sz w:val="20"/>
                <w:szCs w:val="20"/>
              </w:rPr>
            </w:pPr>
            <w:r w:rsidRPr="004A7FBD">
              <w:rPr>
                <w:rFonts w:ascii="Times New Roman" w:hAnsi="Times New Roman"/>
                <w:sz w:val="20"/>
                <w:szCs w:val="20"/>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4A7FBD" w:rsidP="00F13D8F">
            <w:pPr>
              <w:pStyle w:val="Default"/>
              <w:bidi w:val="0"/>
              <w:spacing w:after="0" w:line="240" w:lineRule="auto"/>
              <w:rPr>
                <w:rFonts w:ascii="Times New Roman" w:hAnsi="Times New Roman" w:cs="Times New Roman"/>
                <w:b/>
                <w:bCs/>
                <w:sz w:val="20"/>
                <w:szCs w:val="20"/>
              </w:rPr>
            </w:pPr>
            <w:r w:rsidRPr="004A7FBD" w:rsidR="00D35E8A">
              <w:rPr>
                <w:rFonts w:ascii="Times New Roman" w:hAnsi="Times New Roman" w:cs="Times New Roman"/>
                <w:b/>
                <w:bCs/>
                <w:sz w:val="20"/>
                <w:szCs w:val="20"/>
              </w:rPr>
              <w:t xml:space="preserve">SMERNICA EURÓPSKEHO PARLAMENTU A RADY </w:t>
            </w:r>
            <w:r w:rsidRPr="004A7FBD" w:rsidR="00D35E8A">
              <w:rPr>
                <w:rFonts w:ascii="Times New Roman" w:hAnsi="Times New Roman" w:cs="Times New Roman"/>
                <w:b/>
                <w:bCs/>
                <w:sz w:val="20"/>
                <w:szCs w:val="20"/>
                <w:u w:val="single"/>
              </w:rPr>
              <w:t>2013/14/EÚ</w:t>
            </w:r>
            <w:r w:rsidRPr="004A7FBD" w:rsidR="00D35E8A">
              <w:rPr>
                <w:rFonts w:ascii="Times New Roman" w:hAnsi="Times New Roman" w:cs="Times New Roman"/>
                <w:b/>
                <w:bCs/>
                <w:sz w:val="20"/>
                <w:szCs w:val="20"/>
              </w:rPr>
              <w:t xml:space="preserve">  z 21. mája 2013, ktorou sa mení a dopĺňa smernica 2003/41/ES o činnostiach a dohľade nad inštitúciami zamestnaneckého dôchodkového zabezpečenia, smernica 2009/65/ES o koordinácii zákonov, iných právnych predpisov a správnych opatrení týkajúcich sa podnikov kolektívneho investovania do prevoditeľných cenných papierov (PKIPCP) a smernica 2011/61/EÚ o správcoch alternatívnych investičných fondov v súvislosti s nadmerným spoliehaním sa na úverové ratingy </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4A7FBD">
            <w:pPr>
              <w:pStyle w:val="Heading4"/>
              <w:bidi w:val="0"/>
              <w:spacing w:before="120" w:after="0" w:line="240" w:lineRule="auto"/>
              <w:rPr>
                <w:rFonts w:ascii="Times New Roman" w:hAnsi="Times New Roman"/>
                <w:sz w:val="20"/>
                <w:szCs w:val="20"/>
              </w:rPr>
            </w:pPr>
            <w:r w:rsidRPr="004A7FBD" w:rsidR="00DE0F85">
              <w:rPr>
                <w:rFonts w:ascii="Times New Roman" w:hAnsi="Times New Roman"/>
                <w:sz w:val="20"/>
                <w:szCs w:val="20"/>
              </w:rPr>
              <w:t>Smernica EÚ</w:t>
            </w:r>
          </w:p>
          <w:p w:rsidR="00EE7DD6" w:rsidRPr="004A7FBD" w:rsidP="00D35E8A">
            <w:pPr>
              <w:pStyle w:val="Default"/>
              <w:bidi w:val="0"/>
              <w:spacing w:after="0" w:line="240" w:lineRule="auto"/>
              <w:rPr>
                <w:rFonts w:ascii="Times New Roman" w:hAnsi="Times New Roman" w:cs="Times New Roman"/>
                <w:sz w:val="20"/>
                <w:szCs w:val="20"/>
              </w:rPr>
            </w:pPr>
            <w:r w:rsidRPr="004A7FBD" w:rsidR="00D35E8A">
              <w:rPr>
                <w:rFonts w:ascii="Times New Roman" w:hAnsi="Times New Roman" w:cs="Times New Roman"/>
                <w:b/>
                <w:bCs/>
                <w:sz w:val="20"/>
                <w:szCs w:val="20"/>
              </w:rPr>
              <w:t xml:space="preserve">SMERNICA EURÓPSKEHO PARLAMENTU A RADY </w:t>
            </w:r>
            <w:r w:rsidRPr="004A7FBD" w:rsidR="00D35E8A">
              <w:rPr>
                <w:rFonts w:ascii="Times New Roman" w:hAnsi="Times New Roman" w:cs="Times New Roman"/>
                <w:b/>
                <w:bCs/>
                <w:sz w:val="20"/>
                <w:szCs w:val="20"/>
                <w:u w:val="single"/>
              </w:rPr>
              <w:t>2013/14/EÚ</w:t>
            </w:r>
            <w:r w:rsidRPr="004A7FBD" w:rsidR="00D35E8A">
              <w:rPr>
                <w:rFonts w:ascii="Times New Roman" w:hAnsi="Times New Roman" w:cs="Times New Roman"/>
                <w:b/>
                <w:bCs/>
                <w:sz w:val="20"/>
                <w:szCs w:val="20"/>
              </w:rPr>
              <w:t xml:space="preserve">  z 21. mája 2013, ktorou sa mení a dopĺňa smernica 2003/41/ES o činnostiach a dohľade nad inštitúciami zamestnaneckého dôchodkového zabezpečenia, smernica 2009/65/ES o koordinácii zákonov, iných právnych predpisov a správnych opatrení týkajúcich sa podnikov kolektívneho investovania do prevoditeľných cenných papierov (PKIPCP) a smernica 2011/61/EÚ o správcoch alternatívnych investičných fondov v súvislosti s nadmerným spoliehaním sa na úverové ratingy </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4A7FBD">
            <w:pPr>
              <w:pStyle w:val="Heading4"/>
              <w:bidi w:val="0"/>
              <w:spacing w:before="120" w:after="0" w:line="240" w:lineRule="auto"/>
              <w:rPr>
                <w:rFonts w:ascii="Times New Roman" w:hAnsi="Times New Roman"/>
                <w:sz w:val="20"/>
                <w:szCs w:val="20"/>
              </w:rPr>
            </w:pPr>
            <w:r w:rsidRPr="004A7FBD">
              <w:rPr>
                <w:rFonts w:ascii="Times New Roman" w:hAnsi="Times New Roman"/>
                <w:sz w:val="20"/>
                <w:szCs w:val="20"/>
              </w:rPr>
              <w:t>Všeobecne záväzné právne predpisy Slovenskej republiky</w:t>
            </w:r>
          </w:p>
          <w:p w:rsidR="009B066E" w:rsidRPr="004A7FBD" w:rsidP="009B066E">
            <w:pPr>
              <w:pStyle w:val="Zkladntext"/>
              <w:bidi w:val="0"/>
              <w:spacing w:after="0" w:line="240" w:lineRule="auto"/>
              <w:jc w:val="both"/>
              <w:rPr>
                <w:rFonts w:ascii="Times New Roman" w:hAnsi="Times New Roman"/>
                <w:b/>
                <w:color w:val="auto"/>
                <w:sz w:val="20"/>
                <w:szCs w:val="20"/>
              </w:rPr>
            </w:pPr>
            <w:r w:rsidRPr="004A7FBD" w:rsidR="004577EC">
              <w:rPr>
                <w:rFonts w:ascii="Times New Roman" w:hAnsi="Times New Roman"/>
                <w:b/>
                <w:sz w:val="20"/>
                <w:szCs w:val="20"/>
              </w:rPr>
              <w:t>Návrh zákona, ktorým sa mení a</w:t>
            </w:r>
            <w:r w:rsidRPr="004A7FBD">
              <w:rPr>
                <w:rFonts w:ascii="Times New Roman" w:hAnsi="Times New Roman"/>
                <w:b/>
                <w:sz w:val="20"/>
                <w:szCs w:val="20"/>
              </w:rPr>
              <w:t> </w:t>
            </w:r>
            <w:r w:rsidRPr="004A7FBD" w:rsidR="004577EC">
              <w:rPr>
                <w:rFonts w:ascii="Times New Roman" w:hAnsi="Times New Roman"/>
                <w:b/>
                <w:sz w:val="20"/>
                <w:szCs w:val="20"/>
              </w:rPr>
              <w:t>dopĺňa</w:t>
            </w:r>
            <w:r w:rsidRPr="004A7FBD">
              <w:rPr>
                <w:rFonts w:ascii="Times New Roman" w:hAnsi="Times New Roman"/>
                <w:b/>
                <w:sz w:val="20"/>
                <w:szCs w:val="20"/>
              </w:rPr>
              <w:t xml:space="preserve"> </w:t>
            </w:r>
            <w:r w:rsidRPr="004A7FBD">
              <w:rPr>
                <w:rFonts w:ascii="Times New Roman" w:hAnsi="Times New Roman"/>
                <w:b/>
                <w:color w:val="auto"/>
                <w:sz w:val="20"/>
                <w:szCs w:val="20"/>
              </w:rPr>
              <w:t>zákon č.</w:t>
            </w:r>
            <w:r w:rsidRPr="004A7FBD">
              <w:rPr>
                <w:rFonts w:ascii="Symbol" w:eastAsia="Times New Roman" w:hAnsi="Symbol" w:cs="Times New Roman"/>
                <w:b/>
                <w:color w:val="auto"/>
                <w:sz w:val="20"/>
                <w:szCs w:val="20"/>
                <w:rtl w:val="0"/>
              </w:rPr>
              <w:sym w:font="Symbol" w:char="F020"/>
            </w:r>
            <w:r w:rsidRPr="004A7FBD">
              <w:rPr>
                <w:rFonts w:ascii="Times New Roman" w:hAnsi="Times New Roman"/>
                <w:b/>
                <w:color w:val="auto"/>
                <w:sz w:val="20"/>
                <w:szCs w:val="20"/>
              </w:rPr>
              <w:t>483/2001</w:t>
            </w:r>
            <w:r w:rsidRPr="004A7FBD">
              <w:rPr>
                <w:rFonts w:ascii="Symbol" w:eastAsia="Times New Roman" w:hAnsi="Symbol" w:cs="Times New Roman"/>
                <w:b/>
                <w:color w:val="auto"/>
                <w:sz w:val="20"/>
                <w:szCs w:val="20"/>
                <w:rtl w:val="0"/>
              </w:rPr>
              <w:sym w:font="Symbol" w:char="F020"/>
            </w:r>
            <w:r w:rsidRPr="004A7FBD">
              <w:rPr>
                <w:rFonts w:ascii="Times New Roman" w:hAnsi="Times New Roman"/>
                <w:b/>
                <w:color w:val="auto"/>
                <w:sz w:val="20"/>
                <w:szCs w:val="20"/>
              </w:rPr>
              <w:t>Z.</w:t>
            </w:r>
            <w:r w:rsidRPr="004A7FBD">
              <w:rPr>
                <w:rFonts w:ascii="Symbol" w:eastAsia="Times New Roman" w:hAnsi="Symbol" w:cs="Times New Roman"/>
                <w:b/>
                <w:color w:val="auto"/>
                <w:sz w:val="20"/>
                <w:szCs w:val="20"/>
                <w:rtl w:val="0"/>
              </w:rPr>
              <w:sym w:font="Symbol" w:char="F020"/>
            </w:r>
            <w:r w:rsidRPr="004A7FBD">
              <w:rPr>
                <w:rFonts w:ascii="Times New Roman" w:hAnsi="Times New Roman"/>
                <w:b/>
                <w:color w:val="auto"/>
                <w:sz w:val="20"/>
                <w:szCs w:val="20"/>
              </w:rPr>
              <w:t>z. o bankách a o zmene a doplnení niektorých zákonov v znení neskorších predpisov a ktorým sa menia a dopĺňajú niektoré zákony (ďalej „návrh zákona“)</w:t>
            </w:r>
          </w:p>
          <w:p w:rsidR="009B066E" w:rsidRPr="004A7FBD" w:rsidP="009B066E">
            <w:pPr>
              <w:pStyle w:val="Zkladntext"/>
              <w:bidi w:val="0"/>
              <w:spacing w:after="0" w:line="240" w:lineRule="auto"/>
              <w:jc w:val="both"/>
              <w:rPr>
                <w:rFonts w:ascii="Times New Roman" w:hAnsi="Times New Roman"/>
                <w:color w:val="auto"/>
                <w:sz w:val="20"/>
                <w:szCs w:val="20"/>
              </w:rPr>
            </w:pPr>
          </w:p>
          <w:p w:rsidR="009B066E" w:rsidRPr="004A7FBD" w:rsidP="009B066E">
            <w:pPr>
              <w:bidi w:val="0"/>
              <w:spacing w:after="0" w:line="240" w:lineRule="auto"/>
              <w:jc w:val="both"/>
              <w:rPr>
                <w:rFonts w:ascii="Times New Roman" w:hAnsi="Times New Roman"/>
                <w:sz w:val="20"/>
                <w:szCs w:val="20"/>
              </w:rPr>
            </w:pPr>
            <w:r w:rsidRPr="004A7FBD">
              <w:rPr>
                <w:rFonts w:ascii="Times New Roman" w:hAnsi="Times New Roman"/>
                <w:sz w:val="20"/>
                <w:szCs w:val="20"/>
              </w:rPr>
              <w:t>Zákon č. 203/2011 Z. z. o kolektívnom investovaní v znení neskorších predpisov (ďalej len „203/2011“)</w:t>
            </w:r>
          </w:p>
          <w:p w:rsidR="009B066E" w:rsidRPr="004A7FBD" w:rsidP="002E1D16">
            <w:pPr>
              <w:pStyle w:val="Zkladntext"/>
              <w:bidi w:val="0"/>
              <w:spacing w:after="0" w:line="240" w:lineRule="auto"/>
              <w:jc w:val="both"/>
              <w:rPr>
                <w:rFonts w:ascii="Times New Roman" w:hAnsi="Times New Roman"/>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Pr>
                <w:rFonts w:ascii="Times New Roman" w:hAnsi="Times New Roman"/>
                <w:sz w:val="20"/>
                <w:szCs w:val="20"/>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Pr>
                <w:rFonts w:ascii="Times New Roman" w:hAnsi="Times New Roman"/>
                <w:sz w:val="20"/>
                <w:szCs w:val="20"/>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pStyle w:val="BodyText2"/>
              <w:bidi w:val="0"/>
              <w:spacing w:after="0" w:line="240" w:lineRule="exact"/>
              <w:rPr>
                <w:rFonts w:ascii="Times New Roman" w:hAnsi="Times New Roman"/>
              </w:rPr>
            </w:pPr>
            <w:r w:rsidRPr="004A7FBD">
              <w:rPr>
                <w:rFonts w:ascii="Times New Roman" w:hAnsi="Times New Roman"/>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pStyle w:val="BodyText2"/>
              <w:bidi w:val="0"/>
              <w:spacing w:after="0" w:line="240" w:lineRule="exact"/>
              <w:rPr>
                <w:rFonts w:ascii="Times New Roman" w:hAnsi="Times New Roman"/>
              </w:rPr>
            </w:pPr>
            <w:r w:rsidRPr="004A7FBD">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Pr>
                <w:rFonts w:ascii="Times New Roman" w:hAnsi="Times New Roman"/>
                <w:sz w:val="20"/>
                <w:szCs w:val="20"/>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4A7FBD">
            <w:pPr>
              <w:pStyle w:val="Normlny"/>
              <w:bidi w:val="0"/>
              <w:spacing w:after="0" w:line="240" w:lineRule="auto"/>
              <w:jc w:val="center"/>
              <w:rPr>
                <w:rFonts w:ascii="Times New Roman" w:hAnsi="Times New Roman"/>
              </w:rPr>
            </w:pPr>
            <w:r w:rsidRPr="004A7FBD">
              <w:rPr>
                <w:rFonts w:ascii="Times New Roman" w:hAnsi="Times New Roman"/>
              </w:rPr>
              <w:t>Článok</w:t>
            </w:r>
          </w:p>
          <w:p w:rsidR="00A9063F" w:rsidRPr="004A7FBD">
            <w:pPr>
              <w:pStyle w:val="Normlny"/>
              <w:bidi w:val="0"/>
              <w:spacing w:after="0" w:line="240" w:lineRule="auto"/>
              <w:jc w:val="center"/>
              <w:rPr>
                <w:rFonts w:ascii="Times New Roman" w:hAnsi="Times New Roman"/>
              </w:rPr>
            </w:pPr>
            <w:r w:rsidRPr="004A7FBD">
              <w:rPr>
                <w:rFonts w:ascii="Times New Roman" w:hAnsi="Times New Roman"/>
              </w:rPr>
              <w:t>(Č, O,</w:t>
            </w:r>
          </w:p>
          <w:p w:rsidR="00A9063F" w:rsidRPr="004A7FBD">
            <w:pPr>
              <w:pStyle w:val="Normlny"/>
              <w:bidi w:val="0"/>
              <w:spacing w:after="0" w:line="240" w:lineRule="auto"/>
              <w:jc w:val="center"/>
              <w:rPr>
                <w:rFonts w:ascii="Times New Roman" w:hAnsi="Times New Roman"/>
              </w:rPr>
            </w:pPr>
            <w:r w:rsidRPr="004A7FBD">
              <w:rPr>
                <w:rFonts w:ascii="Times New Roman" w:hAnsi="Times New Roman"/>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4A7FBD">
            <w:pPr>
              <w:pStyle w:val="Normlny"/>
              <w:bidi w:val="0"/>
              <w:spacing w:after="0" w:line="240" w:lineRule="auto"/>
              <w:jc w:val="center"/>
              <w:rPr>
                <w:rFonts w:ascii="Times New Roman" w:hAnsi="Times New Roman"/>
              </w:rPr>
            </w:pPr>
            <w:r w:rsidRPr="004A7FBD">
              <w:rPr>
                <w:rFonts w:ascii="Times New Roman" w:hAnsi="Times New Roman"/>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pStyle w:val="Normlny"/>
              <w:bidi w:val="0"/>
              <w:spacing w:after="0" w:line="240" w:lineRule="auto"/>
              <w:jc w:val="center"/>
              <w:rPr>
                <w:rFonts w:ascii="Times New Roman" w:hAnsi="Times New Roman"/>
              </w:rPr>
            </w:pPr>
            <w:r w:rsidRPr="004A7FBD">
              <w:rPr>
                <w:rFonts w:ascii="Times New Roman" w:hAnsi="Times New Roman"/>
              </w:rPr>
              <w:t>Spôsob transp.</w:t>
            </w:r>
          </w:p>
          <w:p w:rsidR="00A9063F" w:rsidRPr="004A7FBD">
            <w:pPr>
              <w:pStyle w:val="Normlny"/>
              <w:bidi w:val="0"/>
              <w:spacing w:after="0" w:line="240" w:lineRule="auto"/>
              <w:jc w:val="center"/>
              <w:rPr>
                <w:rFonts w:ascii="Times New Roman" w:hAnsi="Times New Roman"/>
              </w:rPr>
            </w:pPr>
            <w:r w:rsidRPr="004A7FBD">
              <w:rPr>
                <w:rFonts w:ascii="Times New Roman" w:hAnsi="Times New Roman"/>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4A7FBD">
            <w:pPr>
              <w:pStyle w:val="Normlny"/>
              <w:bidi w:val="0"/>
              <w:spacing w:after="0" w:line="240" w:lineRule="auto"/>
              <w:jc w:val="center"/>
              <w:rPr>
                <w:rFonts w:ascii="Times New Roman" w:hAnsi="Times New Roman"/>
              </w:rPr>
            </w:pPr>
            <w:r w:rsidRPr="004A7FBD">
              <w:rPr>
                <w:rFonts w:ascii="Times New Roman" w:hAnsi="Times New Roman"/>
              </w:rPr>
              <w:t>Číslo</w:t>
            </w:r>
          </w:p>
          <w:p w:rsidR="00A9063F" w:rsidRPr="004A7FBD">
            <w:pPr>
              <w:pStyle w:val="Normlny"/>
              <w:bidi w:val="0"/>
              <w:spacing w:after="0" w:line="240" w:lineRule="auto"/>
              <w:jc w:val="center"/>
              <w:rPr>
                <w:rFonts w:ascii="Times New Roman" w:hAnsi="Times New Roman"/>
              </w:rPr>
            </w:pPr>
            <w:r w:rsidRPr="004A7FBD">
              <w:rPr>
                <w:rFonts w:ascii="Times New Roman" w:hAnsi="Times New Roman"/>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pStyle w:val="Normlny"/>
              <w:bidi w:val="0"/>
              <w:spacing w:after="0" w:line="240" w:lineRule="auto"/>
              <w:jc w:val="center"/>
              <w:rPr>
                <w:rFonts w:ascii="Times New Roman" w:hAnsi="Times New Roman"/>
              </w:rPr>
            </w:pPr>
            <w:r w:rsidRPr="004A7FBD">
              <w:rPr>
                <w:rFonts w:ascii="Times New Roman" w:hAnsi="Times New Roman"/>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pStyle w:val="Normlny"/>
              <w:bidi w:val="0"/>
              <w:spacing w:after="0" w:line="240" w:lineRule="auto"/>
              <w:jc w:val="center"/>
              <w:rPr>
                <w:rFonts w:ascii="Times New Roman" w:hAnsi="Times New Roman"/>
              </w:rPr>
            </w:pPr>
            <w:r w:rsidRPr="004A7FBD">
              <w:rPr>
                <w:rFonts w:ascii="Times New Roman" w:hAnsi="Times New Roman"/>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pStyle w:val="Normlny"/>
              <w:bidi w:val="0"/>
              <w:spacing w:after="0" w:line="240" w:lineRule="auto"/>
              <w:jc w:val="center"/>
              <w:rPr>
                <w:rFonts w:ascii="Times New Roman" w:hAnsi="Times New Roman"/>
              </w:rPr>
            </w:pPr>
            <w:r w:rsidRPr="004A7FBD">
              <w:rPr>
                <w:rFonts w:ascii="Times New Roman" w:hAnsi="Times New Roman"/>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pStyle w:val="Normlny"/>
              <w:bidi w:val="0"/>
              <w:spacing w:after="0" w:line="240" w:lineRule="auto"/>
              <w:jc w:val="center"/>
              <w:rPr>
                <w:rFonts w:ascii="Times New Roman" w:hAnsi="Times New Roman"/>
              </w:rPr>
            </w:pPr>
            <w:r w:rsidRPr="004A7FBD">
              <w:rPr>
                <w:rFonts w:ascii="Times New Roman" w:hAnsi="Times New Roman"/>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4A7FBD" w:rsidP="00984EB3">
            <w:pPr>
              <w:bidi w:val="0"/>
              <w:spacing w:after="0" w:line="240" w:lineRule="auto"/>
              <w:jc w:val="center"/>
              <w:rPr>
                <w:rFonts w:ascii="Times New Roman" w:hAnsi="Times New Roman"/>
                <w:sz w:val="20"/>
                <w:szCs w:val="20"/>
              </w:rPr>
            </w:pPr>
            <w:r w:rsidRPr="004A7FBD" w:rsidR="0078287E">
              <w:rPr>
                <w:rFonts w:ascii="Times New Roman" w:hAnsi="Times New Roman"/>
                <w:sz w:val="20"/>
                <w:szCs w:val="20"/>
              </w:rPr>
              <w:t xml:space="preserve">Čl. </w:t>
            </w:r>
            <w:r w:rsidRPr="004A7FBD" w:rsidR="00984EB3">
              <w:rPr>
                <w:rFonts w:ascii="Times New Roman" w:hAnsi="Times New Roman"/>
                <w:sz w:val="20"/>
                <w:szCs w:val="20"/>
              </w:rPr>
              <w:t>2</w:t>
            </w:r>
            <w:r w:rsidRPr="004A7FBD" w:rsidR="0078287E">
              <w:rPr>
                <w:rFonts w:ascii="Times New Roman" w:hAnsi="Times New Roman"/>
                <w:sz w:val="20"/>
                <w:szCs w:val="20"/>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 xml:space="preserve">Zmeny smernice 2009/65/ES </w:t>
            </w:r>
          </w:p>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 xml:space="preserve">Článok 51 smernice 2009/65/ES sa mení takto: </w:t>
            </w:r>
          </w:p>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 xml:space="preserve">1. v odseku 1 sa prvý pododsek nahrádza takto: </w:t>
            </w:r>
          </w:p>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 xml:space="preserve">„1. Správcovská alebo investičná spoločnosť využívajú postup riadenia rizík, ktorý jej umožňuje kedykoľvek monitorovať a merať riziko pozícií a ich prínos k celkovému rizikovému profilu portfólia PKIPCP. Pri posudzovaní úverovej bonity aktív PKIPCP sa predovšetkým nesmie výhradne alebo mechanicky spoliehať na úverové ratingy </w:t>
            </w:r>
          </w:p>
          <w:p w:rsidR="002E1D16" w:rsidRPr="004A7FBD" w:rsidP="00984EB3">
            <w:pPr>
              <w:bidi w:val="0"/>
              <w:spacing w:after="0" w:line="240" w:lineRule="auto"/>
              <w:rPr>
                <w:rFonts w:ascii="Times New Roman" w:hAnsi="Times New Roman"/>
                <w:sz w:val="20"/>
                <w:szCs w:val="20"/>
              </w:rPr>
            </w:pPr>
            <w:r w:rsidRPr="004A7FBD" w:rsidR="00984EB3">
              <w:rPr>
                <w:rFonts w:ascii="Times New Roman" w:hAnsi="Times New Roman"/>
                <w:sz w:val="20"/>
                <w:szCs w:val="20"/>
              </w:rPr>
              <w:t>vydávané ratingovými agentúrami, ako sú vymedzené v článku 3 ods. 1 písm. b) nariadenia Európskeho parlamentu a Rady (ES) č. 1060/2009 zo 16. septembra 2009 o ratingových agentúrach (*).</w:t>
            </w:r>
          </w:p>
          <w:p w:rsidR="00EF1DCA" w:rsidRPr="004A7FBD" w:rsidP="00984EB3">
            <w:pPr>
              <w:bidi w:val="0"/>
              <w:spacing w:after="0" w:line="240" w:lineRule="auto"/>
              <w:rPr>
                <w:rFonts w:ascii="Times New Roman" w:hAnsi="Times New Roman"/>
                <w:sz w:val="20"/>
                <w:szCs w:val="20"/>
              </w:rPr>
            </w:pPr>
          </w:p>
          <w:p w:rsidR="00EF1DCA" w:rsidRPr="004A7FBD" w:rsidP="00984EB3">
            <w:pPr>
              <w:bidi w:val="0"/>
              <w:spacing w:after="0" w:line="240" w:lineRule="auto"/>
              <w:rPr>
                <w:rFonts w:ascii="Times New Roman" w:hAnsi="Times New Roman"/>
                <w:sz w:val="20"/>
                <w:szCs w:val="20"/>
              </w:rPr>
            </w:pPr>
          </w:p>
          <w:p w:rsidR="00EF1DCA" w:rsidRPr="004A7FBD" w:rsidP="00984EB3">
            <w:pPr>
              <w:bidi w:val="0"/>
              <w:spacing w:after="0" w:line="240" w:lineRule="auto"/>
              <w:rPr>
                <w:rFonts w:ascii="Times New Roman" w:hAnsi="Times New Roman"/>
                <w:sz w:val="20"/>
                <w:szCs w:val="20"/>
              </w:rPr>
            </w:pPr>
          </w:p>
          <w:p w:rsidR="00EF1DCA" w:rsidRPr="004A7FBD" w:rsidP="00984EB3">
            <w:pPr>
              <w:bidi w:val="0"/>
              <w:spacing w:after="0" w:line="240" w:lineRule="auto"/>
              <w:rPr>
                <w:rFonts w:ascii="Times New Roman" w:hAnsi="Times New Roman"/>
                <w:sz w:val="20"/>
                <w:szCs w:val="20"/>
              </w:rPr>
            </w:pPr>
          </w:p>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 xml:space="preserve">2. Vkladá sa tento odsek: </w:t>
            </w:r>
          </w:p>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 xml:space="preserve">„3a. Príslušné orgány, zohľadniac povahu, rozsah a komplexnosť činností PKIPCP, monitorujú primeranosť postupov správcovských alebo investičných spoločností týkajúcich sa úverového posúdenia, posudzujú využívanie odkazov na úverové ratingy, ako sú uvedené v odseku 1 prvom pododseku, v investičných politikách PKIPCP a v prípade potreby nabádajú na zmiernenie dosahu takýchto odkazov s cieľom obmedziť výhradné a mechanické spoliehanie sa na takéto úverové ratingy.“ </w:t>
            </w:r>
          </w:p>
          <w:p w:rsidR="00984EB3"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B066E" w:rsidRPr="004A7FBD" w:rsidP="00984EB3">
            <w:pPr>
              <w:bidi w:val="0"/>
              <w:spacing w:after="0" w:line="240" w:lineRule="auto"/>
              <w:rPr>
                <w:rFonts w:ascii="Times New Roman" w:hAnsi="Times New Roman"/>
                <w:sz w:val="20"/>
                <w:szCs w:val="20"/>
              </w:rPr>
            </w:pPr>
          </w:p>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 xml:space="preserve">3. Odsek 4 sa mení takto: </w:t>
            </w:r>
          </w:p>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 xml:space="preserve">a) Písmeno a) sa nahrádza takto: </w:t>
            </w:r>
          </w:p>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 xml:space="preserve">„a) kritériá na posúdenie primeranosti postupu riadenia rizík, ktorý uplatňuje správcovská alebo investičná spoločnosť v súlade s odsekom 1 prvým pododsekom;“. </w:t>
            </w:r>
          </w:p>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 xml:space="preserve">b) Dopĺňa sa tento pododsek: </w:t>
            </w:r>
          </w:p>
          <w:p w:rsidR="00984EB3" w:rsidRPr="004A7FBD" w:rsidP="00984EB3">
            <w:pPr>
              <w:bidi w:val="0"/>
              <w:spacing w:after="0" w:line="240" w:lineRule="auto"/>
              <w:rPr>
                <w:rFonts w:ascii="Times New Roman" w:hAnsi="Times New Roman"/>
                <w:sz w:val="20"/>
                <w:szCs w:val="20"/>
              </w:rPr>
            </w:pPr>
            <w:r w:rsidRPr="004A7FBD">
              <w:rPr>
                <w:rFonts w:ascii="Times New Roman" w:hAnsi="Times New Roman"/>
                <w:sz w:val="20"/>
                <w:szCs w:val="20"/>
              </w:rPr>
              <w:t>„Kritériá uvedené v písmene a) prvého pododseku zaistia, aby sa predišlo tomu, že sa pri posudzovaní úverovej bonity aktív PKIPCP správcovská alebo investičná spoločnosť výhradne alebo mechanicky spolieha na úverové ratingy, ako sú uvede</w:t>
            </w:r>
            <w:r w:rsidRPr="004A7FBD" w:rsidR="009B066E">
              <w:rPr>
                <w:rFonts w:ascii="Times New Roman" w:hAnsi="Times New Roman"/>
                <w:sz w:val="20"/>
                <w:szCs w:val="20"/>
              </w:rPr>
              <w:t>né v odseku 1 prvom pododseku.“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sidR="0078287E">
              <w:rPr>
                <w:rFonts w:ascii="Times New Roman" w:hAnsi="Times New Roman"/>
                <w:sz w:val="20"/>
                <w:szCs w:val="20"/>
              </w:rPr>
              <w:t>N</w:t>
            </w: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r w:rsidRPr="004A7FBD">
              <w:rPr>
                <w:rFonts w:ascii="Times New Roman" w:hAnsi="Times New Roman"/>
                <w:sz w:val="20"/>
                <w:szCs w:val="20"/>
              </w:rPr>
              <w:t>n.a.</w:t>
            </w: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rsidP="00E8677E">
            <w:pPr>
              <w:bidi w:val="0"/>
              <w:spacing w:after="0" w:line="240" w:lineRule="auto"/>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p>
          <w:p w:rsidR="00EF1DCA" w:rsidRPr="004A7FBD">
            <w:pPr>
              <w:bidi w:val="0"/>
              <w:spacing w:after="0" w:line="240" w:lineRule="auto"/>
              <w:jc w:val="center"/>
              <w:rPr>
                <w:rFonts w:ascii="Times New Roman" w:hAnsi="Times New Roman"/>
                <w:sz w:val="20"/>
                <w:szCs w:val="20"/>
              </w:rPr>
            </w:pPr>
          </w:p>
          <w:p w:rsidR="00EF1DCA" w:rsidRPr="004A7FBD">
            <w:pPr>
              <w:bidi w:val="0"/>
              <w:spacing w:after="0" w:line="240" w:lineRule="auto"/>
              <w:jc w:val="center"/>
              <w:rPr>
                <w:rFonts w:ascii="Times New Roman" w:hAnsi="Times New Roman"/>
                <w:sz w:val="20"/>
                <w:szCs w:val="20"/>
              </w:rPr>
            </w:pPr>
          </w:p>
          <w:p w:rsidR="00EF1DCA" w:rsidRPr="004A7FBD" w:rsidP="00EF1DCA">
            <w:pPr>
              <w:bidi w:val="0"/>
              <w:spacing w:after="0" w:line="240" w:lineRule="auto"/>
              <w:jc w:val="center"/>
              <w:rPr>
                <w:rFonts w:ascii="Times New Roman" w:hAnsi="Times New Roman"/>
                <w:sz w:val="20"/>
                <w:szCs w:val="20"/>
              </w:rPr>
            </w:pPr>
            <w:r w:rsidRPr="004A7FBD">
              <w:rPr>
                <w:rFonts w:ascii="Times New Roman" w:hAnsi="Times New Roman"/>
                <w:sz w:val="20"/>
                <w:szCs w:val="20"/>
              </w:rPr>
              <w:t>203/ 2011 a </w:t>
            </w:r>
          </w:p>
          <w:p w:rsidR="00EF1DCA" w:rsidRPr="004A7FBD" w:rsidP="00EF1DCA">
            <w:pPr>
              <w:bidi w:val="0"/>
              <w:spacing w:after="0" w:line="240" w:lineRule="auto"/>
              <w:jc w:val="center"/>
              <w:rPr>
                <w:rFonts w:ascii="Times New Roman" w:hAnsi="Times New Roman"/>
                <w:sz w:val="20"/>
                <w:szCs w:val="20"/>
              </w:rPr>
            </w:pPr>
          </w:p>
          <w:p w:rsidR="00EF1DCA" w:rsidRPr="004A7FBD" w:rsidP="00EF1DCA">
            <w:pPr>
              <w:bidi w:val="0"/>
              <w:spacing w:after="0" w:line="240" w:lineRule="auto"/>
              <w:jc w:val="center"/>
              <w:rPr>
                <w:rFonts w:ascii="Times New Roman" w:hAnsi="Times New Roman"/>
                <w:sz w:val="20"/>
                <w:szCs w:val="20"/>
              </w:rPr>
            </w:pPr>
          </w:p>
          <w:p w:rsidR="00EF1DCA" w:rsidRPr="004A7FBD" w:rsidP="00EF1DCA">
            <w:pPr>
              <w:bidi w:val="0"/>
              <w:spacing w:after="0" w:line="240" w:lineRule="auto"/>
              <w:jc w:val="center"/>
              <w:rPr>
                <w:rFonts w:ascii="Times New Roman" w:hAnsi="Times New Roman"/>
                <w:b/>
                <w:sz w:val="20"/>
                <w:szCs w:val="20"/>
              </w:rPr>
            </w:pPr>
            <w:r w:rsidRPr="004A7FBD">
              <w:rPr>
                <w:rFonts w:ascii="Times New Roman" w:hAnsi="Times New Roman"/>
                <w:b/>
                <w:sz w:val="20"/>
                <w:szCs w:val="20"/>
              </w:rPr>
              <w:t>návrh zákona čl.V</w:t>
            </w:r>
          </w:p>
          <w:p w:rsidR="00EF1DCA" w:rsidRPr="004A7FBD" w:rsidP="00EF1DCA">
            <w:pPr>
              <w:bidi w:val="0"/>
              <w:spacing w:after="0" w:line="240" w:lineRule="auto"/>
              <w:jc w:val="center"/>
              <w:rPr>
                <w:rFonts w:ascii="Times New Roman" w:hAnsi="Times New Roman"/>
                <w:b/>
                <w:sz w:val="20"/>
                <w:szCs w:val="20"/>
              </w:rPr>
            </w:pPr>
          </w:p>
          <w:p w:rsidR="00EF1DCA" w:rsidRPr="004A7FBD" w:rsidP="00EF1DCA">
            <w:pPr>
              <w:bidi w:val="0"/>
              <w:spacing w:after="0" w:line="240" w:lineRule="auto"/>
              <w:jc w:val="center"/>
              <w:rPr>
                <w:rFonts w:ascii="Times New Roman" w:hAnsi="Times New Roman"/>
                <w:b/>
                <w:sz w:val="20"/>
                <w:szCs w:val="20"/>
              </w:rPr>
            </w:pPr>
          </w:p>
          <w:p w:rsidR="00EF1DCA" w:rsidRPr="004A7FBD" w:rsidP="00EF1DCA">
            <w:pPr>
              <w:bidi w:val="0"/>
              <w:spacing w:after="0" w:line="240" w:lineRule="auto"/>
              <w:jc w:val="center"/>
              <w:rPr>
                <w:rFonts w:ascii="Times New Roman" w:hAnsi="Times New Roman"/>
                <w:b/>
                <w:sz w:val="20"/>
                <w:szCs w:val="20"/>
              </w:rPr>
            </w:pPr>
          </w:p>
          <w:p w:rsidR="00EF1DCA" w:rsidRPr="004A7FBD" w:rsidP="00EF1DCA">
            <w:pPr>
              <w:bidi w:val="0"/>
              <w:spacing w:after="0" w:line="240" w:lineRule="auto"/>
              <w:jc w:val="center"/>
              <w:rPr>
                <w:rFonts w:ascii="Times New Roman" w:hAnsi="Times New Roman"/>
                <w:b/>
                <w:sz w:val="20"/>
                <w:szCs w:val="20"/>
              </w:rPr>
            </w:pPr>
          </w:p>
          <w:p w:rsidR="00EF1DCA" w:rsidRPr="004A7FBD" w:rsidP="00EF1DCA">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rsidP="0091636B">
            <w:pPr>
              <w:pStyle w:val="Normlny"/>
              <w:bidi w:val="0"/>
              <w:spacing w:after="0" w:line="240" w:lineRule="auto"/>
              <w:jc w:val="center"/>
              <w:rPr>
                <w:rFonts w:ascii="Times New Roman" w:hAnsi="Times New Roman"/>
              </w:rPr>
            </w:pPr>
          </w:p>
          <w:p w:rsidR="00EF1DCA" w:rsidRPr="004A7FBD" w:rsidP="0091636B">
            <w:pPr>
              <w:pStyle w:val="Normlny"/>
              <w:bidi w:val="0"/>
              <w:spacing w:after="0" w:line="240" w:lineRule="auto"/>
              <w:jc w:val="center"/>
              <w:rPr>
                <w:rFonts w:ascii="Times New Roman" w:hAnsi="Times New Roman"/>
              </w:rPr>
            </w:pPr>
          </w:p>
          <w:p w:rsidR="00EF1DCA" w:rsidRPr="004A7FBD" w:rsidP="0091636B">
            <w:pPr>
              <w:pStyle w:val="Normlny"/>
              <w:bidi w:val="0"/>
              <w:spacing w:after="0" w:line="240" w:lineRule="auto"/>
              <w:jc w:val="center"/>
              <w:rPr>
                <w:rFonts w:ascii="Times New Roman" w:hAnsi="Times New Roman"/>
              </w:rPr>
            </w:pPr>
          </w:p>
          <w:p w:rsidR="00EF1DCA" w:rsidRPr="004A7FBD" w:rsidP="00EF1DCA">
            <w:pPr>
              <w:bidi w:val="0"/>
              <w:spacing w:after="0" w:line="240" w:lineRule="auto"/>
              <w:jc w:val="center"/>
              <w:rPr>
                <w:rFonts w:ascii="Times New Roman" w:hAnsi="Times New Roman"/>
                <w:sz w:val="20"/>
                <w:szCs w:val="20"/>
              </w:rPr>
            </w:pPr>
            <w:r w:rsidRPr="004A7FBD">
              <w:rPr>
                <w:rFonts w:ascii="Times New Roman" w:hAnsi="Times New Roman"/>
                <w:sz w:val="20"/>
                <w:szCs w:val="20"/>
              </w:rPr>
              <w:t xml:space="preserve">§ 37a ods.4 </w:t>
            </w:r>
          </w:p>
          <w:p w:rsidR="00EF1DCA" w:rsidRPr="004A7FBD" w:rsidP="00EF1DCA">
            <w:pPr>
              <w:bidi w:val="0"/>
              <w:spacing w:after="0" w:line="240" w:lineRule="auto"/>
              <w:jc w:val="center"/>
              <w:rPr>
                <w:rFonts w:ascii="Times New Roman" w:hAnsi="Times New Roman"/>
                <w:sz w:val="20"/>
                <w:szCs w:val="20"/>
              </w:rPr>
            </w:pPr>
          </w:p>
          <w:p w:rsidR="00EF1DCA" w:rsidRPr="004A7FBD" w:rsidP="00EF1DCA">
            <w:pPr>
              <w:bidi w:val="0"/>
              <w:spacing w:after="0" w:line="240" w:lineRule="auto"/>
              <w:jc w:val="center"/>
              <w:rPr>
                <w:rFonts w:ascii="Times New Roman" w:hAnsi="Times New Roman"/>
                <w:sz w:val="20"/>
                <w:szCs w:val="20"/>
              </w:rPr>
            </w:pPr>
          </w:p>
          <w:p w:rsidR="00EF1DCA" w:rsidRPr="004A7FBD" w:rsidP="00EF1DCA">
            <w:pPr>
              <w:pStyle w:val="Normlny"/>
              <w:bidi w:val="0"/>
              <w:spacing w:after="0" w:line="240" w:lineRule="auto"/>
              <w:jc w:val="center"/>
              <w:rPr>
                <w:rFonts w:ascii="Times New Roman" w:hAnsi="Times New Roman"/>
              </w:rPr>
            </w:pPr>
            <w:r w:rsidRPr="004A7FBD">
              <w:rPr>
                <w:rFonts w:ascii="Times New Roman" w:hAnsi="Times New Roman"/>
              </w:rPr>
              <w:t>pís.d)</w:t>
            </w:r>
          </w:p>
          <w:p w:rsidR="00EF1DCA" w:rsidRPr="004A7FBD" w:rsidP="00EF1DCA">
            <w:pPr>
              <w:pStyle w:val="Normlny"/>
              <w:bidi w:val="0"/>
              <w:spacing w:after="0" w:line="240" w:lineRule="auto"/>
              <w:jc w:val="center"/>
              <w:rPr>
                <w:rFonts w:ascii="Times New Roman" w:hAnsi="Times New Roman"/>
              </w:rPr>
            </w:pPr>
          </w:p>
          <w:p w:rsidR="00EF1DCA" w:rsidRPr="004A7FBD" w:rsidP="00EF1DCA">
            <w:pPr>
              <w:pStyle w:val="Normlny"/>
              <w:bidi w:val="0"/>
              <w:spacing w:after="0" w:line="240" w:lineRule="auto"/>
              <w:jc w:val="center"/>
              <w:rPr>
                <w:rFonts w:ascii="Times New Roman" w:hAnsi="Times New Roman"/>
              </w:rPr>
            </w:pPr>
          </w:p>
          <w:p w:rsidR="00EF1DCA" w:rsidRPr="004A7FBD" w:rsidP="00EF1DCA">
            <w:pPr>
              <w:pStyle w:val="Normlny"/>
              <w:bidi w:val="0"/>
              <w:spacing w:after="0" w:line="240" w:lineRule="auto"/>
              <w:jc w:val="center"/>
              <w:rPr>
                <w:rFonts w:ascii="Times New Roman" w:hAnsi="Times New Roman"/>
              </w:rPr>
            </w:pPr>
          </w:p>
          <w:p w:rsidR="00EF1DCA" w:rsidRPr="004A7FBD" w:rsidP="00EF1DCA">
            <w:pPr>
              <w:pStyle w:val="Normlny"/>
              <w:bidi w:val="0"/>
              <w:spacing w:after="0" w:line="240" w:lineRule="auto"/>
              <w:jc w:val="center"/>
              <w:rPr>
                <w:rFonts w:ascii="Times New Roman" w:hAnsi="Times New Roman"/>
              </w:rPr>
            </w:pPr>
          </w:p>
          <w:p w:rsidR="00EF1DCA" w:rsidRPr="004A7FBD" w:rsidP="00EF1DCA">
            <w:pPr>
              <w:pStyle w:val="Normlny"/>
              <w:bidi w:val="0"/>
              <w:spacing w:after="0" w:line="240" w:lineRule="auto"/>
              <w:jc w:val="center"/>
              <w:rPr>
                <w:rFonts w:ascii="Times New Roman" w:hAnsi="Times New Roman"/>
              </w:rPr>
            </w:pPr>
          </w:p>
          <w:p w:rsidR="00EF1DCA" w:rsidRPr="004A7FBD" w:rsidP="00EF1DCA">
            <w:pPr>
              <w:pStyle w:val="Normlny"/>
              <w:bidi w:val="0"/>
              <w:spacing w:after="0" w:line="240" w:lineRule="auto"/>
              <w:jc w:val="center"/>
              <w:rPr>
                <w:rFonts w:ascii="Times New Roman" w:hAnsi="Times New Roman"/>
              </w:rPr>
            </w:pPr>
          </w:p>
          <w:p w:rsidR="00754413" w:rsidRPr="004A7FBD" w:rsidP="00EF1DCA">
            <w:pPr>
              <w:pStyle w:val="Normlny"/>
              <w:bidi w:val="0"/>
              <w:spacing w:after="0" w:line="240" w:lineRule="auto"/>
              <w:jc w:val="center"/>
              <w:rPr>
                <w:rFonts w:ascii="Times New Roman" w:hAnsi="Times New Roman"/>
              </w:rPr>
            </w:pPr>
          </w:p>
          <w:p w:rsidR="00846B45" w:rsidRPr="004A7FBD" w:rsidP="00EF1DCA">
            <w:pPr>
              <w:pStyle w:val="Normlny"/>
              <w:bidi w:val="0"/>
              <w:spacing w:after="0" w:line="240" w:lineRule="auto"/>
              <w:jc w:val="center"/>
              <w:rPr>
                <w:rFonts w:ascii="Times New Roman" w:hAnsi="Times New Roman"/>
              </w:rPr>
            </w:pPr>
            <w:r w:rsidRPr="004A7FBD">
              <w:rPr>
                <w:rFonts w:ascii="Times New Roman" w:hAnsi="Times New Roman"/>
              </w:rPr>
              <w:t xml:space="preserve">§ 102 ods.3 </w:t>
            </w:r>
          </w:p>
          <w:p w:rsidR="00EF1DCA" w:rsidRPr="004A7FBD" w:rsidP="00EF1DCA">
            <w:pPr>
              <w:pStyle w:val="Normlny"/>
              <w:bidi w:val="0"/>
              <w:spacing w:after="0" w:line="240" w:lineRule="auto"/>
              <w:jc w:val="center"/>
              <w:rPr>
                <w:rFonts w:ascii="Times New Roman" w:hAnsi="Times New Roman"/>
              </w:rPr>
            </w:pPr>
            <w:r w:rsidRPr="004A7FBD" w:rsidR="00846B45">
              <w:rPr>
                <w:rFonts w:ascii="Times New Roman" w:hAnsi="Times New Roman"/>
              </w:rPr>
              <w:t>pís.g)</w:t>
            </w:r>
          </w:p>
          <w:p w:rsidR="009B066E" w:rsidRPr="004A7FBD" w:rsidP="00EF1DCA">
            <w:pPr>
              <w:pStyle w:val="Normlny"/>
              <w:bidi w:val="0"/>
              <w:spacing w:after="0" w:line="240" w:lineRule="auto"/>
              <w:jc w:val="center"/>
              <w:rPr>
                <w:rFonts w:ascii="Times New Roman" w:hAnsi="Times New Roman"/>
              </w:rPr>
            </w:pPr>
          </w:p>
          <w:p w:rsidR="009B066E" w:rsidRPr="004A7FBD" w:rsidP="00EF1DCA">
            <w:pPr>
              <w:pStyle w:val="Normlny"/>
              <w:bidi w:val="0"/>
              <w:spacing w:after="0" w:line="240" w:lineRule="auto"/>
              <w:jc w:val="center"/>
              <w:rPr>
                <w:rFonts w:ascii="Times New Roman" w:hAnsi="Times New Roman"/>
              </w:rPr>
            </w:pPr>
          </w:p>
          <w:p w:rsidR="009B066E" w:rsidRPr="004A7FBD" w:rsidP="00EF1DCA">
            <w:pPr>
              <w:pStyle w:val="Normlny"/>
              <w:bidi w:val="0"/>
              <w:spacing w:after="0" w:line="240" w:lineRule="auto"/>
              <w:jc w:val="center"/>
              <w:rPr>
                <w:rFonts w:ascii="Times New Roman" w:hAnsi="Times New Roman"/>
              </w:rPr>
            </w:pPr>
          </w:p>
          <w:p w:rsidR="009B066E" w:rsidRPr="004A7FBD" w:rsidP="00EF1DCA">
            <w:pPr>
              <w:pStyle w:val="Normlny"/>
              <w:bidi w:val="0"/>
              <w:spacing w:after="0" w:line="240" w:lineRule="auto"/>
              <w:jc w:val="center"/>
              <w:rPr>
                <w:rFonts w:ascii="Times New Roman" w:hAnsi="Times New Roman"/>
              </w:rPr>
            </w:pPr>
          </w:p>
          <w:p w:rsidR="009B066E" w:rsidRPr="004A7FBD" w:rsidP="00EF1DCA">
            <w:pPr>
              <w:pStyle w:val="Normlny"/>
              <w:bidi w:val="0"/>
              <w:spacing w:after="0" w:line="240" w:lineRule="auto"/>
              <w:jc w:val="center"/>
              <w:rPr>
                <w:rFonts w:ascii="Times New Roman" w:hAnsi="Times New Roman"/>
              </w:rPr>
            </w:pPr>
            <w:r w:rsidRPr="004A7FBD">
              <w:rPr>
                <w:rFonts w:ascii="Times New Roman" w:hAnsi="Times New Roman"/>
              </w:rPr>
              <w:t>§ 193 ods.3 pís.c)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F1DCA" w:rsidRPr="004A7FBD" w:rsidP="00EF1DCA">
            <w:pPr>
              <w:pStyle w:val="BodyText2"/>
              <w:bidi w:val="0"/>
              <w:spacing w:after="0" w:line="240" w:lineRule="exact"/>
              <w:jc w:val="left"/>
              <w:rPr>
                <w:rFonts w:ascii="Times New Roman" w:hAnsi="Times New Roman"/>
              </w:rPr>
            </w:pPr>
          </w:p>
          <w:p w:rsidR="00EF1DCA" w:rsidRPr="004A7FBD" w:rsidP="00EF1DCA">
            <w:pPr>
              <w:pStyle w:val="BodyText2"/>
              <w:bidi w:val="0"/>
              <w:spacing w:after="0" w:line="240" w:lineRule="exact"/>
              <w:jc w:val="left"/>
              <w:rPr>
                <w:rFonts w:ascii="Times New Roman" w:hAnsi="Times New Roman"/>
              </w:rPr>
            </w:pPr>
          </w:p>
          <w:p w:rsidR="00EF1DCA" w:rsidRPr="004A7FBD" w:rsidP="00EF1DCA">
            <w:pPr>
              <w:pStyle w:val="BodyText2"/>
              <w:bidi w:val="0"/>
              <w:spacing w:after="0" w:line="240" w:lineRule="exact"/>
              <w:jc w:val="left"/>
              <w:rPr>
                <w:rFonts w:ascii="Times New Roman" w:hAnsi="Times New Roman"/>
              </w:rPr>
            </w:pPr>
          </w:p>
          <w:p w:rsidR="00EF1DCA" w:rsidRPr="004A7FBD" w:rsidP="00EF1DCA">
            <w:pPr>
              <w:pStyle w:val="BodyText2"/>
              <w:bidi w:val="0"/>
              <w:spacing w:after="0" w:line="240" w:lineRule="exact"/>
              <w:jc w:val="left"/>
              <w:rPr>
                <w:rFonts w:ascii="Times New Roman" w:hAnsi="Times New Roman"/>
              </w:rPr>
            </w:pPr>
            <w:r w:rsidRPr="004A7FBD">
              <w:rPr>
                <w:rFonts w:ascii="Times New Roman" w:hAnsi="Times New Roman"/>
              </w:rPr>
              <w:t>Správcovská spoločnosť podľa odseku 1 je povinná pri správe tuzemských subjektov kolektívneho investovania podľa § 4 ods. 2 písm. b) a zahraničných alternatívnych investičných fondov</w:t>
            </w:r>
          </w:p>
          <w:p w:rsidR="00A9063F" w:rsidRPr="004A7FBD" w:rsidP="002E1D16">
            <w:pPr>
              <w:pStyle w:val="Normlny"/>
              <w:bidi w:val="0"/>
              <w:spacing w:after="0" w:line="240" w:lineRule="auto"/>
              <w:rPr>
                <w:rFonts w:ascii="Times New Roman" w:hAnsi="Times New Roman"/>
                <w:b/>
              </w:rPr>
            </w:pPr>
            <w:r w:rsidRPr="004A7FBD" w:rsidR="00754413">
              <w:rPr>
                <w:rFonts w:ascii="Times New Roman" w:hAnsi="Times New Roman"/>
                <w:b/>
              </w:rPr>
              <w:t>zdržať sa výhradného alebo automatického spoliehania sa len na úverové ratingy vydávané ratingovými agentúrami</w:t>
            </w:r>
            <w:r w:rsidRPr="004A7FBD" w:rsidR="00754413">
              <w:rPr>
                <w:rFonts w:ascii="Times New Roman" w:hAnsi="Times New Roman"/>
                <w:b/>
                <w:vertAlign w:val="superscript"/>
              </w:rPr>
              <w:t>25ha</w:t>
            </w:r>
            <w:r w:rsidRPr="004A7FBD" w:rsidR="00754413">
              <w:rPr>
                <w:rFonts w:ascii="Times New Roman" w:hAnsi="Times New Roman"/>
                <w:b/>
              </w:rPr>
              <w:t>) pri posudzovaní kreditnej kvality aktív tuzemského subjektu kolektívneho investovania podľa § 4 ods. 2 písm. b) alebo zahraničného alternatívneho investičného fondu.</w:t>
            </w:r>
          </w:p>
          <w:p w:rsidR="00846B45" w:rsidRPr="004A7FBD" w:rsidP="002E1D16">
            <w:pPr>
              <w:pStyle w:val="Normlny"/>
              <w:bidi w:val="0"/>
              <w:spacing w:after="0" w:line="240" w:lineRule="auto"/>
              <w:rPr>
                <w:rFonts w:ascii="Times New Roman" w:hAnsi="Times New Roman"/>
              </w:rPr>
            </w:pPr>
          </w:p>
          <w:p w:rsidR="00846B45" w:rsidRPr="004A7FBD" w:rsidP="002E1D16">
            <w:pPr>
              <w:pStyle w:val="Normlny"/>
              <w:bidi w:val="0"/>
              <w:spacing w:after="0" w:line="240" w:lineRule="auto"/>
              <w:rPr>
                <w:rFonts w:ascii="Times New Roman" w:hAnsi="Times New Roman"/>
              </w:rPr>
            </w:pPr>
            <w:r w:rsidRPr="004A7FBD">
              <w:rPr>
                <w:rFonts w:ascii="Times New Roman" w:hAnsi="Times New Roman"/>
              </w:rPr>
              <w:t>Na účely odseku 1 je správcovská spoločnosť povinná pre každý štandardný podielový fond, ktorý spravuje,</w:t>
            </w:r>
          </w:p>
          <w:p w:rsidR="009B066E" w:rsidRPr="004A7FBD" w:rsidP="002E1D16">
            <w:pPr>
              <w:pStyle w:val="Normlny"/>
              <w:bidi w:val="0"/>
              <w:spacing w:after="0" w:line="240" w:lineRule="auto"/>
              <w:rPr>
                <w:rFonts w:ascii="Times New Roman" w:hAnsi="Times New Roman"/>
                <w:b/>
              </w:rPr>
            </w:pPr>
            <w:r w:rsidRPr="004A7FBD" w:rsidR="00754413">
              <w:rPr>
                <w:rFonts w:ascii="Times New Roman" w:hAnsi="Times New Roman"/>
                <w:b/>
              </w:rPr>
              <w:t>zdržať sa výhradného alebo automatického spoliehania sa len na úverové ratingy vydávané ratingovými agentúrami</w:t>
            </w:r>
            <w:r w:rsidRPr="004A7FBD" w:rsidR="00754413">
              <w:rPr>
                <w:rFonts w:ascii="Times New Roman" w:hAnsi="Times New Roman"/>
                <w:b/>
                <w:vertAlign w:val="superscript"/>
              </w:rPr>
              <w:t>25ha</w:t>
            </w:r>
            <w:r w:rsidRPr="004A7FBD" w:rsidR="00754413">
              <w:rPr>
                <w:rFonts w:ascii="Times New Roman" w:hAnsi="Times New Roman"/>
                <w:b/>
              </w:rPr>
              <w:t>) pri posudzovaní kreditnej kvality aktív štandardných podielových fondov.</w:t>
            </w:r>
          </w:p>
          <w:p w:rsidR="009B066E" w:rsidRPr="004A7FBD" w:rsidP="002E1D16">
            <w:pPr>
              <w:pStyle w:val="Normlny"/>
              <w:bidi w:val="0"/>
              <w:spacing w:after="0" w:line="240" w:lineRule="auto"/>
              <w:rPr>
                <w:rFonts w:ascii="Times New Roman" w:hAnsi="Times New Roman"/>
              </w:rPr>
            </w:pPr>
            <w:r w:rsidRPr="004A7FBD">
              <w:rPr>
                <w:rFonts w:ascii="Times New Roman" w:hAnsi="Times New Roman"/>
              </w:rPr>
              <w:t>Predmetom dohľadu podľa odseku 1 je</w:t>
            </w:r>
          </w:p>
          <w:p w:rsidR="009B066E" w:rsidRPr="004A7FBD" w:rsidP="002E1D16">
            <w:pPr>
              <w:pStyle w:val="Normlny"/>
              <w:bidi w:val="0"/>
              <w:spacing w:after="0" w:line="240" w:lineRule="auto"/>
              <w:rPr>
                <w:rFonts w:ascii="Times New Roman" w:hAnsi="Times New Roman"/>
                <w:b/>
              </w:rPr>
            </w:pPr>
          </w:p>
          <w:p w:rsidR="009B066E" w:rsidRPr="004A7FBD" w:rsidP="002E1D16">
            <w:pPr>
              <w:pStyle w:val="Normlny"/>
              <w:bidi w:val="0"/>
              <w:spacing w:after="0" w:line="240" w:lineRule="auto"/>
              <w:rPr>
                <w:rFonts w:ascii="Times New Roman" w:hAnsi="Times New Roman"/>
                <w:b/>
              </w:rPr>
            </w:pPr>
            <w:r w:rsidRPr="004A7FBD" w:rsidR="00754413">
              <w:rPr>
                <w:rFonts w:ascii="Times New Roman" w:hAnsi="Times New Roman"/>
                <w:b/>
              </w:rPr>
              <w:t>monitorovanie primeranosti postupov správcovskej spoločnosti týkajúcich sa posúdenia kreditnej kvality aktív podľa § 37a alebo podľa § 102 pri zohľadnení povahy, rozsahu a komplexnosti spravovaných subjektov kolektívneho investovania a posudzovanie využívania odkazov na úverové ratingy vydávané ratingovými agentúrami</w:t>
            </w:r>
            <w:r w:rsidRPr="004A7FBD" w:rsidR="00754413">
              <w:rPr>
                <w:rFonts w:ascii="Times New Roman" w:hAnsi="Times New Roman"/>
                <w:b/>
                <w:vertAlign w:val="superscript"/>
              </w:rPr>
              <w:t>25ha</w:t>
            </w:r>
            <w:r w:rsidRPr="004A7FBD" w:rsidR="00754413">
              <w:rPr>
                <w:rFonts w:ascii="Times New Roman" w:hAnsi="Times New Roman"/>
                <w:b/>
              </w:rPr>
              <w:t>) v investičných politikách spravovaných subjektov kolektívneho investovania a ak je nevyhnutné, odporúčanie zmiernenia dosahu takýchto odkazov s cieľom obmedziť výhradné a automatické spoliehanie sa na tieto úverové ratingy.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sidR="0078287E">
              <w:rPr>
                <w:rFonts w:ascii="Times New Roman" w:hAnsi="Times New Roman"/>
                <w:sz w:val="20"/>
                <w:szCs w:val="20"/>
              </w:rPr>
              <w:t>Ú</w:t>
            </w: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r w:rsidRPr="004A7FBD">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pStyle w:val="Heading1"/>
              <w:bidi w:val="0"/>
              <w:spacing w:after="0" w:line="240" w:lineRule="auto"/>
              <w:rPr>
                <w:rFonts w:ascii="Times New Roman" w:hAnsi="Times New Roman"/>
                <w:b w:val="0"/>
                <w:bCs w:val="0"/>
                <w:sz w:val="20"/>
                <w:szCs w:val="20"/>
              </w:rPr>
            </w:pPr>
          </w:p>
          <w:p w:rsidR="009B066E" w:rsidRPr="004A7FBD" w:rsidP="009B066E">
            <w:pPr>
              <w:bidi w:val="0"/>
              <w:spacing w:after="0" w:line="240" w:lineRule="auto"/>
              <w:rPr>
                <w:rFonts w:ascii="Times New Roman" w:hAnsi="Times New Roman"/>
                <w:sz w:val="20"/>
                <w:szCs w:val="20"/>
              </w:rPr>
            </w:pPr>
          </w:p>
          <w:p w:rsidR="009B066E" w:rsidRPr="004A7FBD" w:rsidP="009B066E">
            <w:pPr>
              <w:bidi w:val="0"/>
              <w:spacing w:after="0" w:line="240" w:lineRule="auto"/>
              <w:rPr>
                <w:rFonts w:ascii="Times New Roman" w:hAnsi="Times New Roman"/>
                <w:sz w:val="20"/>
                <w:szCs w:val="20"/>
              </w:rPr>
            </w:pPr>
          </w:p>
          <w:p w:rsidR="009B066E" w:rsidRPr="004A7FBD" w:rsidP="009B066E">
            <w:pPr>
              <w:bidi w:val="0"/>
              <w:spacing w:after="0" w:line="240" w:lineRule="auto"/>
              <w:rPr>
                <w:rFonts w:ascii="Times New Roman" w:hAnsi="Times New Roman"/>
                <w:sz w:val="20"/>
                <w:szCs w:val="20"/>
              </w:rPr>
            </w:pPr>
            <w:r w:rsidRPr="004A7FBD">
              <w:rPr>
                <w:rFonts w:ascii="Times New Roman" w:hAnsi="Times New Roman"/>
                <w:sz w:val="20"/>
                <w:szCs w:val="20"/>
              </w:rPr>
              <w:t>§ 100 ods.1 z.č</w:t>
            </w:r>
            <w:r w:rsidRPr="004A7FBD" w:rsidR="00F13D8F">
              <w:rPr>
                <w:rFonts w:ascii="Times New Roman" w:hAnsi="Times New Roman"/>
                <w:sz w:val="20"/>
                <w:szCs w:val="20"/>
              </w:rPr>
              <w:t>. 203/201</w:t>
            </w:r>
            <w:r w:rsidRPr="004A7FBD">
              <w:rPr>
                <w:rFonts w:ascii="Times New Roman" w:hAnsi="Times New Roman"/>
                <w:sz w:val="20"/>
                <w:szCs w:val="20"/>
              </w:rPr>
              <w:t xml:space="preserve">1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4A7FBD" w:rsidP="00984EB3">
            <w:pPr>
              <w:bidi w:val="0"/>
              <w:spacing w:after="0" w:line="240" w:lineRule="auto"/>
              <w:jc w:val="center"/>
              <w:rPr>
                <w:rFonts w:ascii="Times New Roman" w:hAnsi="Times New Roman"/>
                <w:sz w:val="20"/>
                <w:szCs w:val="20"/>
              </w:rPr>
            </w:pPr>
            <w:r w:rsidRPr="004A7FBD" w:rsidR="002E1D16">
              <w:rPr>
                <w:rFonts w:ascii="Times New Roman" w:hAnsi="Times New Roman"/>
                <w:sz w:val="20"/>
                <w:szCs w:val="20"/>
              </w:rPr>
              <w:t xml:space="preserve">Čl. </w:t>
            </w:r>
            <w:r w:rsidRPr="004A7FBD" w:rsidR="00984EB3">
              <w:rPr>
                <w:rFonts w:ascii="Times New Roman" w:hAnsi="Times New Roman"/>
                <w:sz w:val="20"/>
                <w:szCs w:val="20"/>
              </w:rPr>
              <w:t>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Zmeny smernice 2011/61/EÚ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Článok 15 smernice 2011/61/EÚ sa mení takto: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1. V odseku 2 sa prvý pododsek nahrádza takto: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„2. Správcovia AIF zavedú primerané systémy riadenia rizík s cieľom primerane identifikovať, merať, riadiť a monitorovať všetky riziká súvisiace s každou investičnou stratégiou AIF, ktorým je alebo môže byť každý AIF vystavený.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Pri posudzovaní úverovej bonity aktív AIF sa správcovia AIF predovšetkým nesmú výhradne alebo mechanicky spoliehať na úverové ratingy vydávané ratingovými agentúrami, ako sú vymedzené v článku 3 ods. 1 písm. b) nariadenia Európskeho parlamentu a Rady (ES) č. 1060/2009 zo </w:t>
            </w:r>
          </w:p>
          <w:p w:rsidR="00CB2E5D" w:rsidRPr="004A7FBD" w:rsidP="00984EB3">
            <w:pPr>
              <w:pStyle w:val="Normlny"/>
              <w:bidi w:val="0"/>
              <w:spacing w:after="0" w:line="240" w:lineRule="auto"/>
              <w:rPr>
                <w:rFonts w:ascii="Times New Roman" w:hAnsi="Times New Roman"/>
              </w:rPr>
            </w:pPr>
            <w:r w:rsidRPr="004A7FBD" w:rsidR="00984EB3">
              <w:rPr>
                <w:rFonts w:ascii="Times New Roman" w:hAnsi="Times New Roman"/>
              </w:rPr>
              <w:t xml:space="preserve">16. septembra 2009 o ratingových agentúrach. </w:t>
            </w:r>
          </w:p>
          <w:p w:rsidR="00B86258" w:rsidRPr="004A7FBD" w:rsidP="00984EB3">
            <w:pPr>
              <w:pStyle w:val="Normlny"/>
              <w:bidi w:val="0"/>
              <w:spacing w:after="0" w:line="240" w:lineRule="auto"/>
              <w:rPr>
                <w:rFonts w:ascii="Times New Roman" w:hAnsi="Times New Roman"/>
              </w:rPr>
            </w:pPr>
          </w:p>
          <w:p w:rsidR="00EF1DCA" w:rsidRPr="004A7FBD" w:rsidP="00984EB3">
            <w:pPr>
              <w:pStyle w:val="Normlny"/>
              <w:bidi w:val="0"/>
              <w:spacing w:after="0" w:line="240" w:lineRule="auto"/>
              <w:rPr>
                <w:rFonts w:ascii="Times New Roman" w:hAnsi="Times New Roman"/>
              </w:rPr>
            </w:pP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2. Vkladá sa tento odsek: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„3a. Príslušné orgány, zohľadniac povahu, rozsah a komplexnosť činností AIF, monitorujú primeranosť postupov správcov AIF týkajúcich sa úverového posúdenia, posudzujú využívanie odkazov na úverové ratingy, ako sú uvedené v odseku 2 prvom pododseku, v investičných politikách AIF a v prípade potreby nabádajú na zmiernenie dosahu takýchto odkazov s cieľom obmedziť výhradné a mechanické spoliehanie sa na takéto úverové ratingy.“ </w:t>
            </w:r>
          </w:p>
          <w:p w:rsidR="00984EB3"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B066E" w:rsidRPr="004A7FBD" w:rsidP="00984EB3">
            <w:pPr>
              <w:pStyle w:val="Normlny"/>
              <w:bidi w:val="0"/>
              <w:spacing w:after="0" w:line="240" w:lineRule="auto"/>
              <w:rPr>
                <w:rFonts w:ascii="Times New Roman" w:hAnsi="Times New Roman"/>
              </w:rPr>
            </w:pP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3. V odseku 5 sa dopĺňa tento pododsek: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„Opatrenia stanovujúce systémy riadenia rizík uvedené v písmene a) prvého pododseku zabezpečia, aby sa predišlo tomu, aby sa pri posudzovaní úverovej bonity aktív AIF správcovia AIF výhradne alebo mechanicky spoliehali na úverové ratingy, ako sú uvedené v odseku 2 prvom pododseku.“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sidR="00984EB3">
              <w:rPr>
                <w:rFonts w:ascii="Times New Roman" w:hAnsi="Times New Roman"/>
                <w:sz w:val="20"/>
                <w:szCs w:val="20"/>
              </w:rPr>
              <w:t>N</w:t>
            </w: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r w:rsidRPr="004A7FBD">
              <w:rPr>
                <w:rFonts w:ascii="Times New Roman" w:hAnsi="Times New Roman"/>
                <w:sz w:val="20"/>
                <w:szCs w:val="20"/>
              </w:rPr>
              <w:t>n.a.</w:t>
            </w:r>
          </w:p>
        </w:tc>
        <w:tc>
          <w:tcPr>
            <w:tcW w:w="851" w:type="dxa"/>
            <w:tcBorders>
              <w:top w:val="single" w:sz="4" w:space="0" w:color="auto"/>
              <w:left w:val="nil"/>
              <w:bottom w:val="single" w:sz="4" w:space="0" w:color="auto"/>
              <w:right w:val="single" w:sz="4" w:space="0" w:color="auto"/>
            </w:tcBorders>
            <w:textDirection w:val="lrTb"/>
            <w:vAlign w:val="top"/>
          </w:tcPr>
          <w:p w:rsidR="00B86258" w:rsidRPr="004A7FBD">
            <w:pPr>
              <w:bidi w:val="0"/>
              <w:spacing w:after="0" w:line="240" w:lineRule="auto"/>
              <w:jc w:val="center"/>
              <w:rPr>
                <w:rFonts w:ascii="Times New Roman" w:hAnsi="Times New Roman"/>
                <w:sz w:val="20"/>
                <w:szCs w:val="20"/>
              </w:rPr>
            </w:pPr>
          </w:p>
          <w:p w:rsidR="00B86258" w:rsidRPr="004A7FBD">
            <w:pPr>
              <w:bidi w:val="0"/>
              <w:spacing w:after="0" w:line="240" w:lineRule="auto"/>
              <w:jc w:val="center"/>
              <w:rPr>
                <w:rFonts w:ascii="Times New Roman" w:hAnsi="Times New Roman"/>
                <w:sz w:val="20"/>
                <w:szCs w:val="20"/>
              </w:rPr>
            </w:pPr>
          </w:p>
          <w:p w:rsidR="00B86258" w:rsidRPr="004A7FBD">
            <w:pPr>
              <w:bidi w:val="0"/>
              <w:spacing w:after="0" w:line="240" w:lineRule="auto"/>
              <w:jc w:val="center"/>
              <w:rPr>
                <w:rFonts w:ascii="Times New Roman" w:hAnsi="Times New Roman"/>
                <w:sz w:val="20"/>
                <w:szCs w:val="20"/>
              </w:rPr>
            </w:pPr>
          </w:p>
          <w:p w:rsidR="00B86258" w:rsidRPr="004A7FBD">
            <w:pPr>
              <w:bidi w:val="0"/>
              <w:spacing w:after="0" w:line="240" w:lineRule="auto"/>
              <w:jc w:val="center"/>
              <w:rPr>
                <w:rFonts w:ascii="Times New Roman" w:hAnsi="Times New Roman"/>
                <w:sz w:val="20"/>
                <w:szCs w:val="20"/>
              </w:rPr>
            </w:pPr>
            <w:r w:rsidRPr="004A7FBD">
              <w:rPr>
                <w:rFonts w:ascii="Times New Roman" w:hAnsi="Times New Roman"/>
                <w:sz w:val="20"/>
                <w:szCs w:val="20"/>
              </w:rPr>
              <w:t>203/ 2011 a </w:t>
            </w:r>
          </w:p>
          <w:p w:rsidR="00B86258" w:rsidRPr="004A7FBD">
            <w:pPr>
              <w:bidi w:val="0"/>
              <w:spacing w:after="0" w:line="240" w:lineRule="auto"/>
              <w:jc w:val="center"/>
              <w:rPr>
                <w:rFonts w:ascii="Times New Roman" w:hAnsi="Times New Roman"/>
                <w:sz w:val="20"/>
                <w:szCs w:val="20"/>
              </w:rPr>
            </w:pPr>
          </w:p>
          <w:p w:rsidR="00B86258" w:rsidRPr="004A7FBD">
            <w:pPr>
              <w:bidi w:val="0"/>
              <w:spacing w:after="0" w:line="240" w:lineRule="auto"/>
              <w:jc w:val="center"/>
              <w:rPr>
                <w:rFonts w:ascii="Times New Roman" w:hAnsi="Times New Roman"/>
                <w:sz w:val="20"/>
                <w:szCs w:val="20"/>
              </w:rPr>
            </w:pPr>
          </w:p>
          <w:p w:rsidR="00A9063F" w:rsidRPr="004A7FBD">
            <w:pPr>
              <w:bidi w:val="0"/>
              <w:spacing w:after="0" w:line="240" w:lineRule="auto"/>
              <w:jc w:val="center"/>
              <w:rPr>
                <w:rFonts w:ascii="Times New Roman" w:hAnsi="Times New Roman"/>
                <w:sz w:val="20"/>
                <w:szCs w:val="20"/>
              </w:rPr>
            </w:pPr>
            <w:r w:rsidRPr="004A7FBD" w:rsidR="00B86258">
              <w:rPr>
                <w:rFonts w:ascii="Times New Roman" w:hAnsi="Times New Roman"/>
                <w:b/>
                <w:sz w:val="20"/>
                <w:szCs w:val="20"/>
              </w:rPr>
              <w:t>návrh zákona čl.V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86258" w:rsidRPr="004A7FBD" w:rsidP="004577EC">
            <w:pPr>
              <w:bidi w:val="0"/>
              <w:spacing w:after="0" w:line="240" w:lineRule="auto"/>
              <w:jc w:val="center"/>
              <w:rPr>
                <w:rFonts w:ascii="Times New Roman" w:hAnsi="Times New Roman"/>
                <w:sz w:val="20"/>
                <w:szCs w:val="20"/>
              </w:rPr>
            </w:pPr>
          </w:p>
          <w:p w:rsidR="00B86258" w:rsidRPr="004A7FBD" w:rsidP="004577EC">
            <w:pPr>
              <w:bidi w:val="0"/>
              <w:spacing w:after="0" w:line="240" w:lineRule="auto"/>
              <w:jc w:val="center"/>
              <w:rPr>
                <w:rFonts w:ascii="Times New Roman" w:hAnsi="Times New Roman"/>
                <w:sz w:val="20"/>
                <w:szCs w:val="20"/>
              </w:rPr>
            </w:pPr>
          </w:p>
          <w:p w:rsidR="00B86258" w:rsidRPr="004A7FBD" w:rsidP="004577EC">
            <w:pPr>
              <w:bidi w:val="0"/>
              <w:spacing w:after="0" w:line="240" w:lineRule="auto"/>
              <w:jc w:val="center"/>
              <w:rPr>
                <w:rFonts w:ascii="Times New Roman" w:hAnsi="Times New Roman"/>
                <w:sz w:val="20"/>
                <w:szCs w:val="20"/>
              </w:rPr>
            </w:pPr>
          </w:p>
          <w:p w:rsidR="00B86258" w:rsidRPr="004A7FBD" w:rsidP="004577EC">
            <w:pPr>
              <w:bidi w:val="0"/>
              <w:spacing w:after="0" w:line="240" w:lineRule="auto"/>
              <w:jc w:val="center"/>
              <w:rPr>
                <w:rFonts w:ascii="Times New Roman" w:hAnsi="Times New Roman"/>
                <w:sz w:val="20"/>
                <w:szCs w:val="20"/>
              </w:rPr>
            </w:pPr>
            <w:r w:rsidRPr="004A7FBD">
              <w:rPr>
                <w:rFonts w:ascii="Times New Roman" w:hAnsi="Times New Roman"/>
                <w:sz w:val="20"/>
                <w:szCs w:val="20"/>
              </w:rPr>
              <w:t xml:space="preserve">§ 37a ods.4 </w:t>
            </w:r>
          </w:p>
          <w:p w:rsidR="00B86258" w:rsidRPr="004A7FBD" w:rsidP="004577EC">
            <w:pPr>
              <w:bidi w:val="0"/>
              <w:spacing w:after="0" w:line="240" w:lineRule="auto"/>
              <w:jc w:val="center"/>
              <w:rPr>
                <w:rFonts w:ascii="Times New Roman" w:hAnsi="Times New Roman"/>
                <w:sz w:val="20"/>
                <w:szCs w:val="20"/>
              </w:rPr>
            </w:pPr>
          </w:p>
          <w:p w:rsidR="00B86258" w:rsidRPr="004A7FBD" w:rsidP="004577EC">
            <w:pPr>
              <w:bidi w:val="0"/>
              <w:spacing w:after="0" w:line="240" w:lineRule="auto"/>
              <w:jc w:val="center"/>
              <w:rPr>
                <w:rFonts w:ascii="Times New Roman" w:hAnsi="Times New Roman"/>
                <w:sz w:val="20"/>
                <w:szCs w:val="20"/>
              </w:rPr>
            </w:pPr>
          </w:p>
          <w:p w:rsidR="00A9063F" w:rsidRPr="004A7FBD" w:rsidP="004577EC">
            <w:pPr>
              <w:bidi w:val="0"/>
              <w:spacing w:after="0" w:line="240" w:lineRule="auto"/>
              <w:jc w:val="center"/>
              <w:rPr>
                <w:rFonts w:ascii="Times New Roman" w:hAnsi="Times New Roman"/>
                <w:sz w:val="20"/>
                <w:szCs w:val="20"/>
              </w:rPr>
            </w:pPr>
            <w:r w:rsidRPr="004A7FBD" w:rsidR="00B86258">
              <w:rPr>
                <w:rFonts w:ascii="Times New Roman" w:hAnsi="Times New Roman"/>
                <w:sz w:val="20"/>
                <w:szCs w:val="20"/>
              </w:rPr>
              <w:t>pís.d)</w:t>
            </w:r>
          </w:p>
          <w:p w:rsidR="009B066E" w:rsidRPr="004A7FBD" w:rsidP="004577EC">
            <w:pPr>
              <w:bidi w:val="0"/>
              <w:spacing w:after="0" w:line="240" w:lineRule="auto"/>
              <w:jc w:val="center"/>
              <w:rPr>
                <w:rFonts w:ascii="Times New Roman" w:hAnsi="Times New Roman"/>
                <w:sz w:val="20"/>
                <w:szCs w:val="20"/>
              </w:rPr>
            </w:pPr>
          </w:p>
          <w:p w:rsidR="009B066E" w:rsidRPr="004A7FBD" w:rsidP="004577EC">
            <w:pPr>
              <w:bidi w:val="0"/>
              <w:spacing w:after="0" w:line="240" w:lineRule="auto"/>
              <w:jc w:val="center"/>
              <w:rPr>
                <w:rFonts w:ascii="Times New Roman" w:hAnsi="Times New Roman"/>
                <w:sz w:val="20"/>
                <w:szCs w:val="20"/>
              </w:rPr>
            </w:pPr>
          </w:p>
          <w:p w:rsidR="009B066E" w:rsidRPr="004A7FBD" w:rsidP="004577EC">
            <w:pPr>
              <w:bidi w:val="0"/>
              <w:spacing w:after="0" w:line="240" w:lineRule="auto"/>
              <w:jc w:val="center"/>
              <w:rPr>
                <w:rFonts w:ascii="Times New Roman" w:hAnsi="Times New Roman"/>
                <w:sz w:val="20"/>
                <w:szCs w:val="20"/>
              </w:rPr>
            </w:pPr>
          </w:p>
          <w:p w:rsidR="009B066E" w:rsidRPr="004A7FBD" w:rsidP="004577EC">
            <w:pPr>
              <w:bidi w:val="0"/>
              <w:spacing w:after="0" w:line="240" w:lineRule="auto"/>
              <w:jc w:val="center"/>
              <w:rPr>
                <w:rFonts w:ascii="Times New Roman" w:hAnsi="Times New Roman"/>
                <w:sz w:val="20"/>
                <w:szCs w:val="20"/>
              </w:rPr>
            </w:pPr>
          </w:p>
          <w:p w:rsidR="009B066E" w:rsidRPr="004A7FBD" w:rsidP="004577EC">
            <w:pPr>
              <w:bidi w:val="0"/>
              <w:spacing w:after="0" w:line="240" w:lineRule="auto"/>
              <w:jc w:val="center"/>
              <w:rPr>
                <w:rFonts w:ascii="Times New Roman" w:hAnsi="Times New Roman"/>
                <w:sz w:val="20"/>
                <w:szCs w:val="20"/>
              </w:rPr>
            </w:pPr>
          </w:p>
          <w:p w:rsidR="009B066E" w:rsidRPr="004A7FBD" w:rsidP="004577EC">
            <w:pPr>
              <w:bidi w:val="0"/>
              <w:spacing w:after="0" w:line="240" w:lineRule="auto"/>
              <w:jc w:val="center"/>
              <w:rPr>
                <w:rFonts w:ascii="Times New Roman" w:hAnsi="Times New Roman"/>
                <w:sz w:val="20"/>
                <w:szCs w:val="20"/>
              </w:rPr>
            </w:pPr>
          </w:p>
          <w:p w:rsidR="009B066E" w:rsidRPr="004A7FBD" w:rsidP="009B066E">
            <w:pPr>
              <w:pStyle w:val="Normlny"/>
              <w:bidi w:val="0"/>
              <w:spacing w:after="0" w:line="240" w:lineRule="auto"/>
              <w:jc w:val="center"/>
              <w:rPr>
                <w:rFonts w:ascii="Times New Roman" w:hAnsi="Times New Roman"/>
              </w:rPr>
            </w:pPr>
            <w:r w:rsidRPr="004A7FBD">
              <w:rPr>
                <w:rFonts w:ascii="Times New Roman" w:hAnsi="Times New Roman"/>
              </w:rPr>
              <w:t xml:space="preserve">§ 102 ods.3 </w:t>
            </w:r>
          </w:p>
          <w:p w:rsidR="009B066E" w:rsidRPr="004A7FBD" w:rsidP="009B066E">
            <w:pPr>
              <w:pStyle w:val="Normlny"/>
              <w:bidi w:val="0"/>
              <w:spacing w:after="0" w:line="240" w:lineRule="auto"/>
              <w:jc w:val="center"/>
              <w:rPr>
                <w:rFonts w:ascii="Times New Roman" w:hAnsi="Times New Roman"/>
              </w:rPr>
            </w:pPr>
            <w:r w:rsidRPr="004A7FBD">
              <w:rPr>
                <w:rFonts w:ascii="Times New Roman" w:hAnsi="Times New Roman"/>
              </w:rPr>
              <w:t>pís.g)</w:t>
            </w:r>
          </w:p>
          <w:p w:rsidR="009B066E" w:rsidRPr="004A7FBD" w:rsidP="009B066E">
            <w:pPr>
              <w:pStyle w:val="Normlny"/>
              <w:bidi w:val="0"/>
              <w:spacing w:after="0" w:line="240" w:lineRule="auto"/>
              <w:jc w:val="center"/>
              <w:rPr>
                <w:rFonts w:ascii="Times New Roman" w:hAnsi="Times New Roman"/>
              </w:rPr>
            </w:pPr>
          </w:p>
          <w:p w:rsidR="009B066E" w:rsidRPr="004A7FBD" w:rsidP="009B066E">
            <w:pPr>
              <w:pStyle w:val="Normlny"/>
              <w:bidi w:val="0"/>
              <w:spacing w:after="0" w:line="240" w:lineRule="auto"/>
              <w:jc w:val="center"/>
              <w:rPr>
                <w:rFonts w:ascii="Times New Roman" w:hAnsi="Times New Roman"/>
              </w:rPr>
            </w:pPr>
          </w:p>
          <w:p w:rsidR="00754413" w:rsidRPr="004A7FBD" w:rsidP="009B066E">
            <w:pPr>
              <w:pStyle w:val="Normlny"/>
              <w:bidi w:val="0"/>
              <w:spacing w:after="0" w:line="240" w:lineRule="auto"/>
              <w:jc w:val="center"/>
              <w:rPr>
                <w:rFonts w:ascii="Times New Roman" w:hAnsi="Times New Roman"/>
              </w:rPr>
            </w:pPr>
          </w:p>
          <w:p w:rsidR="009B066E" w:rsidRPr="004A7FBD" w:rsidP="009B066E">
            <w:pPr>
              <w:pStyle w:val="Normlny"/>
              <w:bidi w:val="0"/>
              <w:spacing w:after="0" w:line="240" w:lineRule="auto"/>
              <w:jc w:val="center"/>
              <w:rPr>
                <w:rFonts w:ascii="Times New Roman" w:hAnsi="Times New Roman"/>
              </w:rPr>
            </w:pPr>
          </w:p>
          <w:p w:rsidR="009B066E" w:rsidRPr="004A7FBD" w:rsidP="009B066E">
            <w:pPr>
              <w:bidi w:val="0"/>
              <w:spacing w:after="0" w:line="240" w:lineRule="auto"/>
              <w:jc w:val="center"/>
              <w:rPr>
                <w:rFonts w:ascii="Times New Roman" w:hAnsi="Times New Roman"/>
                <w:sz w:val="20"/>
                <w:szCs w:val="20"/>
              </w:rPr>
            </w:pPr>
            <w:r w:rsidRPr="004A7FBD">
              <w:rPr>
                <w:rFonts w:ascii="Times New Roman" w:hAnsi="Times New Roman"/>
                <w:sz w:val="20"/>
                <w:szCs w:val="20"/>
              </w:rPr>
              <w:t>§ 193 ods.3 pís.c)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86258" w:rsidRPr="004A7FBD" w:rsidP="00B64B09">
            <w:pPr>
              <w:pStyle w:val="BodyText2"/>
              <w:bidi w:val="0"/>
              <w:spacing w:after="0" w:line="240" w:lineRule="exact"/>
              <w:jc w:val="left"/>
              <w:rPr>
                <w:rFonts w:ascii="Times New Roman" w:hAnsi="Times New Roman"/>
              </w:rPr>
            </w:pPr>
          </w:p>
          <w:p w:rsidR="00B86258" w:rsidRPr="004A7FBD" w:rsidP="00B64B09">
            <w:pPr>
              <w:pStyle w:val="BodyText2"/>
              <w:bidi w:val="0"/>
              <w:spacing w:after="0" w:line="240" w:lineRule="exact"/>
              <w:jc w:val="left"/>
              <w:rPr>
                <w:rFonts w:ascii="Times New Roman" w:hAnsi="Times New Roman"/>
              </w:rPr>
            </w:pPr>
          </w:p>
          <w:p w:rsidR="00B86258" w:rsidRPr="004A7FBD" w:rsidP="00B64B09">
            <w:pPr>
              <w:pStyle w:val="BodyText2"/>
              <w:bidi w:val="0"/>
              <w:spacing w:after="0" w:line="240" w:lineRule="exact"/>
              <w:jc w:val="left"/>
              <w:rPr>
                <w:rFonts w:ascii="Times New Roman" w:hAnsi="Times New Roman"/>
              </w:rPr>
            </w:pPr>
          </w:p>
          <w:p w:rsidR="00A9063F" w:rsidRPr="004A7FBD" w:rsidP="00B64B09">
            <w:pPr>
              <w:pStyle w:val="BodyText2"/>
              <w:bidi w:val="0"/>
              <w:spacing w:after="0" w:line="240" w:lineRule="exact"/>
              <w:jc w:val="left"/>
              <w:rPr>
                <w:rFonts w:ascii="Times New Roman" w:hAnsi="Times New Roman"/>
              </w:rPr>
            </w:pPr>
            <w:r w:rsidRPr="004A7FBD" w:rsidR="00B86258">
              <w:rPr>
                <w:rFonts w:ascii="Times New Roman" w:hAnsi="Times New Roman"/>
              </w:rPr>
              <w:t>Správcovská spoločnosť podľa odseku 1 je povinná pri správe tuzemských subjektov kolektívneho investovania podľa § 4 ods. 2 písm. b) a zahraničných alternatívnych investičných fondov</w:t>
            </w:r>
          </w:p>
          <w:p w:rsidR="00754413" w:rsidRPr="004A7FBD" w:rsidP="00754413">
            <w:pPr>
              <w:pStyle w:val="Normlny"/>
              <w:bidi w:val="0"/>
              <w:spacing w:after="0" w:line="240" w:lineRule="auto"/>
              <w:rPr>
                <w:rFonts w:ascii="Times New Roman" w:hAnsi="Times New Roman"/>
                <w:b/>
              </w:rPr>
            </w:pPr>
            <w:r w:rsidRPr="004A7FBD">
              <w:rPr>
                <w:rFonts w:ascii="Times New Roman" w:hAnsi="Times New Roman"/>
                <w:b/>
              </w:rPr>
              <w:t>zdržať sa výhradného alebo automatického spoliehania sa len na úverové ratingy vydávané ratingovými agentúrami</w:t>
            </w:r>
            <w:r w:rsidRPr="004A7FBD">
              <w:rPr>
                <w:rFonts w:ascii="Times New Roman" w:hAnsi="Times New Roman"/>
                <w:b/>
                <w:vertAlign w:val="superscript"/>
              </w:rPr>
              <w:t>25ha</w:t>
            </w:r>
            <w:r w:rsidRPr="004A7FBD">
              <w:rPr>
                <w:rFonts w:ascii="Times New Roman" w:hAnsi="Times New Roman"/>
                <w:b/>
              </w:rPr>
              <w:t>) pri posudzovaní kreditnej kvality aktív tuzemského subjektu kolektívneho investovania podľa § 4 ods. 2 písm. b) alebo zahraničného alternatívneho investičného fondu.</w:t>
            </w:r>
          </w:p>
          <w:p w:rsidR="00EF1DCA" w:rsidRPr="004A7FBD" w:rsidP="00B64B09">
            <w:pPr>
              <w:pStyle w:val="BodyText2"/>
              <w:bidi w:val="0"/>
              <w:spacing w:after="0" w:line="240" w:lineRule="exact"/>
              <w:jc w:val="left"/>
              <w:rPr>
                <w:rFonts w:ascii="Times New Roman" w:hAnsi="Times New Roman"/>
                <w:b/>
                <w:vertAlign w:val="superscript"/>
              </w:rPr>
            </w:pPr>
          </w:p>
          <w:p w:rsidR="009B066E" w:rsidRPr="004A7FBD" w:rsidP="009B066E">
            <w:pPr>
              <w:pStyle w:val="Normlny"/>
              <w:bidi w:val="0"/>
              <w:spacing w:after="0" w:line="240" w:lineRule="auto"/>
              <w:rPr>
                <w:rFonts w:ascii="Times New Roman" w:hAnsi="Times New Roman"/>
              </w:rPr>
            </w:pPr>
            <w:r w:rsidRPr="004A7FBD">
              <w:rPr>
                <w:rFonts w:ascii="Times New Roman" w:hAnsi="Times New Roman"/>
              </w:rPr>
              <w:t>Na účely odseku 1 je správcovská spoločnosť povinná pre každý štandardný podielový fond, ktorý spravuje,</w:t>
            </w:r>
          </w:p>
          <w:p w:rsidR="00754413" w:rsidRPr="004A7FBD" w:rsidP="00754413">
            <w:pPr>
              <w:pStyle w:val="Normlny"/>
              <w:bidi w:val="0"/>
              <w:spacing w:after="0" w:line="240" w:lineRule="auto"/>
              <w:rPr>
                <w:rFonts w:ascii="Times New Roman" w:hAnsi="Times New Roman"/>
                <w:b/>
              </w:rPr>
            </w:pPr>
            <w:r w:rsidRPr="004A7FBD">
              <w:rPr>
                <w:rFonts w:ascii="Times New Roman" w:hAnsi="Times New Roman"/>
                <w:b/>
              </w:rPr>
              <w:t>zdržať sa výhradného alebo automatického spoliehania sa len na úverové ratingy vydávané ratingovými agentúrami</w:t>
            </w:r>
            <w:r w:rsidRPr="004A7FBD">
              <w:rPr>
                <w:rFonts w:ascii="Times New Roman" w:hAnsi="Times New Roman"/>
                <w:b/>
                <w:vertAlign w:val="superscript"/>
              </w:rPr>
              <w:t>25ha</w:t>
            </w:r>
            <w:r w:rsidRPr="004A7FBD">
              <w:rPr>
                <w:rFonts w:ascii="Times New Roman" w:hAnsi="Times New Roman"/>
                <w:b/>
              </w:rPr>
              <w:t>) pri posudzovaní kreditnej kvality aktív štandardných podielových fondov.</w:t>
            </w:r>
          </w:p>
          <w:p w:rsidR="009B066E" w:rsidRPr="004A7FBD" w:rsidP="009B066E">
            <w:pPr>
              <w:pStyle w:val="Normlny"/>
              <w:bidi w:val="0"/>
              <w:spacing w:after="0" w:line="240" w:lineRule="auto"/>
              <w:rPr>
                <w:rFonts w:ascii="Times New Roman" w:hAnsi="Times New Roman"/>
              </w:rPr>
            </w:pPr>
            <w:r w:rsidRPr="004A7FBD">
              <w:rPr>
                <w:rFonts w:ascii="Times New Roman" w:hAnsi="Times New Roman"/>
              </w:rPr>
              <w:t>Predmetom dohľadu podľa odseku 1 je</w:t>
            </w:r>
          </w:p>
          <w:p w:rsidR="009B066E" w:rsidRPr="004A7FBD" w:rsidP="009B066E">
            <w:pPr>
              <w:pStyle w:val="Normlny"/>
              <w:bidi w:val="0"/>
              <w:spacing w:after="0" w:line="240" w:lineRule="auto"/>
              <w:rPr>
                <w:rFonts w:ascii="Times New Roman" w:hAnsi="Times New Roman"/>
                <w:b/>
              </w:rPr>
            </w:pPr>
          </w:p>
          <w:p w:rsidR="00EF1DCA" w:rsidRPr="004A7FBD" w:rsidP="009B066E">
            <w:pPr>
              <w:pStyle w:val="BodyText2"/>
              <w:bidi w:val="0"/>
              <w:spacing w:after="0" w:line="240" w:lineRule="exact"/>
              <w:jc w:val="left"/>
              <w:rPr>
                <w:rFonts w:ascii="Times New Roman" w:hAnsi="Times New Roman"/>
                <w:b/>
              </w:rPr>
            </w:pPr>
            <w:r w:rsidRPr="004A7FBD" w:rsidR="00754413">
              <w:rPr>
                <w:rFonts w:ascii="Times New Roman" w:hAnsi="Times New Roman"/>
                <w:b/>
              </w:rPr>
              <w:t>monitorovanie primeranosti postupov správcovskej spoločnosti týkajúcich sa posúdenia kreditnej kvality aktív podľa § 37a alebo podľa § 102 pri zohľadnení povahy, rozsahu a komplexnosti spravovaných subjektov kolektívneho investovania a posudzovanie využívania odkazov na úverové ratingy vydávané ratingovými agentúrami25ha) v investičných politikách spravovaných subjektov kolektívneho investovania a ak je nevyhnutné, odporúčanie zmiernenia dosahu takýchto odkazov s cieľom obmedziť výhradné a automatické spoliehanie sa na tieto úverové ratingy.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84EB3" w:rsidRPr="004A7FBD">
            <w:pPr>
              <w:bidi w:val="0"/>
              <w:spacing w:after="0" w:line="240" w:lineRule="auto"/>
              <w:jc w:val="center"/>
              <w:rPr>
                <w:rFonts w:ascii="Times New Roman" w:hAnsi="Times New Roman"/>
                <w:sz w:val="20"/>
                <w:szCs w:val="20"/>
              </w:rPr>
            </w:pPr>
            <w:r w:rsidRPr="004A7FBD" w:rsidR="00F13D8F">
              <w:rPr>
                <w:rFonts w:ascii="Times New Roman" w:hAnsi="Times New Roman"/>
                <w:sz w:val="20"/>
                <w:szCs w:val="20"/>
              </w:rPr>
              <w:t>Ú</w:t>
            </w: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B066E"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F13D8F"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p>
          <w:p w:rsidR="00984EB3" w:rsidRPr="004A7FBD">
            <w:pPr>
              <w:bidi w:val="0"/>
              <w:spacing w:after="0" w:line="240" w:lineRule="auto"/>
              <w:jc w:val="center"/>
              <w:rPr>
                <w:rFonts w:ascii="Times New Roman" w:hAnsi="Times New Roman"/>
                <w:sz w:val="20"/>
                <w:szCs w:val="20"/>
              </w:rPr>
            </w:pPr>
            <w:r w:rsidRPr="004A7FBD">
              <w:rPr>
                <w:rFonts w:ascii="Times New Roman" w:hAnsi="Times New Roman"/>
                <w:sz w:val="20"/>
                <w:szCs w:val="20"/>
              </w:rPr>
              <w:t>n.a.</w:t>
            </w:r>
          </w:p>
          <w:p w:rsidR="00984EB3" w:rsidRPr="004A7FBD">
            <w:pPr>
              <w:bidi w:val="0"/>
              <w:spacing w:after="0" w:line="240" w:lineRule="auto"/>
              <w:jc w:val="center"/>
              <w:rPr>
                <w:rFonts w:ascii="Times New Roman" w:hAnsi="Times New Roman"/>
                <w:sz w:val="20"/>
                <w:szCs w:val="20"/>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pStyle w:val="Heading1"/>
              <w:bidi w:val="0"/>
              <w:spacing w:after="0" w:line="240" w:lineRule="auto"/>
              <w:rPr>
                <w:rFonts w:ascii="Times New Roman" w:hAnsi="Times New Roman"/>
                <w:b w:val="0"/>
                <w:bCs w:val="0"/>
                <w:sz w:val="20"/>
                <w:szCs w:val="20"/>
              </w:rPr>
            </w:pPr>
          </w:p>
          <w:p w:rsidR="006C05DB" w:rsidRPr="004A7FBD" w:rsidP="006C05DB">
            <w:pPr>
              <w:bidi w:val="0"/>
              <w:spacing w:after="0" w:line="240" w:lineRule="auto"/>
              <w:rPr>
                <w:rFonts w:ascii="Times New Roman" w:hAnsi="Times New Roman"/>
                <w:sz w:val="20"/>
                <w:szCs w:val="20"/>
              </w:rPr>
            </w:pPr>
          </w:p>
          <w:p w:rsidR="006C05DB" w:rsidRPr="004A7FBD" w:rsidP="006C05DB">
            <w:pPr>
              <w:bidi w:val="0"/>
              <w:spacing w:after="0" w:line="240" w:lineRule="auto"/>
              <w:rPr>
                <w:rFonts w:ascii="Times New Roman" w:hAnsi="Times New Roman"/>
                <w:sz w:val="20"/>
                <w:szCs w:val="20"/>
              </w:rPr>
            </w:pPr>
          </w:p>
          <w:p w:rsidR="006C05DB" w:rsidRPr="004A7FBD" w:rsidP="006C05DB">
            <w:pPr>
              <w:bidi w:val="0"/>
              <w:spacing w:after="0" w:line="240" w:lineRule="auto"/>
              <w:rPr>
                <w:rFonts w:ascii="Times New Roman" w:hAnsi="Times New Roman"/>
                <w:sz w:val="20"/>
                <w:szCs w:val="20"/>
              </w:rPr>
            </w:pPr>
            <w:r w:rsidRPr="004A7FBD">
              <w:rPr>
                <w:rFonts w:ascii="Times New Roman" w:hAnsi="Times New Roman"/>
                <w:sz w:val="20"/>
                <w:szCs w:val="20"/>
              </w:rPr>
              <w:t xml:space="preserve">§ 37 ods. </w:t>
            </w:r>
            <w:r w:rsidRPr="004A7FBD" w:rsidR="00EF1DCA">
              <w:rPr>
                <w:rFonts w:ascii="Times New Roman" w:hAnsi="Times New Roman"/>
                <w:sz w:val="20"/>
                <w:szCs w:val="20"/>
              </w:rPr>
              <w:t xml:space="preserve">1 </w:t>
            </w:r>
            <w:r w:rsidRPr="004A7FBD">
              <w:rPr>
                <w:rFonts w:ascii="Times New Roman" w:hAnsi="Times New Roman"/>
                <w:sz w:val="20"/>
                <w:szCs w:val="20"/>
              </w:rPr>
              <w:t>z.</w:t>
            </w:r>
            <w:r w:rsidRPr="004A7FBD" w:rsidR="00EF1DCA">
              <w:rPr>
                <w:rFonts w:ascii="Times New Roman" w:hAnsi="Times New Roman"/>
                <w:sz w:val="20"/>
                <w:szCs w:val="20"/>
              </w:rPr>
              <w:t xml:space="preserve"> č. 203/2011</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4A7FBD" w:rsidP="00984EB3">
            <w:pPr>
              <w:bidi w:val="0"/>
              <w:spacing w:after="0" w:line="240" w:lineRule="auto"/>
              <w:jc w:val="center"/>
              <w:rPr>
                <w:rFonts w:ascii="Times New Roman" w:hAnsi="Times New Roman"/>
                <w:sz w:val="20"/>
                <w:szCs w:val="20"/>
              </w:rPr>
            </w:pPr>
            <w:r w:rsidRPr="004A7FBD" w:rsidR="002E1D16">
              <w:rPr>
                <w:rFonts w:ascii="Times New Roman" w:hAnsi="Times New Roman"/>
                <w:sz w:val="20"/>
                <w:szCs w:val="20"/>
              </w:rPr>
              <w:t xml:space="preserve">Čl. </w:t>
            </w:r>
            <w:r w:rsidRPr="004A7FBD" w:rsidR="00984EB3">
              <w:rPr>
                <w:rFonts w:ascii="Times New Roman" w:hAnsi="Times New Roman"/>
                <w:sz w:val="20"/>
                <w:szCs w:val="20"/>
              </w:rPr>
              <w:t>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4EB3" w:rsidRPr="004A7FBD" w:rsidP="00984EB3">
            <w:pPr>
              <w:pStyle w:val="Normlny"/>
              <w:bidi w:val="0"/>
              <w:spacing w:after="0" w:line="240" w:lineRule="auto"/>
              <w:jc w:val="both"/>
              <w:rPr>
                <w:rFonts w:ascii="Times New Roman" w:hAnsi="Times New Roman"/>
              </w:rPr>
            </w:pPr>
            <w:r w:rsidRPr="004A7FBD">
              <w:rPr>
                <w:rFonts w:ascii="Times New Roman" w:hAnsi="Times New Roman"/>
              </w:rPr>
              <w:t xml:space="preserve">Transpozícia </w:t>
            </w:r>
          </w:p>
          <w:p w:rsidR="00984EB3" w:rsidRPr="004A7FBD" w:rsidP="00984EB3">
            <w:pPr>
              <w:pStyle w:val="Normlny"/>
              <w:bidi w:val="0"/>
              <w:spacing w:after="0" w:line="240" w:lineRule="auto"/>
              <w:jc w:val="both"/>
              <w:rPr>
                <w:rFonts w:ascii="Times New Roman" w:hAnsi="Times New Roman"/>
              </w:rPr>
            </w:pPr>
            <w:r w:rsidRPr="004A7FBD">
              <w:rPr>
                <w:rFonts w:ascii="Times New Roman" w:hAnsi="Times New Roman"/>
              </w:rPr>
              <w:t xml:space="preserve">1. Členské štáty uvedú do účinnosti zákony, iné právne predpisy a správne opatrenia potrebné na dosiahnutie súladu s touto smernicou do 21. decembra 2014. Bezodkladne o tom informujú Komisiu. </w:t>
            </w:r>
          </w:p>
          <w:p w:rsidR="00984EB3" w:rsidRPr="004A7FBD" w:rsidP="00984EB3">
            <w:pPr>
              <w:pStyle w:val="Normlny"/>
              <w:bidi w:val="0"/>
              <w:spacing w:after="0" w:line="240" w:lineRule="auto"/>
              <w:jc w:val="both"/>
              <w:rPr>
                <w:rFonts w:ascii="Times New Roman" w:hAnsi="Times New Roman"/>
              </w:rPr>
            </w:pPr>
            <w:r w:rsidRPr="004A7FBD">
              <w:rPr>
                <w:rFonts w:ascii="Times New Roman" w:hAnsi="Times New Roman"/>
              </w:rPr>
              <w:t xml:space="preserve">Členské štáty uvedú priamo v prijatých opatreniach alebo pri ich úradnom uverejnení odkaz na túto smernicu. Podrobnosti o odkaze upravia členské štáty. </w:t>
            </w:r>
          </w:p>
          <w:p w:rsidR="00A9063F" w:rsidRPr="004A7FBD" w:rsidP="00984EB3">
            <w:pPr>
              <w:pStyle w:val="Normlny"/>
              <w:bidi w:val="0"/>
              <w:spacing w:after="0" w:line="240" w:lineRule="auto"/>
              <w:jc w:val="both"/>
              <w:rPr>
                <w:rFonts w:ascii="Times New Roman" w:hAnsi="Times New Roman"/>
              </w:rPr>
            </w:pPr>
            <w:r w:rsidRPr="004A7FBD" w:rsidR="00984EB3">
              <w:rPr>
                <w:rFonts w:ascii="Times New Roman" w:hAnsi="Times New Roman"/>
              </w:rPr>
              <w:t>2.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sidR="00984EB3">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F13D8F" w:rsidRPr="004A7FBD">
            <w:pPr>
              <w:bidi w:val="0"/>
              <w:spacing w:after="0" w:line="240" w:lineRule="auto"/>
              <w:jc w:val="center"/>
              <w:rPr>
                <w:rFonts w:ascii="Times New Roman" w:hAnsi="Times New Roman"/>
                <w:b/>
                <w:sz w:val="20"/>
                <w:szCs w:val="20"/>
              </w:rPr>
            </w:pPr>
            <w:r w:rsidRPr="004A7FBD">
              <w:rPr>
                <w:rFonts w:ascii="Times New Roman" w:hAnsi="Times New Roman"/>
                <w:b/>
                <w:sz w:val="20"/>
                <w:szCs w:val="20"/>
              </w:rPr>
              <w:t>návrh zákona čl.VI</w:t>
            </w:r>
          </w:p>
          <w:p w:rsidR="00F13D8F" w:rsidRPr="004A7FBD">
            <w:pPr>
              <w:bidi w:val="0"/>
              <w:spacing w:after="0" w:line="240" w:lineRule="auto"/>
              <w:jc w:val="center"/>
              <w:rPr>
                <w:rFonts w:ascii="Times New Roman" w:hAnsi="Times New Roman"/>
                <w:b/>
                <w:sz w:val="20"/>
                <w:szCs w:val="20"/>
              </w:rPr>
            </w:pPr>
          </w:p>
          <w:p w:rsidR="00F13D8F" w:rsidRPr="004A7FBD">
            <w:pPr>
              <w:bidi w:val="0"/>
              <w:spacing w:after="0" w:line="240" w:lineRule="auto"/>
              <w:jc w:val="center"/>
              <w:rPr>
                <w:rFonts w:ascii="Times New Roman" w:hAnsi="Times New Roman"/>
                <w:b/>
                <w:sz w:val="20"/>
                <w:szCs w:val="20"/>
              </w:rPr>
            </w:pPr>
          </w:p>
          <w:p w:rsidR="00F13D8F" w:rsidRPr="004A7FBD">
            <w:pPr>
              <w:bidi w:val="0"/>
              <w:spacing w:after="0" w:line="240" w:lineRule="auto"/>
              <w:jc w:val="center"/>
              <w:rPr>
                <w:rFonts w:ascii="Times New Roman" w:hAnsi="Times New Roman"/>
                <w:b/>
                <w:sz w:val="20"/>
                <w:szCs w:val="20"/>
              </w:rPr>
            </w:pPr>
          </w:p>
          <w:p w:rsidR="00F13D8F" w:rsidRPr="004A7FBD">
            <w:pPr>
              <w:bidi w:val="0"/>
              <w:spacing w:after="0" w:line="240" w:lineRule="auto"/>
              <w:jc w:val="center"/>
              <w:rPr>
                <w:rFonts w:ascii="Times New Roman" w:hAnsi="Times New Roman"/>
                <w:b/>
                <w:sz w:val="20"/>
                <w:szCs w:val="20"/>
              </w:rPr>
            </w:pPr>
          </w:p>
          <w:p w:rsidR="00A9063F" w:rsidRPr="004A7FBD" w:rsidP="00F13D8F">
            <w:pPr>
              <w:bidi w:val="0"/>
              <w:spacing w:after="0" w:line="240" w:lineRule="auto"/>
              <w:jc w:val="center"/>
              <w:rPr>
                <w:rFonts w:ascii="Times New Roman" w:hAnsi="Times New Roman"/>
                <w:sz w:val="20"/>
                <w:szCs w:val="20"/>
              </w:rPr>
            </w:pPr>
            <w:r w:rsidRPr="004A7FBD" w:rsidR="00F13D8F">
              <w:rPr>
                <w:rFonts w:ascii="Times New Roman" w:hAnsi="Times New Roman"/>
                <w:sz w:val="20"/>
                <w:szCs w:val="20"/>
              </w:rPr>
              <w:t>203/2011</w:t>
            </w:r>
          </w:p>
          <w:p w:rsidR="00F13D8F" w:rsidRPr="004A7FBD" w:rsidP="00F13D8F">
            <w:pPr>
              <w:bidi w:val="0"/>
              <w:spacing w:after="0" w:line="240" w:lineRule="auto"/>
              <w:rPr>
                <w:rFonts w:ascii="Times New Roman" w:hAnsi="Times New Roman"/>
                <w:sz w:val="20"/>
                <w:szCs w:val="20"/>
              </w:rPr>
            </w:pPr>
          </w:p>
          <w:p w:rsidR="00F13D8F" w:rsidRPr="004A7FBD" w:rsidP="00F13D8F">
            <w:pPr>
              <w:bidi w:val="0"/>
              <w:spacing w:after="0" w:line="240" w:lineRule="auto"/>
              <w:jc w:val="center"/>
              <w:rPr>
                <w:rFonts w:ascii="Times New Roman" w:hAnsi="Times New Roman"/>
                <w:sz w:val="20"/>
                <w:szCs w:val="20"/>
              </w:rPr>
            </w:pPr>
          </w:p>
          <w:p w:rsidR="00F13D8F" w:rsidRPr="004A7FBD" w:rsidP="00F13D8F">
            <w:pPr>
              <w:bidi w:val="0"/>
              <w:spacing w:after="0" w:line="240" w:lineRule="auto"/>
              <w:jc w:val="center"/>
              <w:rPr>
                <w:rFonts w:ascii="Times New Roman" w:hAnsi="Times New Roman"/>
                <w:sz w:val="20"/>
                <w:szCs w:val="20"/>
              </w:rPr>
            </w:pPr>
            <w:r w:rsidRPr="004A7FBD" w:rsidR="00E14C2D">
              <w:rPr>
                <w:rFonts w:ascii="Times New Roman" w:hAnsi="Times New Roman"/>
                <w:sz w:val="20"/>
                <w:szCs w:val="20"/>
              </w:rPr>
              <w:t>203/2011</w:t>
            </w:r>
          </w:p>
          <w:p w:rsidR="00F13D8F" w:rsidRPr="004A7FBD" w:rsidP="00F13D8F">
            <w:pPr>
              <w:bidi w:val="0"/>
              <w:spacing w:after="0" w:line="240" w:lineRule="auto"/>
              <w:jc w:val="center"/>
              <w:rPr>
                <w:rFonts w:ascii="Times New Roman" w:hAnsi="Times New Roman"/>
                <w:sz w:val="20"/>
                <w:szCs w:val="20"/>
              </w:rPr>
            </w:pPr>
            <w:r w:rsidRPr="004A7FBD">
              <w:rPr>
                <w:rFonts w:ascii="Times New Roman" w:hAnsi="Times New Roman"/>
                <w:sz w:val="20"/>
                <w:szCs w:val="20"/>
              </w:rPr>
              <w:t>a </w:t>
            </w:r>
          </w:p>
          <w:p w:rsidR="00F13D8F" w:rsidRPr="004A7FBD" w:rsidP="00F13D8F">
            <w:pPr>
              <w:bidi w:val="0"/>
              <w:spacing w:after="0" w:line="240" w:lineRule="auto"/>
              <w:jc w:val="center"/>
              <w:rPr>
                <w:rFonts w:ascii="Times New Roman" w:hAnsi="Times New Roman"/>
                <w:sz w:val="20"/>
                <w:szCs w:val="20"/>
              </w:rPr>
            </w:pPr>
            <w:r w:rsidRPr="004A7FBD">
              <w:rPr>
                <w:rFonts w:ascii="Times New Roman" w:hAnsi="Times New Roman"/>
                <w:b/>
                <w:sz w:val="20"/>
                <w:szCs w:val="20"/>
              </w:rPr>
              <w:t>návrh zákona čl. 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rsidP="004577EC">
            <w:pPr>
              <w:pStyle w:val="Normlny"/>
              <w:bidi w:val="0"/>
              <w:spacing w:after="0" w:line="240" w:lineRule="auto"/>
              <w:jc w:val="center"/>
              <w:rPr>
                <w:rFonts w:ascii="Times New Roman" w:hAnsi="Times New Roman"/>
              </w:rPr>
            </w:pPr>
          </w:p>
          <w:p w:rsidR="00F13D8F" w:rsidRPr="004A7FBD" w:rsidP="004577EC">
            <w:pPr>
              <w:pStyle w:val="Normlny"/>
              <w:bidi w:val="0"/>
              <w:spacing w:after="0" w:line="240" w:lineRule="auto"/>
              <w:jc w:val="center"/>
              <w:rPr>
                <w:rFonts w:ascii="Times New Roman" w:hAnsi="Times New Roman"/>
              </w:rPr>
            </w:pPr>
          </w:p>
          <w:p w:rsidR="00F13D8F" w:rsidRPr="004A7FBD" w:rsidP="004577EC">
            <w:pPr>
              <w:pStyle w:val="Normlny"/>
              <w:bidi w:val="0"/>
              <w:spacing w:after="0" w:line="240" w:lineRule="auto"/>
              <w:jc w:val="center"/>
              <w:rPr>
                <w:rFonts w:ascii="Times New Roman" w:hAnsi="Times New Roman"/>
              </w:rPr>
            </w:pPr>
          </w:p>
          <w:p w:rsidR="00F13D8F" w:rsidRPr="004A7FBD" w:rsidP="004577EC">
            <w:pPr>
              <w:pStyle w:val="Normlny"/>
              <w:bidi w:val="0"/>
              <w:spacing w:after="0" w:line="240" w:lineRule="auto"/>
              <w:jc w:val="center"/>
              <w:rPr>
                <w:rFonts w:ascii="Times New Roman" w:hAnsi="Times New Roman"/>
              </w:rPr>
            </w:pPr>
          </w:p>
          <w:p w:rsidR="00F13D8F" w:rsidRPr="004A7FBD" w:rsidP="004577EC">
            <w:pPr>
              <w:pStyle w:val="Normlny"/>
              <w:bidi w:val="0"/>
              <w:spacing w:after="0" w:line="240" w:lineRule="auto"/>
              <w:jc w:val="center"/>
              <w:rPr>
                <w:rFonts w:ascii="Times New Roman" w:hAnsi="Times New Roman"/>
              </w:rPr>
            </w:pPr>
          </w:p>
          <w:p w:rsidR="00F13D8F" w:rsidRPr="004A7FBD" w:rsidP="004577EC">
            <w:pPr>
              <w:pStyle w:val="Normlny"/>
              <w:bidi w:val="0"/>
              <w:spacing w:after="0" w:line="240" w:lineRule="auto"/>
              <w:jc w:val="center"/>
              <w:rPr>
                <w:rFonts w:ascii="Times New Roman" w:hAnsi="Times New Roman"/>
              </w:rPr>
            </w:pPr>
          </w:p>
          <w:p w:rsidR="00F13D8F" w:rsidRPr="004A7FBD" w:rsidP="004577EC">
            <w:pPr>
              <w:pStyle w:val="Normlny"/>
              <w:bidi w:val="0"/>
              <w:spacing w:after="0" w:line="240" w:lineRule="auto"/>
              <w:jc w:val="center"/>
              <w:rPr>
                <w:rFonts w:ascii="Times New Roman" w:hAnsi="Times New Roman"/>
              </w:rPr>
            </w:pPr>
          </w:p>
          <w:p w:rsidR="00F13D8F" w:rsidRPr="004A7FBD" w:rsidP="004577EC">
            <w:pPr>
              <w:pStyle w:val="Normlny"/>
              <w:bidi w:val="0"/>
              <w:spacing w:after="0" w:line="240" w:lineRule="auto"/>
              <w:jc w:val="center"/>
              <w:rPr>
                <w:rFonts w:ascii="Times New Roman" w:hAnsi="Times New Roman"/>
              </w:rPr>
            </w:pPr>
            <w:r w:rsidRPr="004A7FBD">
              <w:rPr>
                <w:rFonts w:ascii="Times New Roman" w:hAnsi="Times New Roman"/>
              </w:rPr>
              <w:t>§ 212</w:t>
            </w:r>
          </w:p>
          <w:p w:rsidR="00F13D8F" w:rsidRPr="004A7FBD" w:rsidP="004577EC">
            <w:pPr>
              <w:pStyle w:val="Normlny"/>
              <w:bidi w:val="0"/>
              <w:spacing w:after="0" w:line="240" w:lineRule="auto"/>
              <w:jc w:val="center"/>
              <w:rPr>
                <w:rFonts w:ascii="Times New Roman" w:hAnsi="Times New Roman"/>
              </w:rPr>
            </w:pPr>
          </w:p>
          <w:p w:rsidR="00F13D8F" w:rsidRPr="004A7FBD" w:rsidP="004577EC">
            <w:pPr>
              <w:pStyle w:val="Normlny"/>
              <w:bidi w:val="0"/>
              <w:spacing w:after="0" w:line="240" w:lineRule="auto"/>
              <w:jc w:val="center"/>
              <w:rPr>
                <w:rFonts w:ascii="Times New Roman" w:hAnsi="Times New Roman"/>
              </w:rPr>
            </w:pPr>
          </w:p>
          <w:p w:rsidR="00F13D8F" w:rsidRPr="004A7FBD" w:rsidP="004577EC">
            <w:pPr>
              <w:pStyle w:val="Normlny"/>
              <w:bidi w:val="0"/>
              <w:spacing w:after="0" w:line="240" w:lineRule="auto"/>
              <w:jc w:val="center"/>
              <w:rPr>
                <w:rFonts w:ascii="Times New Roman" w:hAnsi="Times New Roman"/>
              </w:rPr>
            </w:pPr>
            <w:r w:rsidRPr="004A7FBD">
              <w:rPr>
                <w:rFonts w:ascii="Times New Roman" w:hAnsi="Times New Roman"/>
              </w:rPr>
              <w:t xml:space="preserve">Príloha č.1 </w:t>
            </w:r>
          </w:p>
          <w:p w:rsidR="00F13D8F" w:rsidRPr="004A7FBD" w:rsidP="004577EC">
            <w:pPr>
              <w:pStyle w:val="Normlny"/>
              <w:bidi w:val="0"/>
              <w:spacing w:after="0" w:line="240" w:lineRule="auto"/>
              <w:jc w:val="center"/>
              <w:rPr>
                <w:rFonts w:ascii="Times New Roman" w:hAnsi="Times New Roman"/>
                <w:b/>
              </w:rPr>
            </w:pPr>
            <w:r w:rsidRPr="004A7FBD">
              <w:rPr>
                <w:rFonts w:ascii="Times New Roman" w:hAnsi="Times New Roman"/>
                <w:b/>
              </w:rPr>
              <w:t xml:space="preserve">bod 7 </w:t>
            </w:r>
          </w:p>
          <w:p w:rsidR="00F13D8F" w:rsidRPr="004A7FBD" w:rsidP="004577EC">
            <w:pPr>
              <w:pStyle w:val="Normlny"/>
              <w:bidi w:val="0"/>
              <w:spacing w:after="0" w:line="240" w:lineRule="auto"/>
              <w:jc w:val="center"/>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13D8F" w:rsidP="004577EC">
            <w:pPr>
              <w:tabs>
                <w:tab w:val="left" w:pos="1425"/>
              </w:tabs>
              <w:bidi w:val="0"/>
              <w:spacing w:after="0" w:line="240" w:lineRule="auto"/>
              <w:rPr>
                <w:rFonts w:ascii="Times New Roman" w:hAnsi="Times New Roman"/>
                <w:b/>
                <w:sz w:val="20"/>
                <w:szCs w:val="20"/>
              </w:rPr>
            </w:pPr>
            <w:r w:rsidRPr="004A7FBD" w:rsidR="004A7FBD">
              <w:rPr>
                <w:rFonts w:ascii="Times New Roman" w:hAnsi="Times New Roman"/>
                <w:b/>
                <w:sz w:val="20"/>
                <w:szCs w:val="20"/>
              </w:rPr>
              <w:t xml:space="preserve">Tento zákon nadobúda účinnosť 1. </w:t>
            </w:r>
            <w:r w:rsidR="003633E2">
              <w:rPr>
                <w:rFonts w:ascii="Times New Roman" w:hAnsi="Times New Roman"/>
                <w:b/>
                <w:sz w:val="20"/>
                <w:szCs w:val="20"/>
              </w:rPr>
              <w:t>augusta</w:t>
            </w:r>
            <w:r w:rsidRPr="004A7FBD" w:rsidR="004A7FBD">
              <w:rPr>
                <w:rFonts w:ascii="Times New Roman" w:hAnsi="Times New Roman"/>
                <w:b/>
                <w:sz w:val="20"/>
                <w:szCs w:val="20"/>
              </w:rPr>
              <w:t xml:space="preserve"> 2014 okrem  čl. I  § 6 ods. 13, 16, 28 a 29 v bode 9, § 17 v bode 25 a čl. III § 135d v bode 44, ktoré nadobúdajú účinnosť 1. januára 2015 a okrem čl. I § 33d v bode 53, ktorý nadobúda účinnosť 1. januára 2016.</w:t>
            </w:r>
          </w:p>
          <w:p w:rsidR="004A7FBD" w:rsidP="004577EC">
            <w:pPr>
              <w:tabs>
                <w:tab w:val="left" w:pos="1425"/>
              </w:tabs>
              <w:bidi w:val="0"/>
              <w:spacing w:after="0" w:line="240" w:lineRule="auto"/>
              <w:rPr>
                <w:rFonts w:ascii="Times New Roman" w:hAnsi="Times New Roman"/>
                <w:sz w:val="20"/>
                <w:szCs w:val="20"/>
                <w:lang w:eastAsia="en-US"/>
              </w:rPr>
            </w:pPr>
          </w:p>
          <w:p w:rsidR="003633E2" w:rsidRPr="004A7FBD" w:rsidP="004577EC">
            <w:pPr>
              <w:tabs>
                <w:tab w:val="left" w:pos="1425"/>
              </w:tabs>
              <w:bidi w:val="0"/>
              <w:spacing w:after="0" w:line="240" w:lineRule="auto"/>
              <w:rPr>
                <w:rFonts w:ascii="Times New Roman" w:hAnsi="Times New Roman"/>
                <w:sz w:val="20"/>
                <w:szCs w:val="20"/>
                <w:lang w:eastAsia="en-US"/>
              </w:rPr>
            </w:pPr>
          </w:p>
          <w:p w:rsidR="00A9063F" w:rsidRPr="004A7FBD" w:rsidP="004577EC">
            <w:pPr>
              <w:tabs>
                <w:tab w:val="left" w:pos="1425"/>
              </w:tabs>
              <w:bidi w:val="0"/>
              <w:spacing w:after="0" w:line="240" w:lineRule="auto"/>
              <w:rPr>
                <w:rFonts w:ascii="Times New Roman" w:hAnsi="Times New Roman"/>
                <w:sz w:val="20"/>
                <w:szCs w:val="20"/>
                <w:lang w:eastAsia="en-US"/>
              </w:rPr>
            </w:pPr>
            <w:r w:rsidRPr="004A7FBD" w:rsidR="00F13D8F">
              <w:rPr>
                <w:rFonts w:ascii="Times New Roman" w:hAnsi="Times New Roman"/>
                <w:sz w:val="20"/>
                <w:szCs w:val="20"/>
                <w:lang w:eastAsia="en-US"/>
              </w:rPr>
              <w:t>Týmto zákonom sa preberajú právne záväzné akty Európskej únie uvedené v prílohe č. 1.</w:t>
            </w:r>
          </w:p>
          <w:p w:rsidR="00F13D8F" w:rsidRPr="004A7FBD" w:rsidP="004577EC">
            <w:pPr>
              <w:tabs>
                <w:tab w:val="left" w:pos="1425"/>
              </w:tabs>
              <w:bidi w:val="0"/>
              <w:spacing w:after="0" w:line="240" w:lineRule="auto"/>
              <w:rPr>
                <w:rFonts w:ascii="Times New Roman" w:hAnsi="Times New Roman"/>
                <w:sz w:val="20"/>
                <w:szCs w:val="20"/>
                <w:lang w:eastAsia="en-US"/>
              </w:rPr>
            </w:pPr>
          </w:p>
          <w:p w:rsidR="00F13D8F" w:rsidRPr="004A7FBD" w:rsidP="004577EC">
            <w:pPr>
              <w:tabs>
                <w:tab w:val="left" w:pos="1425"/>
              </w:tabs>
              <w:bidi w:val="0"/>
              <w:spacing w:after="0" w:line="240" w:lineRule="auto"/>
              <w:rPr>
                <w:rFonts w:ascii="Times New Roman" w:hAnsi="Times New Roman"/>
                <w:sz w:val="20"/>
                <w:szCs w:val="20"/>
                <w:lang w:eastAsia="en-US"/>
              </w:rPr>
            </w:pPr>
            <w:r w:rsidRPr="004A7FBD">
              <w:rPr>
                <w:rFonts w:ascii="Times New Roman" w:hAnsi="Times New Roman"/>
                <w:sz w:val="20"/>
                <w:szCs w:val="20"/>
                <w:lang w:eastAsia="en-US"/>
              </w:rPr>
              <w:t>ZOZNAM PREBERANÝCH PRÁVNE ZÁVÄZNÝCH AKTOV EURÓPSKEJ ÚNIE</w:t>
            </w:r>
          </w:p>
          <w:p w:rsidR="00F13D8F" w:rsidRPr="004A7FBD" w:rsidP="004577EC">
            <w:pPr>
              <w:tabs>
                <w:tab w:val="left" w:pos="1425"/>
              </w:tabs>
              <w:bidi w:val="0"/>
              <w:spacing w:after="0" w:line="240" w:lineRule="auto"/>
              <w:rPr>
                <w:rFonts w:ascii="Times New Roman" w:hAnsi="Times New Roman"/>
                <w:b/>
                <w:sz w:val="20"/>
                <w:szCs w:val="20"/>
                <w:lang w:eastAsia="en-US"/>
              </w:rPr>
            </w:pPr>
            <w:r w:rsidRPr="004A7FBD" w:rsidR="00754413">
              <w:rPr>
                <w:rFonts w:ascii="Times New Roman" w:hAnsi="Times New Roman"/>
                <w:b/>
                <w:sz w:val="20"/>
                <w:szCs w:val="20"/>
              </w:rPr>
              <w:t>7. Smernica Európskeho parlamentu a Rady 2013/14/EÚ z 21. mája 2013, ktorou sa mení a dopĺňa smernica 2003/41/ES o činnostiach a dohľade nad inštitúciami zamestnaneckého dôchodkového zabezpečenia, smernica 2009/65/ES o koordinácii zákonov, iných právnych predpisov a správnych opatrení týkajúcich sa podnikov kolektívneho investovania do prevoditeľných cenných papierov (PKIPCP) a smernica 2011/61/EÚ o správcoch alternatívnych investičných fondov v súvislosti s nadmerným spoliehaním sa na úverové ratingy (Ú. v. EÚ L 145, 31.5.2013).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sidR="00F13D8F">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4A7FBD" w:rsidP="00984EB3">
            <w:pPr>
              <w:bidi w:val="0"/>
              <w:spacing w:after="0" w:line="240" w:lineRule="auto"/>
              <w:jc w:val="center"/>
              <w:rPr>
                <w:rFonts w:ascii="Times New Roman" w:hAnsi="Times New Roman"/>
                <w:sz w:val="20"/>
                <w:szCs w:val="20"/>
              </w:rPr>
            </w:pPr>
            <w:r w:rsidRPr="004A7FBD" w:rsidR="002E1D16">
              <w:rPr>
                <w:rFonts w:ascii="Times New Roman" w:hAnsi="Times New Roman"/>
                <w:sz w:val="20"/>
                <w:szCs w:val="20"/>
              </w:rPr>
              <w:t xml:space="preserve">Čl. </w:t>
            </w:r>
            <w:r w:rsidRPr="004A7FBD" w:rsidR="00984EB3">
              <w:rPr>
                <w:rFonts w:ascii="Times New Roman" w:hAnsi="Times New Roman"/>
                <w:sz w:val="20"/>
                <w:szCs w:val="20"/>
              </w:rPr>
              <w:t>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4EB3" w:rsidRPr="004A7FBD" w:rsidP="00984EB3">
            <w:pPr>
              <w:bidi w:val="0"/>
              <w:adjustRightInd w:val="0"/>
              <w:spacing w:after="0" w:line="240" w:lineRule="auto"/>
              <w:rPr>
                <w:rFonts w:ascii="Times New Roman" w:hAnsi="Times New Roman"/>
                <w:sz w:val="20"/>
                <w:szCs w:val="20"/>
              </w:rPr>
            </w:pPr>
            <w:r w:rsidRPr="004A7FBD">
              <w:rPr>
                <w:rFonts w:ascii="Times New Roman" w:hAnsi="Times New Roman"/>
                <w:sz w:val="20"/>
                <w:szCs w:val="20"/>
              </w:rPr>
              <w:t xml:space="preserve">Nadobudnutie účinnosti </w:t>
            </w:r>
          </w:p>
          <w:p w:rsidR="002E1D16" w:rsidRPr="004A7FBD" w:rsidP="00984EB3">
            <w:pPr>
              <w:bidi w:val="0"/>
              <w:adjustRightInd w:val="0"/>
              <w:spacing w:after="0" w:line="240" w:lineRule="auto"/>
              <w:rPr>
                <w:rFonts w:ascii="Times New Roman" w:hAnsi="Times New Roman"/>
                <w:sz w:val="20"/>
                <w:szCs w:val="20"/>
              </w:rPr>
            </w:pPr>
            <w:r w:rsidRPr="004A7FBD" w:rsidR="00984EB3">
              <w:rPr>
                <w:rFonts w:ascii="Times New Roman" w:hAnsi="Times New Roman"/>
                <w:sz w:val="20"/>
                <w:szCs w:val="20"/>
              </w:rPr>
              <w:t>Táto smernica nadobúda účinnosť dvadsiatym dňom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sidR="00984EB3">
              <w:rPr>
                <w:rFonts w:ascii="Times New Roman" w:hAnsi="Times New Roman"/>
                <w:sz w:val="20"/>
                <w:szCs w:val="20"/>
              </w:rPr>
              <w:t>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pStyle w:val="Normlny"/>
              <w:bidi w:val="0"/>
              <w:spacing w:after="0" w:line="240" w:lineRule="auto"/>
              <w:jc w:val="center"/>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sidR="00984EB3">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4A7FBD" w:rsidP="00984EB3">
            <w:pPr>
              <w:bidi w:val="0"/>
              <w:spacing w:after="0" w:line="240" w:lineRule="auto"/>
              <w:jc w:val="center"/>
              <w:rPr>
                <w:rFonts w:ascii="Times New Roman" w:hAnsi="Times New Roman"/>
                <w:sz w:val="20"/>
                <w:szCs w:val="20"/>
              </w:rPr>
            </w:pPr>
            <w:r w:rsidRPr="004A7FBD" w:rsidR="002E1D16">
              <w:rPr>
                <w:rFonts w:ascii="Times New Roman" w:hAnsi="Times New Roman"/>
                <w:sz w:val="20"/>
                <w:szCs w:val="20"/>
              </w:rPr>
              <w:t xml:space="preserve">Čl. </w:t>
            </w:r>
            <w:r w:rsidRPr="004A7FBD" w:rsidR="00984EB3">
              <w:rPr>
                <w:rFonts w:ascii="Times New Roman" w:hAnsi="Times New Roman"/>
                <w:sz w:val="20"/>
                <w:szCs w:val="20"/>
              </w:rPr>
              <w:t>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Adresáti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Táto smernica je určená členským štátom.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V Štrasburgu 21. mája 2013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Za Európsky parlament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predseda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M. SCHULZ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Za Radu </w:t>
            </w:r>
          </w:p>
          <w:p w:rsidR="00984EB3" w:rsidRPr="004A7FBD" w:rsidP="00984EB3">
            <w:pPr>
              <w:pStyle w:val="Normlny"/>
              <w:bidi w:val="0"/>
              <w:spacing w:after="0" w:line="240" w:lineRule="auto"/>
              <w:rPr>
                <w:rFonts w:ascii="Times New Roman" w:hAnsi="Times New Roman"/>
              </w:rPr>
            </w:pPr>
            <w:r w:rsidRPr="004A7FBD">
              <w:rPr>
                <w:rFonts w:ascii="Times New Roman" w:hAnsi="Times New Roman"/>
              </w:rPr>
              <w:t xml:space="preserve">predsedníčka </w:t>
            </w:r>
          </w:p>
          <w:p w:rsidR="002E1D16" w:rsidRPr="004A7FBD" w:rsidP="00984EB3">
            <w:pPr>
              <w:pStyle w:val="Normlny"/>
              <w:bidi w:val="0"/>
              <w:spacing w:after="0" w:line="240" w:lineRule="auto"/>
              <w:rPr>
                <w:rFonts w:ascii="Times New Roman" w:hAnsi="Times New Roman"/>
              </w:rPr>
            </w:pPr>
            <w:r w:rsidRPr="004A7FBD" w:rsidR="00984EB3">
              <w:rPr>
                <w:rFonts w:ascii="Times New Roman" w:hAnsi="Times New Roman"/>
              </w:rPr>
              <w:t>L. CREIGHTON</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sidR="00984EB3">
              <w:rPr>
                <w:rFonts w:ascii="Times New Roman" w:hAnsi="Times New Roman"/>
                <w:sz w:val="20"/>
                <w:szCs w:val="20"/>
              </w:rPr>
              <w:t>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rsidP="00B64B09">
            <w:pPr>
              <w:pStyle w:val="Normlny"/>
              <w:bidi w:val="0"/>
              <w:spacing w:after="0" w:line="240" w:lineRule="auto"/>
              <w:jc w:val="center"/>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rsidP="00B64B09">
            <w:pPr>
              <w:pStyle w:val="Normlny"/>
              <w:bidi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4A7FBD">
            <w:pPr>
              <w:bidi w:val="0"/>
              <w:spacing w:after="0" w:line="240" w:lineRule="auto"/>
              <w:jc w:val="center"/>
              <w:rPr>
                <w:rFonts w:ascii="Times New Roman" w:hAnsi="Times New Roman"/>
                <w:sz w:val="20"/>
                <w:szCs w:val="20"/>
              </w:rPr>
            </w:pPr>
            <w:r w:rsidRPr="004A7FBD" w:rsidR="00984EB3">
              <w:rPr>
                <w:rFonts w:ascii="Times New Roman" w:hAnsi="Times New Roman"/>
                <w:sz w:val="20"/>
                <w:szCs w:val="20"/>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4A7FBD">
            <w:pPr>
              <w:pStyle w:val="Heading1"/>
              <w:bidi w:val="0"/>
              <w:spacing w:after="0" w:line="240" w:lineRule="auto"/>
              <w:rPr>
                <w:rFonts w:ascii="Times New Roman" w:hAnsi="Times New Roman"/>
                <w:b w:val="0"/>
                <w:bCs w:val="0"/>
                <w:sz w:val="20"/>
                <w:szCs w:val="20"/>
              </w:rPr>
            </w:pPr>
          </w:p>
        </w:tc>
      </w:tr>
    </w:tbl>
    <w:p w:rsidR="008C54C3" w:rsidRPr="004A7FBD">
      <w:pPr>
        <w:autoSpaceDE/>
        <w:autoSpaceDN/>
        <w:bidi w:val="0"/>
        <w:ind w:left="360"/>
        <w:rPr>
          <w:rFonts w:ascii="Times New Roman" w:hAnsi="Times New Roman"/>
          <w:sz w:val="20"/>
          <w:szCs w:val="20"/>
        </w:rPr>
      </w:pPr>
    </w:p>
    <w:p w:rsidR="008C54C3" w:rsidRPr="004A7FBD">
      <w:pPr>
        <w:autoSpaceDE/>
        <w:autoSpaceDN/>
        <w:bidi w:val="0"/>
        <w:rPr>
          <w:rFonts w:ascii="Times New Roman" w:hAnsi="Times New Roman"/>
          <w:sz w:val="20"/>
          <w:szCs w:val="20"/>
        </w:rPr>
      </w:pPr>
    </w:p>
    <w:p w:rsidR="008C54C3" w:rsidRPr="004A7FBD">
      <w:pPr>
        <w:autoSpaceDE/>
        <w:autoSpaceDN/>
        <w:bidi w:val="0"/>
        <w:rPr>
          <w:rFonts w:ascii="Times New Roman" w:hAnsi="Times New Roman"/>
          <w:sz w:val="20"/>
          <w:szCs w:val="20"/>
        </w:rPr>
      </w:pPr>
      <w:r w:rsidRPr="004A7FBD">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4A7FBD">
            <w:pPr>
              <w:pStyle w:val="Normlny"/>
              <w:autoSpaceDE/>
              <w:autoSpaceDN/>
              <w:bidi w:val="0"/>
              <w:spacing w:after="60" w:line="240" w:lineRule="auto"/>
              <w:rPr>
                <w:rFonts w:ascii="Times New Roman" w:hAnsi="Times New Roman"/>
                <w:lang w:eastAsia="sk-SK"/>
              </w:rPr>
            </w:pPr>
            <w:r w:rsidRPr="004A7FBD">
              <w:rPr>
                <w:rFonts w:ascii="Times New Roman" w:hAnsi="Times New Roman"/>
                <w:lang w:eastAsia="sk-SK"/>
              </w:rPr>
              <w:t>V stĺpci (1):</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Č – článok</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O – odsek</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V – veta</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 xml:space="preserve">P – </w:t>
            </w:r>
            <w:r w:rsidRPr="004A7FBD" w:rsidR="00DA0F6C">
              <w:rPr>
                <w:rFonts w:ascii="Times New Roman" w:hAnsi="Times New Roman"/>
                <w:sz w:val="20"/>
                <w:szCs w:val="20"/>
              </w:rPr>
              <w:t>číslo</w:t>
            </w:r>
            <w:r w:rsidRPr="004A7FBD">
              <w:rPr>
                <w:rFonts w:ascii="Times New Roman" w:hAnsi="Times New Roman"/>
                <w:sz w:val="20"/>
                <w:szCs w:val="20"/>
              </w:rPr>
              <w:t xml:space="preserve"> (</w:t>
            </w:r>
            <w:r w:rsidRPr="004A7FBD" w:rsidR="00DA0F6C">
              <w:rPr>
                <w:rFonts w:ascii="Times New Roman" w:hAnsi="Times New Roman"/>
                <w:sz w:val="20"/>
                <w:szCs w:val="20"/>
              </w:rPr>
              <w:t>písmeno</w:t>
            </w:r>
            <w:r w:rsidRPr="004A7FBD">
              <w:rPr>
                <w:rFonts w:ascii="Times New Roman" w:hAnsi="Times New Roman"/>
                <w:sz w:val="20"/>
                <w:szCs w:val="20"/>
              </w:rPr>
              <w:t>)</w:t>
            </w:r>
          </w:p>
          <w:p w:rsidR="008C54C3" w:rsidRPr="004A7FBD">
            <w:pPr>
              <w:autoSpaceDE/>
              <w:autoSpaceDN/>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4A7FBD">
            <w:pPr>
              <w:pStyle w:val="Normlny"/>
              <w:autoSpaceDE/>
              <w:autoSpaceDN/>
              <w:bidi w:val="0"/>
              <w:spacing w:after="60" w:line="240" w:lineRule="auto"/>
              <w:rPr>
                <w:rFonts w:ascii="Times New Roman" w:hAnsi="Times New Roman"/>
                <w:lang w:eastAsia="sk-SK"/>
              </w:rPr>
            </w:pPr>
            <w:r w:rsidRPr="004A7FBD">
              <w:rPr>
                <w:rFonts w:ascii="Times New Roman" w:hAnsi="Times New Roman"/>
                <w:lang w:eastAsia="sk-SK"/>
              </w:rPr>
              <w:t>V stĺpci (3):</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N – bežná transpozícia</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O – transpozícia s možnosťou voľby</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D – transpozícia podľa úvahy (dobrovoľná)</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4A7FBD">
            <w:pPr>
              <w:pStyle w:val="Normlny"/>
              <w:autoSpaceDE/>
              <w:autoSpaceDN/>
              <w:bidi w:val="0"/>
              <w:spacing w:after="60" w:line="240" w:lineRule="auto"/>
              <w:rPr>
                <w:rFonts w:ascii="Times New Roman" w:hAnsi="Times New Roman"/>
                <w:lang w:eastAsia="sk-SK"/>
              </w:rPr>
            </w:pPr>
            <w:r w:rsidRPr="004A7FBD">
              <w:rPr>
                <w:rFonts w:ascii="Times New Roman" w:hAnsi="Times New Roman"/>
                <w:lang w:eastAsia="sk-SK"/>
              </w:rPr>
              <w:t>V stĺpci (5):</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Č – článok</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 – paragraf</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O – odsek</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V – veta</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4A7FBD">
            <w:pPr>
              <w:pStyle w:val="Normlny"/>
              <w:autoSpaceDE/>
              <w:autoSpaceDN/>
              <w:bidi w:val="0"/>
              <w:spacing w:after="60" w:line="240" w:lineRule="auto"/>
              <w:rPr>
                <w:rFonts w:ascii="Times New Roman" w:hAnsi="Times New Roman"/>
                <w:lang w:eastAsia="sk-SK"/>
              </w:rPr>
            </w:pPr>
            <w:r w:rsidRPr="004A7FBD">
              <w:rPr>
                <w:rFonts w:ascii="Times New Roman" w:hAnsi="Times New Roman"/>
                <w:lang w:eastAsia="sk-SK"/>
              </w:rPr>
              <w:t>V stĺpci (7):</w:t>
            </w:r>
          </w:p>
          <w:p w:rsidR="008C54C3" w:rsidRPr="004A7FBD" w:rsidP="008C54C3">
            <w:pPr>
              <w:autoSpaceDE/>
              <w:autoSpaceDN/>
              <w:bidi w:val="0"/>
              <w:spacing w:after="0" w:line="240" w:lineRule="auto"/>
              <w:ind w:left="290" w:hanging="290"/>
              <w:rPr>
                <w:rFonts w:ascii="Times New Roman" w:hAnsi="Times New Roman"/>
                <w:sz w:val="20"/>
                <w:szCs w:val="20"/>
              </w:rPr>
            </w:pPr>
            <w:r w:rsidRPr="004A7FBD">
              <w:rPr>
                <w:rFonts w:ascii="Times New Roman" w:hAnsi="Times New Roman"/>
                <w:sz w:val="20"/>
                <w:szCs w:val="20"/>
              </w:rPr>
              <w:t>Ú – úplná zhoda (ak bolo ustanovenie smernice prebraté v celom rozsahu, správne, v príslušnej form</w:t>
            </w:r>
            <w:r w:rsidRPr="004A7FBD" w:rsidR="00391DC5">
              <w:rPr>
                <w:rFonts w:ascii="Times New Roman" w:hAnsi="Times New Roman"/>
                <w:sz w:val="20"/>
                <w:szCs w:val="20"/>
              </w:rPr>
              <w:t>e</w:t>
            </w:r>
            <w:r w:rsidRPr="004A7FBD">
              <w:rPr>
                <w:rFonts w:ascii="Times New Roman" w:hAnsi="Times New Roman"/>
                <w:sz w:val="20"/>
                <w:szCs w:val="20"/>
              </w:rPr>
              <w:t>, so zabezpečenou inštitucionálnou</w:t>
            </w:r>
            <w:r w:rsidRPr="004A7FBD" w:rsidR="000C2E53">
              <w:rPr>
                <w:rFonts w:ascii="Times New Roman" w:hAnsi="Times New Roman"/>
                <w:sz w:val="20"/>
                <w:szCs w:val="20"/>
              </w:rPr>
              <w:t xml:space="preserve"> </w:t>
            </w:r>
            <w:r w:rsidRPr="004A7FBD">
              <w:rPr>
                <w:rFonts w:ascii="Times New Roman" w:hAnsi="Times New Roman"/>
                <w:sz w:val="20"/>
                <w:szCs w:val="20"/>
              </w:rPr>
              <w:t xml:space="preserve"> </w:t>
            </w:r>
            <w:r w:rsidRPr="004A7FBD" w:rsidR="000C2E53">
              <w:rPr>
                <w:rFonts w:ascii="Times New Roman" w:hAnsi="Times New Roman"/>
                <w:sz w:val="20"/>
                <w:szCs w:val="20"/>
              </w:rPr>
              <w:t>i</w:t>
            </w:r>
            <w:r w:rsidRPr="004A7FBD">
              <w:rPr>
                <w:rFonts w:ascii="Times New Roman" w:hAnsi="Times New Roman"/>
                <w:sz w:val="20"/>
                <w:szCs w:val="20"/>
              </w:rPr>
              <w:t>nfraštruktúrou, s príslušnými sankciami a vo vzájomnej súvislosti)</w:t>
            </w:r>
          </w:p>
          <w:p w:rsidR="008C54C3" w:rsidRPr="004A7FBD">
            <w:pPr>
              <w:autoSpaceDE/>
              <w:autoSpaceDN/>
              <w:bidi w:val="0"/>
              <w:spacing w:after="0" w:line="240" w:lineRule="auto"/>
              <w:rPr>
                <w:rFonts w:ascii="Times New Roman" w:hAnsi="Times New Roman"/>
                <w:sz w:val="20"/>
                <w:szCs w:val="20"/>
              </w:rPr>
            </w:pPr>
            <w:r w:rsidRPr="004A7FBD">
              <w:rPr>
                <w:rFonts w:ascii="Times New Roman" w:hAnsi="Times New Roman"/>
                <w:sz w:val="20"/>
                <w:szCs w:val="20"/>
              </w:rPr>
              <w:t>Č – čiastočná zhoda (ak minimálne jedna z podmienok úplnej zhody nie je splnená)</w:t>
            </w:r>
          </w:p>
          <w:p w:rsidR="008C54C3" w:rsidRPr="004A7FBD">
            <w:pPr>
              <w:pStyle w:val="BodyTextIndent2"/>
              <w:bidi w:val="0"/>
              <w:spacing w:after="0" w:line="240" w:lineRule="auto"/>
              <w:rPr>
                <w:rFonts w:ascii="Times New Roman" w:hAnsi="Times New Roman"/>
              </w:rPr>
            </w:pPr>
            <w:r w:rsidRPr="004A7FBD">
              <w:rPr>
                <w:rFonts w:ascii="Times New Roman" w:hAnsi="Times New Roman"/>
              </w:rPr>
              <w:t>Ž – žiadna zhoda (ak nebola dosiahnutá ani úplná ani čiast. zhoda alebo k prebratiu dôjde v budúcnosti)</w:t>
            </w:r>
          </w:p>
          <w:p w:rsidR="008C54C3" w:rsidRPr="004A7FBD">
            <w:pPr>
              <w:autoSpaceDE/>
              <w:autoSpaceDN/>
              <w:bidi w:val="0"/>
              <w:spacing w:after="0" w:line="240" w:lineRule="auto"/>
              <w:ind w:left="290" w:hanging="290"/>
              <w:rPr>
                <w:rFonts w:ascii="Times New Roman" w:hAnsi="Times New Roman"/>
                <w:sz w:val="20"/>
                <w:szCs w:val="20"/>
              </w:rPr>
            </w:pPr>
            <w:r w:rsidRPr="004A7FBD">
              <w:rPr>
                <w:rFonts w:ascii="Times New Roman" w:hAnsi="Times New Roman"/>
                <w:sz w:val="20"/>
                <w:szCs w:val="20"/>
              </w:rPr>
              <w:t>n.a. – neaplikovateľnosť (ak sa ustanovenie smernice netýka SR alebo nie je potrebné ho prebrať)</w:t>
            </w:r>
          </w:p>
        </w:tc>
      </w:tr>
    </w:tbl>
    <w:p w:rsidR="008C54C3" w:rsidRPr="004A7FBD" w:rsidP="00E8677E">
      <w:pPr>
        <w:pStyle w:val="Header"/>
        <w:tabs>
          <w:tab w:val="clear" w:pos="4536"/>
          <w:tab w:val="clear" w:pos="9072"/>
        </w:tabs>
        <w:autoSpaceDE/>
        <w:autoSpaceDN/>
        <w:bidi w:val="0"/>
        <w:rPr>
          <w:rFonts w:ascii="Times New Roman" w:hAnsi="Times New Roman"/>
          <w:sz w:val="20"/>
          <w:szCs w:val="20"/>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633E2">
      <w:rPr>
        <w:rStyle w:val="PageNumber"/>
        <w:rFonts w:ascii="Times New Roman" w:hAnsi="Times New Roman"/>
        <w:noProof/>
      </w:rPr>
      <w:t>4</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0"/>
  </w:num>
  <w:num w:numId="12">
    <w:abstractNumId w:val="2"/>
  </w:num>
  <w:num w:numId="13">
    <w:abstractNumId w:val="9"/>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C2E53"/>
    <w:rsid w:val="00127033"/>
    <w:rsid w:val="00153B33"/>
    <w:rsid w:val="00217BF4"/>
    <w:rsid w:val="002249AB"/>
    <w:rsid w:val="00270E65"/>
    <w:rsid w:val="002E1D16"/>
    <w:rsid w:val="003633E2"/>
    <w:rsid w:val="00391DC5"/>
    <w:rsid w:val="003E7B78"/>
    <w:rsid w:val="00424270"/>
    <w:rsid w:val="00440A2A"/>
    <w:rsid w:val="004577EC"/>
    <w:rsid w:val="00467F8B"/>
    <w:rsid w:val="004A7FBD"/>
    <w:rsid w:val="005170A9"/>
    <w:rsid w:val="00585007"/>
    <w:rsid w:val="005947B8"/>
    <w:rsid w:val="005E147F"/>
    <w:rsid w:val="0064397E"/>
    <w:rsid w:val="00683A6B"/>
    <w:rsid w:val="006C05DB"/>
    <w:rsid w:val="006E689D"/>
    <w:rsid w:val="00754413"/>
    <w:rsid w:val="0078287E"/>
    <w:rsid w:val="00846B45"/>
    <w:rsid w:val="008A5161"/>
    <w:rsid w:val="008C54C3"/>
    <w:rsid w:val="008F7E44"/>
    <w:rsid w:val="0091636B"/>
    <w:rsid w:val="009612CE"/>
    <w:rsid w:val="009826E3"/>
    <w:rsid w:val="00983675"/>
    <w:rsid w:val="00984EB3"/>
    <w:rsid w:val="009B066E"/>
    <w:rsid w:val="009F6282"/>
    <w:rsid w:val="00A572AF"/>
    <w:rsid w:val="00A9063F"/>
    <w:rsid w:val="00A91B17"/>
    <w:rsid w:val="00B64B09"/>
    <w:rsid w:val="00B83F49"/>
    <w:rsid w:val="00B86258"/>
    <w:rsid w:val="00C139A5"/>
    <w:rsid w:val="00C21CEF"/>
    <w:rsid w:val="00C34EF5"/>
    <w:rsid w:val="00CB2E5D"/>
    <w:rsid w:val="00D22A7B"/>
    <w:rsid w:val="00D35E8A"/>
    <w:rsid w:val="00DA0F6C"/>
    <w:rsid w:val="00DD1A54"/>
    <w:rsid w:val="00DE0F85"/>
    <w:rsid w:val="00DF3CE3"/>
    <w:rsid w:val="00E14C2D"/>
    <w:rsid w:val="00E449A3"/>
    <w:rsid w:val="00E8677E"/>
    <w:rsid w:val="00EB2C59"/>
    <w:rsid w:val="00EE7DD6"/>
    <w:rsid w:val="00EF1DCA"/>
    <w:rsid w:val="00F047A8"/>
    <w:rsid w:val="00F13D8F"/>
    <w:rsid w:val="00F4080C"/>
    <w:rsid w:val="00FB150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uiPriority w:val="99"/>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character" w:styleId="Emphasis">
    <w:name w:val="Emphasis"/>
    <w:basedOn w:val="DefaultParagraphFont"/>
    <w:uiPriority w:val="20"/>
    <w:qFormat/>
    <w:rsid w:val="00F13D8F"/>
    <w:rPr>
      <w:rFonts w:cs="Times New Roman"/>
      <w:i/>
      <w:rtl w:val="0"/>
      <w:cs w:val="0"/>
    </w:rPr>
  </w:style>
  <w:style w:type="paragraph" w:styleId="BalloonText">
    <w:name w:val="Balloon Text"/>
    <w:basedOn w:val="Normal"/>
    <w:link w:val="TextbublinyChar"/>
    <w:uiPriority w:val="99"/>
    <w:rsid w:val="008F7E44"/>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8F7E44"/>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4</Pages>
  <Words>1606</Words>
  <Characters>9158</Characters>
  <Application>Microsoft Office Word</Application>
  <DocSecurity>0</DocSecurity>
  <Lines>0</Lines>
  <Paragraphs>0</Paragraphs>
  <ScaleCrop>false</ScaleCrop>
  <Company>ÚV SR</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Matyasovszky Pavol</cp:lastModifiedBy>
  <cp:revision>5</cp:revision>
  <cp:lastPrinted>2014-04-01T11:25:00Z</cp:lastPrinted>
  <dcterms:created xsi:type="dcterms:W3CDTF">2014-02-26T12:23:00Z</dcterms:created>
  <dcterms:modified xsi:type="dcterms:W3CDTF">2014-04-01T11:27:00Z</dcterms:modified>
</cp:coreProperties>
</file>