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D20DA">
      <w:pPr>
        <w:widowControl w:val="0"/>
        <w:autoSpaceDE w:val="0"/>
        <w:autoSpaceDN w:val="0"/>
        <w:bidi w:val="0"/>
        <w:adjustRightInd w:val="0"/>
        <w:spacing w:before="72"/>
        <w:ind w:left="216" w:right="-13"/>
        <w:jc w:val="center"/>
        <w:rPr>
          <w:rFonts w:ascii="Times New Roman" w:hAnsi="Times New Roman"/>
          <w:b/>
          <w:bCs/>
          <w:kern w:val="1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pacing w:val="121"/>
          <w:kern w:val="1"/>
          <w:sz w:val="24"/>
          <w:szCs w:val="24"/>
          <w:lang w:val="en-US"/>
        </w:rPr>
        <w:t>DOLOŽKA </w:t>
      </w:r>
      <w:r>
        <w:rPr>
          <w:rFonts w:ascii="Times New Roman" w:hAnsi="Times New Roman"/>
          <w:b/>
          <w:bCs/>
          <w:kern w:val="1"/>
          <w:sz w:val="24"/>
          <w:szCs w:val="24"/>
          <w:lang w:val="en-US"/>
        </w:rPr>
        <w:t>vybraných vplyvov</w:t>
      </w:r>
    </w:p>
    <w:p w:rsidR="005D20DA">
      <w:pPr>
        <w:widowControl w:val="0"/>
        <w:autoSpaceDE w:val="0"/>
        <w:autoSpaceDN w:val="0"/>
        <w:bidi w:val="0"/>
        <w:adjustRightInd w:val="0"/>
        <w:spacing w:before="468"/>
        <w:ind w:left="72" w:right="-13"/>
        <w:rPr>
          <w:rFonts w:ascii="Times New Roman" w:hAnsi="Times New Roman"/>
          <w:b/>
          <w:bCs/>
          <w:kern w:val="1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1"/>
          <w:sz w:val="24"/>
          <w:szCs w:val="24"/>
          <w:lang w:val="en-US"/>
        </w:rPr>
        <w:t>A.1. Názov materiálu:</w:t>
      </w:r>
    </w:p>
    <w:p w:rsidR="005D20DA">
      <w:pPr>
        <w:widowControl w:val="0"/>
        <w:autoSpaceDE w:val="0"/>
        <w:autoSpaceDN w:val="0"/>
        <w:bidi w:val="0"/>
        <w:adjustRightInd w:val="0"/>
        <w:ind w:left="720" w:right="-13"/>
        <w:rPr>
          <w:rFonts w:ascii="Times New Roman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spacing w:val="-8"/>
          <w:kern w:val="1"/>
          <w:sz w:val="24"/>
          <w:szCs w:val="24"/>
          <w:lang w:val="en-US"/>
        </w:rPr>
        <w:t xml:space="preserve">Návrh zákona o ochrane osôb pri odhaľovaní trestnej činnosti súvisiacej s korupčnýrni </w:t>
      </w:r>
      <w:r>
        <w:rPr>
          <w:rFonts w:ascii="Times New Roman" w:hAnsi="Times New Roman"/>
          <w:kern w:val="1"/>
          <w:sz w:val="24"/>
          <w:szCs w:val="24"/>
          <w:lang w:val="en-US"/>
        </w:rPr>
        <w:t>a inými vybranými trestnými činmi</w:t>
      </w:r>
    </w:p>
    <w:p w:rsidR="005D20DA">
      <w:pPr>
        <w:widowControl w:val="0"/>
        <w:autoSpaceDE w:val="0"/>
        <w:autoSpaceDN w:val="0"/>
        <w:bidi w:val="0"/>
        <w:adjustRightInd w:val="0"/>
        <w:spacing w:before="504" w:line="276" w:lineRule="auto"/>
        <w:ind w:left="504" w:right="-13"/>
        <w:rPr>
          <w:rFonts w:ascii="Times New Roman" w:hAnsi="Times New Roman"/>
          <w:b/>
          <w:bCs/>
          <w:kern w:val="1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1"/>
          <w:sz w:val="24"/>
          <w:szCs w:val="24"/>
          <w:lang w:val="en-US"/>
        </w:rPr>
        <w:t>Termín začatia a ukončenia PPK:</w:t>
      </w:r>
    </w:p>
    <w:p w:rsidR="005D20DA">
      <w:pPr>
        <w:widowControl w:val="0"/>
        <w:autoSpaceDE w:val="0"/>
        <w:autoSpaceDN w:val="0"/>
        <w:bidi w:val="0"/>
        <w:adjustRightInd w:val="0"/>
        <w:spacing w:before="468"/>
        <w:ind w:left="72" w:right="-13"/>
        <w:rPr>
          <w:rFonts w:ascii="Times New Roman" w:hAnsi="Times New Roman"/>
          <w:b/>
          <w:bCs/>
          <w:spacing w:val="22"/>
          <w:kern w:val="1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pacing w:val="22"/>
          <w:kern w:val="1"/>
          <w:sz w:val="24"/>
          <w:szCs w:val="24"/>
          <w:lang w:val="en-US"/>
        </w:rPr>
        <w:t>A.2. V I :</w:t>
      </w:r>
    </w:p>
    <w:tbl>
      <w:tblPr>
        <w:tblStyle w:val="TableNormal"/>
        <w:tblW w:w="0" w:type="auto"/>
        <w:tblLayout w:type="fixed"/>
        <w:tblCellMar>
          <w:top w:w="0" w:type="dxa"/>
          <w:bottom w:w="0" w:type="dxa"/>
        </w:tblCellMar>
      </w:tblPr>
      <w:tblGrid>
        <w:gridCol w:w="5283"/>
        <w:gridCol w:w="1127"/>
        <w:gridCol w:w="1066"/>
        <w:gridCol w:w="1164"/>
      </w:tblGrid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c>
          <w:tcPr>
            <w:tcW w:w="528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1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52"/>
              <w:jc w:val="right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  <w:t>Pozitívne</w:t>
            </w:r>
          </w:p>
        </w:tc>
        <w:tc>
          <w:tcPr>
            <w:tcW w:w="106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  <w:t>žiadne</w:t>
            </w:r>
          </w:p>
        </w:tc>
        <w:tc>
          <w:tcPr>
            <w:tcW w:w="116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  <w:t>Negatívne</w:t>
            </w: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c>
          <w:tcPr>
            <w:tcW w:w="528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  <w:t>1. Vplyvy na rozpočet verejnej správy</w:t>
            </w:r>
          </w:p>
        </w:tc>
        <w:tc>
          <w:tcPr>
            <w:tcW w:w="11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right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16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x</w:t>
            </w: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c>
          <w:tcPr>
            <w:tcW w:w="528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  <w:t>2. Vplyvy na podnikateľské prostredie — dochádza k</w:t>
            </w:r>
          </w:p>
          <w:p w:rsidR="005D20DA">
            <w:pPr>
              <w:widowControl w:val="0"/>
              <w:autoSpaceDE w:val="0"/>
              <w:autoSpaceDN w:val="0"/>
              <w:bidi w:val="0"/>
              <w:adjustRightInd w:val="0"/>
              <w:spacing w:line="228" w:lineRule="auto"/>
              <w:ind w:right="-13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  <w:t>zvýšeniu regulačného zaťaženia?</w:t>
            </w:r>
          </w:p>
        </w:tc>
        <w:tc>
          <w:tcPr>
            <w:tcW w:w="11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right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  <w:t>x</w:t>
            </w:r>
          </w:p>
        </w:tc>
        <w:tc>
          <w:tcPr>
            <w:tcW w:w="116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c>
          <w:tcPr>
            <w:tcW w:w="528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  <w:t>3. Sociálne vplyvy</w:t>
            </w:r>
          </w:p>
        </w:tc>
        <w:tc>
          <w:tcPr>
            <w:tcW w:w="11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right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  <w:t>x</w:t>
            </w:r>
          </w:p>
        </w:tc>
        <w:tc>
          <w:tcPr>
            <w:tcW w:w="116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c>
          <w:tcPr>
            <w:tcW w:w="528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  <w:t>— vplyvy na hospodárenie obyvateľstva,</w:t>
            </w:r>
          </w:p>
        </w:tc>
        <w:tc>
          <w:tcPr>
            <w:tcW w:w="11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right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16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c>
          <w:tcPr>
            <w:tcW w:w="528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  <w:t>— sociálnu exklúziu,</w:t>
            </w:r>
          </w:p>
        </w:tc>
        <w:tc>
          <w:tcPr>
            <w:tcW w:w="11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right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16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c>
          <w:tcPr>
            <w:tcW w:w="528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  <w:t>— rovnosť príležitostí a rodovú rovnosť a vplyvy na</w:t>
            </w:r>
          </w:p>
          <w:p w:rsidR="005D20DA">
            <w:pPr>
              <w:widowControl w:val="0"/>
              <w:autoSpaceDE w:val="0"/>
              <w:autoSpaceDN w:val="0"/>
              <w:bidi w:val="0"/>
              <w:adjustRightInd w:val="0"/>
              <w:spacing w:line="220" w:lineRule="auto"/>
              <w:ind w:right="-13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  <w:t>zamestnanosť</w:t>
            </w:r>
          </w:p>
        </w:tc>
        <w:tc>
          <w:tcPr>
            <w:tcW w:w="11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right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16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c>
          <w:tcPr>
            <w:tcW w:w="528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  <w:t>4. Vplyvy na životné prostredie</w:t>
            </w:r>
          </w:p>
        </w:tc>
        <w:tc>
          <w:tcPr>
            <w:tcW w:w="11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right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  <w:t>x</w:t>
            </w:r>
          </w:p>
        </w:tc>
        <w:tc>
          <w:tcPr>
            <w:tcW w:w="116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c>
          <w:tcPr>
            <w:tcW w:w="528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  <w:t>5. Vplyvy na informatizáciu spoločnosti</w:t>
            </w:r>
          </w:p>
        </w:tc>
        <w:tc>
          <w:tcPr>
            <w:tcW w:w="11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right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  <w:t>x</w:t>
            </w:r>
          </w:p>
        </w:tc>
        <w:tc>
          <w:tcPr>
            <w:tcW w:w="116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</w:p>
        </w:tc>
      </w:tr>
    </w:tbl>
    <w:p w:rsidR="005D20DA">
      <w:pPr>
        <w:widowControl w:val="0"/>
        <w:autoSpaceDE w:val="0"/>
        <w:autoSpaceDN w:val="0"/>
        <w:bidi w:val="0"/>
        <w:adjustRightInd w:val="0"/>
        <w:spacing w:after="448" w:line="20" w:lineRule="exact"/>
        <w:ind w:right="-13"/>
        <w:rPr>
          <w:rFonts w:ascii="Times New Roman" w:hAnsi="Times New Roman"/>
          <w:kern w:val="1"/>
          <w:sz w:val="24"/>
          <w:szCs w:val="24"/>
          <w:lang w:val="en-US"/>
        </w:rPr>
      </w:pPr>
    </w:p>
    <w:p w:rsidR="005D20DA">
      <w:pPr>
        <w:widowControl w:val="0"/>
        <w:autoSpaceDE w:val="0"/>
        <w:autoSpaceDN w:val="0"/>
        <w:bidi w:val="0"/>
        <w:adjustRightInd w:val="0"/>
        <w:ind w:right="-13"/>
        <w:jc w:val="both"/>
        <w:rPr>
          <w:rFonts w:ascii="Times New Roman" w:hAnsi="Times New Roman"/>
          <w:b/>
          <w:bCs/>
          <w:kern w:val="1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1"/>
          <w:sz w:val="24"/>
          <w:szCs w:val="24"/>
          <w:lang w:val="en-US"/>
        </w:rPr>
        <w:t>A.3. Poznámky</w:t>
      </w:r>
    </w:p>
    <w:p w:rsidR="005D20DA">
      <w:pPr>
        <w:widowControl w:val="0"/>
        <w:autoSpaceDE w:val="0"/>
        <w:autoSpaceDN w:val="0"/>
        <w:bidi w:val="0"/>
        <w:adjustRightInd w:val="0"/>
        <w:ind w:right="-13" w:firstLine="648"/>
        <w:jc w:val="both"/>
        <w:rPr>
          <w:rFonts w:ascii="Times New Roman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spacing w:val="-4"/>
          <w:kern w:val="1"/>
          <w:sz w:val="24"/>
          <w:szCs w:val="24"/>
          <w:lang w:val="en-US"/>
        </w:rPr>
        <w:t xml:space="preserve">Návrh zákona bude mať dopad na štátny rozpočet v súvislosti s právnou možnosťou </w:t>
      </w:r>
      <w:r>
        <w:rPr>
          <w:rFonts w:ascii="Times New Roman" w:hAnsi="Times New Roman"/>
          <w:spacing w:val="-2"/>
          <w:kern w:val="1"/>
          <w:sz w:val="24"/>
          <w:szCs w:val="24"/>
          <w:lang w:val="en-US"/>
        </w:rPr>
        <w:t xml:space="preserve">poskytnutia odmeny chránenej osobe. Na poskytnutie odmeny nie je právny nárok, naviac </w:t>
      </w:r>
      <w:r>
        <w:rPr>
          <w:rFonts w:ascii="Times New Roman" w:hAnsi="Times New Roman"/>
          <w:spacing w:val="5"/>
          <w:kern w:val="1"/>
          <w:sz w:val="24"/>
          <w:szCs w:val="24"/>
          <w:lang w:val="en-US"/>
        </w:rPr>
        <w:t xml:space="preserve">návrh zákona predstavuje v právnom poriadku Slovenskej republiky právne nóvum, </w:t>
      </w:r>
      <w:r>
        <w:rPr>
          <w:rFonts w:ascii="Times New Roman" w:hAnsi="Times New Roman"/>
          <w:kern w:val="1"/>
          <w:sz w:val="24"/>
          <w:szCs w:val="24"/>
          <w:lang w:val="en-US"/>
        </w:rPr>
        <w:t>preto v tomto štádiu nie je možné kvantifíkovať dopad na štátny rozpočet.</w:t>
      </w:r>
    </w:p>
    <w:sectPr>
      <w:pgSz w:w="11905" w:h="16837"/>
      <w:pgMar w:top="2023" w:right="1600" w:bottom="6121" w:left="1618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990B6E"/>
    <w:rsid w:val="005D20DA"/>
    <w:rsid w:val="00687A0F"/>
    <w:rsid w:val="00990B6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cs-CZ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141</Words>
  <Characters>807</Characters>
  <Application>Microsoft Office Word</Application>
  <DocSecurity>0</DocSecurity>
  <Lines>0</Lines>
  <Paragraphs>0</Paragraphs>
  <ScaleCrop>false</ScaleCrop>
  <Company>Kancelaria NR SR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Dobránsky, Marek</dc:creator>
  <cp:lastModifiedBy>Gašparíková, Jarmila</cp:lastModifiedBy>
  <cp:revision>2</cp:revision>
  <dcterms:created xsi:type="dcterms:W3CDTF">2014-04-01T11:12:00Z</dcterms:created>
  <dcterms:modified xsi:type="dcterms:W3CDTF">2014-04-01T11:12:00Z</dcterms:modified>
</cp:coreProperties>
</file>