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A5DC2" w:rsidRPr="00F046BA" w:rsidP="003F758D">
      <w:pPr>
        <w:pStyle w:val="Heading1"/>
        <w:bidi w:val="0"/>
        <w:spacing w:line="240" w:lineRule="auto"/>
        <w:ind w:firstLine="540"/>
        <w:rPr>
          <w:rFonts w:ascii="Arial" w:hAnsi="Arial" w:cs="Arial"/>
          <w:b w:val="0"/>
          <w:bCs/>
          <w:i/>
          <w:iCs/>
        </w:rPr>
      </w:pPr>
      <w:r w:rsidR="00F06819">
        <w:rPr>
          <w:rFonts w:ascii="Arial" w:hAnsi="Arial" w:cs="Arial"/>
          <w:b w:val="0"/>
          <w:bCs/>
          <w:i/>
          <w:iCs/>
        </w:rPr>
        <w:t xml:space="preserve">   </w:t>
      </w:r>
      <w:r w:rsidRPr="00F046BA">
        <w:rPr>
          <w:rFonts w:ascii="Arial" w:hAnsi="Arial" w:cs="Arial"/>
          <w:b w:val="0"/>
          <w:bCs/>
          <w:i/>
          <w:iCs/>
        </w:rPr>
        <w:t xml:space="preserve">             Výbor</w:t>
      </w:r>
    </w:p>
    <w:p w:rsidR="00EA5DC2" w:rsidRPr="00F046BA" w:rsidP="003F758D">
      <w:pPr>
        <w:bidi w:val="0"/>
        <w:jc w:val="both"/>
        <w:rPr>
          <w:rFonts w:ascii="Arial" w:hAnsi="Arial" w:cs="Arial"/>
          <w:i/>
        </w:rPr>
      </w:pPr>
      <w:r w:rsidRPr="00F046BA">
        <w:rPr>
          <w:rFonts w:ascii="Arial" w:hAnsi="Arial" w:cs="Arial"/>
          <w:i/>
        </w:rPr>
        <w:t xml:space="preserve"> Národnej rady Slovenskej republiky</w:t>
      </w:r>
    </w:p>
    <w:p w:rsidR="00C34355" w:rsidP="003F758D">
      <w:pPr>
        <w:bidi w:val="0"/>
        <w:jc w:val="both"/>
        <w:rPr>
          <w:rFonts w:ascii="Arial" w:hAnsi="Arial" w:cs="Arial"/>
          <w:i/>
        </w:rPr>
      </w:pPr>
      <w:r w:rsidRPr="00F046BA" w:rsidR="00EA5DC2">
        <w:rPr>
          <w:rFonts w:ascii="Arial" w:hAnsi="Arial" w:cs="Arial"/>
          <w:i/>
        </w:rPr>
        <w:t xml:space="preserve">      pre hospodárske záležitosti</w:t>
      </w:r>
    </w:p>
    <w:p w:rsidR="00EA5DC2" w:rsidRPr="00F046BA" w:rsidP="00255451">
      <w:pPr>
        <w:bidi w:val="0"/>
        <w:ind w:firstLine="567"/>
        <w:jc w:val="both"/>
        <w:rPr>
          <w:rFonts w:ascii="Arial" w:hAnsi="Arial" w:cs="Arial"/>
        </w:rPr>
      </w:pPr>
      <w:r w:rsidRPr="00F046BA">
        <w:rPr>
          <w:rFonts w:ascii="Arial" w:hAnsi="Arial" w:cs="Arial"/>
        </w:rPr>
        <w:t xml:space="preserve">                                                                </w:t>
      </w:r>
      <w:r w:rsidRPr="00F046BA" w:rsidR="000F2CA6">
        <w:rPr>
          <w:rFonts w:ascii="Arial" w:hAnsi="Arial" w:cs="Arial"/>
        </w:rPr>
        <w:t xml:space="preserve">          </w:t>
      </w:r>
      <w:r w:rsidR="00444C9D">
        <w:rPr>
          <w:rFonts w:ascii="Arial" w:hAnsi="Arial" w:cs="Arial"/>
        </w:rPr>
        <w:t xml:space="preserve"> </w:t>
      </w:r>
      <w:r w:rsidR="00F8433D">
        <w:rPr>
          <w:rFonts w:ascii="Arial" w:hAnsi="Arial" w:cs="Arial"/>
        </w:rPr>
        <w:t>51</w:t>
      </w:r>
      <w:r w:rsidRPr="00F046BA">
        <w:rPr>
          <w:rFonts w:ascii="Arial" w:hAnsi="Arial" w:cs="Arial"/>
        </w:rPr>
        <w:t>. schôdza výboru</w:t>
      </w:r>
    </w:p>
    <w:p w:rsidR="00C34355" w:rsidP="003F758D">
      <w:pPr>
        <w:pStyle w:val="BodyTextIndent"/>
        <w:bidi w:val="0"/>
        <w:rPr>
          <w:rFonts w:ascii="Arial" w:hAnsi="Arial" w:cs="Arial"/>
          <w:iCs/>
          <w:color w:val="auto"/>
          <w:lang w:val="sk-SK"/>
        </w:rPr>
      </w:pPr>
      <w:r w:rsidRPr="00F046BA" w:rsidR="00EA5DC2">
        <w:rPr>
          <w:rFonts w:ascii="Arial" w:hAnsi="Arial" w:cs="Arial"/>
          <w:color w:val="auto"/>
          <w:lang w:val="sk-SK"/>
        </w:rPr>
        <w:t xml:space="preserve">                                                            </w:t>
      </w:r>
      <w:r w:rsidRPr="00F046BA" w:rsidR="000F2CA6">
        <w:rPr>
          <w:rFonts w:ascii="Arial" w:hAnsi="Arial" w:cs="Arial"/>
          <w:color w:val="auto"/>
          <w:lang w:val="sk-SK"/>
        </w:rPr>
        <w:t xml:space="preserve">               Číslo: CRD -  </w:t>
      </w:r>
      <w:r w:rsidR="00F8433D">
        <w:rPr>
          <w:rFonts w:ascii="Arial" w:hAnsi="Arial" w:cs="Arial"/>
          <w:color w:val="auto"/>
          <w:lang w:val="sk-SK"/>
        </w:rPr>
        <w:t>2508</w:t>
      </w:r>
      <w:r w:rsidRPr="00F046BA" w:rsidR="00EA5DC2">
        <w:rPr>
          <w:rFonts w:ascii="Arial" w:hAnsi="Arial" w:cs="Arial"/>
          <w:iCs/>
          <w:color w:val="auto"/>
          <w:lang w:val="sk-SK"/>
        </w:rPr>
        <w:t>/201</w:t>
      </w:r>
      <w:r w:rsidR="008B0E59">
        <w:rPr>
          <w:rFonts w:ascii="Arial" w:hAnsi="Arial" w:cs="Arial"/>
          <w:iCs/>
          <w:color w:val="auto"/>
          <w:lang w:val="sk-SK"/>
        </w:rPr>
        <w:t>3</w:t>
      </w:r>
      <w:r w:rsidRPr="00F046BA" w:rsidR="00EA5DC2">
        <w:rPr>
          <w:rFonts w:ascii="Arial" w:hAnsi="Arial" w:cs="Arial"/>
          <w:iCs/>
          <w:color w:val="auto"/>
          <w:lang w:val="sk-SK"/>
        </w:rPr>
        <w:t xml:space="preserve"> - VHZ </w:t>
      </w:r>
    </w:p>
    <w:p w:rsidR="00343505" w:rsidP="003F758D">
      <w:pPr>
        <w:pStyle w:val="BodyTextIndent"/>
        <w:bidi w:val="0"/>
        <w:rPr>
          <w:rFonts w:ascii="Arial" w:hAnsi="Arial" w:cs="Arial"/>
          <w:iCs/>
          <w:color w:val="auto"/>
          <w:lang w:val="sk-SK"/>
        </w:rPr>
      </w:pPr>
    </w:p>
    <w:p w:rsidR="00343505" w:rsidP="003F758D">
      <w:pPr>
        <w:pStyle w:val="BodyTextIndent"/>
        <w:bidi w:val="0"/>
        <w:rPr>
          <w:rFonts w:ascii="Arial" w:hAnsi="Arial" w:cs="Arial"/>
          <w:iCs/>
          <w:color w:val="auto"/>
          <w:lang w:val="sk-SK"/>
        </w:rPr>
      </w:pPr>
    </w:p>
    <w:p w:rsidR="00343505" w:rsidP="003F758D">
      <w:pPr>
        <w:pStyle w:val="BodyTextIndent"/>
        <w:bidi w:val="0"/>
        <w:rPr>
          <w:rFonts w:ascii="Arial" w:hAnsi="Arial" w:cs="Arial"/>
          <w:iCs/>
          <w:color w:val="auto"/>
          <w:lang w:val="sk-SK"/>
        </w:rPr>
      </w:pPr>
    </w:p>
    <w:p w:rsidR="00EA5DC2" w:rsidP="003F758D">
      <w:pPr>
        <w:bidi w:val="0"/>
        <w:jc w:val="center"/>
        <w:rPr>
          <w:rFonts w:ascii="Arial" w:hAnsi="Arial" w:cs="Arial"/>
          <w:b/>
          <w:sz w:val="32"/>
          <w:szCs w:val="28"/>
        </w:rPr>
      </w:pPr>
      <w:r w:rsidR="00A0089E">
        <w:rPr>
          <w:rFonts w:ascii="Arial" w:hAnsi="Arial" w:cs="Arial"/>
          <w:b/>
          <w:sz w:val="32"/>
          <w:szCs w:val="28"/>
        </w:rPr>
        <w:t>281</w:t>
      </w:r>
    </w:p>
    <w:p w:rsidR="00EA5DC2" w:rsidRPr="002459B3" w:rsidP="003F758D">
      <w:pPr>
        <w:pStyle w:val="Heading2"/>
        <w:bidi w:val="0"/>
        <w:spacing w:line="240" w:lineRule="auto"/>
        <w:rPr>
          <w:rFonts w:ascii="Arial" w:hAnsi="Arial" w:cs="Arial"/>
          <w:b/>
          <w:color w:val="auto"/>
          <w:lang w:val="sk-SK"/>
        </w:rPr>
      </w:pPr>
      <w:r w:rsidRPr="002459B3">
        <w:rPr>
          <w:rFonts w:ascii="Arial" w:hAnsi="Arial" w:cs="Arial"/>
          <w:b/>
          <w:color w:val="auto"/>
          <w:lang w:val="sk-SK"/>
        </w:rPr>
        <w:t>U z n e s e n i e</w:t>
      </w:r>
    </w:p>
    <w:p w:rsidR="00EA5DC2" w:rsidRPr="00F046BA" w:rsidP="003F758D">
      <w:pPr>
        <w:bidi w:val="0"/>
        <w:jc w:val="center"/>
        <w:rPr>
          <w:rFonts w:ascii="Arial" w:hAnsi="Arial" w:cs="Arial"/>
          <w:b/>
        </w:rPr>
      </w:pPr>
      <w:r w:rsidRPr="00F046BA">
        <w:rPr>
          <w:rFonts w:ascii="Arial" w:hAnsi="Arial" w:cs="Arial"/>
          <w:b/>
        </w:rPr>
        <w:t>Výboru Národnej rady Slovenskej republiky</w:t>
      </w:r>
    </w:p>
    <w:p w:rsidR="00EA5DC2" w:rsidRPr="00F046BA" w:rsidP="003F758D">
      <w:pPr>
        <w:bidi w:val="0"/>
        <w:jc w:val="center"/>
        <w:rPr>
          <w:rFonts w:ascii="Arial" w:hAnsi="Arial" w:cs="Arial"/>
          <w:b/>
        </w:rPr>
      </w:pPr>
      <w:r w:rsidRPr="00F046BA">
        <w:rPr>
          <w:rFonts w:ascii="Arial" w:hAnsi="Arial" w:cs="Arial"/>
          <w:b/>
        </w:rPr>
        <w:t>pre hospodárske záležitosti</w:t>
      </w:r>
    </w:p>
    <w:p w:rsidR="005242C8" w:rsidP="00C34355">
      <w:pPr>
        <w:bidi w:val="0"/>
        <w:jc w:val="center"/>
        <w:rPr>
          <w:rFonts w:ascii="Arial" w:hAnsi="Arial" w:cs="Arial"/>
        </w:rPr>
      </w:pPr>
      <w:r w:rsidR="00444C9D">
        <w:rPr>
          <w:rFonts w:ascii="Arial" w:hAnsi="Arial" w:cs="Arial"/>
        </w:rPr>
        <w:t>z</w:t>
      </w:r>
      <w:r w:rsidR="009B43AD">
        <w:rPr>
          <w:rFonts w:ascii="Arial" w:hAnsi="Arial" w:cs="Arial"/>
        </w:rPr>
        <w:t> </w:t>
      </w:r>
      <w:r w:rsidR="00F8433D">
        <w:rPr>
          <w:rFonts w:ascii="Arial" w:hAnsi="Arial" w:cs="Arial"/>
        </w:rPr>
        <w:t>18</w:t>
      </w:r>
      <w:r w:rsidR="009B43AD">
        <w:rPr>
          <w:rFonts w:ascii="Arial" w:hAnsi="Arial" w:cs="Arial"/>
        </w:rPr>
        <w:t>.</w:t>
      </w:r>
      <w:r w:rsidRPr="00F046BA" w:rsidR="00EA5DC2">
        <w:rPr>
          <w:rFonts w:ascii="Arial" w:hAnsi="Arial" w:cs="Arial"/>
        </w:rPr>
        <w:t xml:space="preserve"> </w:t>
      </w:r>
      <w:r w:rsidR="009B43AD">
        <w:rPr>
          <w:rFonts w:ascii="Arial" w:hAnsi="Arial" w:cs="Arial"/>
        </w:rPr>
        <w:t>marca</w:t>
      </w:r>
      <w:r w:rsidR="00444C9D">
        <w:rPr>
          <w:rFonts w:ascii="Arial" w:hAnsi="Arial" w:cs="Arial"/>
        </w:rPr>
        <w:t xml:space="preserve"> </w:t>
      </w:r>
      <w:r w:rsidRPr="00F046BA" w:rsidR="00EA5DC2">
        <w:rPr>
          <w:rFonts w:ascii="Arial" w:hAnsi="Arial" w:cs="Arial"/>
        </w:rPr>
        <w:t>201</w:t>
      </w:r>
      <w:r w:rsidR="00F8433D">
        <w:rPr>
          <w:rFonts w:ascii="Arial" w:hAnsi="Arial" w:cs="Arial"/>
        </w:rPr>
        <w:t>4</w:t>
      </w:r>
    </w:p>
    <w:p w:rsidR="00C34355" w:rsidRPr="00F046BA" w:rsidP="00C34355">
      <w:pPr>
        <w:bidi w:val="0"/>
        <w:jc w:val="center"/>
        <w:rPr>
          <w:rFonts w:ascii="Arial" w:hAnsi="Arial" w:cs="Arial"/>
        </w:rPr>
      </w:pPr>
    </w:p>
    <w:p w:rsidR="005242C8" w:rsidRPr="00444C9D" w:rsidP="003F758D">
      <w:pPr>
        <w:pStyle w:val="BodyTextIndent"/>
        <w:bidi w:val="0"/>
        <w:ind w:firstLine="360"/>
        <w:rPr>
          <w:rFonts w:ascii="Arial" w:hAnsi="Arial" w:cs="Arial"/>
          <w:color w:val="auto"/>
          <w:lang w:val="sk-SK"/>
        </w:rPr>
      </w:pPr>
      <w:r w:rsidRPr="006D6597">
        <w:rPr>
          <w:rFonts w:ascii="Arial" w:hAnsi="Arial" w:cs="Arial"/>
          <w:color w:val="auto"/>
          <w:lang w:val="sk-SK"/>
        </w:rPr>
        <w:t xml:space="preserve">     k</w:t>
      </w:r>
      <w:r w:rsidRPr="006D6597" w:rsidR="00F046BA">
        <w:rPr>
          <w:rFonts w:ascii="Arial" w:hAnsi="Arial" w:cs="Arial"/>
          <w:color w:val="auto"/>
          <w:lang w:val="sk-SK"/>
        </w:rPr>
        <w:t> </w:t>
      </w:r>
      <w:r w:rsidRPr="006D6597" w:rsidR="006D6597">
        <w:rPr>
          <w:rFonts w:ascii="Arial" w:hAnsi="Arial" w:cs="Arial"/>
          <w:color w:val="auto"/>
        </w:rPr>
        <w:t>vlá</w:t>
      </w:r>
      <w:r w:rsidRPr="00B73B73" w:rsidR="006D6597">
        <w:rPr>
          <w:rFonts w:ascii="Arial" w:hAnsi="Arial" w:cs="Arial"/>
          <w:color w:val="auto"/>
        </w:rPr>
        <w:t>dnemu</w:t>
      </w:r>
      <w:r w:rsidRPr="00B73B73" w:rsidR="006D6597">
        <w:rPr>
          <w:rFonts w:ascii="Arial" w:hAnsi="Arial" w:cs="Arial"/>
          <w:color w:val="auto"/>
          <w:szCs w:val="22"/>
        </w:rPr>
        <w:t xml:space="preserve"> </w:t>
      </w:r>
      <w:r w:rsidRPr="00E6126C" w:rsidR="006D6597">
        <w:rPr>
          <w:rFonts w:ascii="Arial" w:hAnsi="Arial" w:cs="Arial"/>
          <w:color w:val="auto"/>
          <w:szCs w:val="22"/>
        </w:rPr>
        <w:t xml:space="preserve">návrhu </w:t>
      </w:r>
      <w:r w:rsidR="00F8433D">
        <w:rPr>
          <w:rFonts w:ascii="Arial" w:hAnsi="Arial" w:cs="Arial"/>
          <w:color w:val="auto"/>
          <w:szCs w:val="22"/>
        </w:rPr>
        <w:t>zákona</w:t>
      </w:r>
      <w:r w:rsidRPr="00977DD0" w:rsidR="00977DD0">
        <w:rPr>
          <w:rFonts w:ascii="Arial" w:hAnsi="Arial" w:cs="Arial"/>
          <w:color w:val="auto"/>
          <w:szCs w:val="22"/>
        </w:rPr>
        <w:t xml:space="preserve"> </w:t>
      </w:r>
      <w:r w:rsidRPr="00F8433D" w:rsidR="00F8433D">
        <w:rPr>
          <w:rFonts w:ascii="Arial" w:hAnsi="Arial" w:cs="Arial"/>
          <w:noProof/>
          <w:color w:val="auto"/>
        </w:rPr>
        <w:t>o ochrane spotrebiteľa pri predaji tovaru alebo poskytovaní služieb na základe zmluvy uzavretej na diaľku alebo zmluvy uzavretej mimo prevádzkových priestorov predávajúceho a o zmene a doplnení niektorých zákonov</w:t>
      </w:r>
      <w:r w:rsidRPr="00F8433D" w:rsidR="00F8433D">
        <w:rPr>
          <w:rFonts w:ascii="Arial" w:hAnsi="Arial" w:cs="Arial"/>
          <w:b/>
          <w:noProof/>
          <w:color w:val="auto"/>
        </w:rPr>
        <w:t xml:space="preserve"> </w:t>
      </w:r>
      <w:r w:rsidRPr="00F8433D" w:rsidR="00F8433D">
        <w:rPr>
          <w:rFonts w:ascii="Arial" w:hAnsi="Arial" w:cs="Arial"/>
          <w:b/>
          <w:color w:val="auto"/>
        </w:rPr>
        <w:t>(tlač</w:t>
      </w:r>
      <w:r w:rsidRPr="00F8433D" w:rsidR="00F8433D">
        <w:rPr>
          <w:rFonts w:ascii="Arial" w:hAnsi="Arial" w:cs="Arial"/>
          <w:color w:val="auto"/>
        </w:rPr>
        <w:t xml:space="preserve"> </w:t>
      </w:r>
      <w:r w:rsidRPr="00F8433D" w:rsidR="00F8433D">
        <w:rPr>
          <w:rFonts w:ascii="Arial" w:hAnsi="Arial" w:cs="Arial"/>
          <w:b/>
          <w:color w:val="auto"/>
        </w:rPr>
        <w:t>820)</w:t>
      </w:r>
      <w:r w:rsidR="00E70D51">
        <w:rPr>
          <w:rFonts w:ascii="Arial" w:hAnsi="Arial" w:cs="Arial"/>
          <w:color w:val="auto"/>
        </w:rPr>
        <w:t xml:space="preserve"> – znovuotvorená rozprava</w:t>
      </w:r>
    </w:p>
    <w:p w:rsidR="005242C8" w:rsidRPr="00F046BA" w:rsidP="003F758D">
      <w:pPr>
        <w:pStyle w:val="BodyTextIndent"/>
        <w:bidi w:val="0"/>
        <w:ind w:firstLine="360"/>
        <w:rPr>
          <w:rFonts w:ascii="Arial" w:hAnsi="Arial" w:cs="Arial"/>
          <w:b/>
          <w:bCs/>
          <w:color w:val="auto"/>
          <w:lang w:val="sk-SK"/>
        </w:rPr>
      </w:pPr>
    </w:p>
    <w:p w:rsidR="005242C8" w:rsidRPr="00F046BA" w:rsidP="003F758D">
      <w:pPr>
        <w:pStyle w:val="BodyTextIndent"/>
        <w:bidi w:val="0"/>
        <w:ind w:firstLine="360"/>
        <w:rPr>
          <w:rFonts w:ascii="Arial" w:hAnsi="Arial" w:cs="Arial"/>
          <w:b/>
          <w:bCs/>
          <w:color w:val="auto"/>
          <w:lang w:val="sk-SK"/>
        </w:rPr>
      </w:pPr>
      <w:r w:rsidRPr="00F046BA">
        <w:rPr>
          <w:rFonts w:ascii="Arial" w:hAnsi="Arial" w:cs="Arial"/>
          <w:b/>
          <w:bCs/>
          <w:color w:val="auto"/>
          <w:lang w:val="sk-SK"/>
        </w:rPr>
        <w:t xml:space="preserve">Výbor Národnej rady Slovenskej republiky </w:t>
      </w:r>
    </w:p>
    <w:p w:rsidR="00C34355" w:rsidP="003F758D">
      <w:pPr>
        <w:pStyle w:val="BodyTextIndent2"/>
        <w:bidi w:val="0"/>
        <w:ind w:firstLine="360"/>
        <w:rPr>
          <w:rFonts w:ascii="Arial" w:hAnsi="Arial" w:cs="Arial"/>
          <w:b/>
          <w:color w:val="auto"/>
          <w:lang w:val="sk-SK"/>
        </w:rPr>
      </w:pPr>
      <w:r w:rsidRPr="00F046BA" w:rsidR="005242C8">
        <w:rPr>
          <w:rFonts w:ascii="Arial" w:hAnsi="Arial" w:cs="Arial"/>
          <w:b/>
          <w:color w:val="auto"/>
          <w:lang w:val="sk-SK"/>
        </w:rPr>
        <w:t xml:space="preserve">pre </w:t>
      </w:r>
      <w:r w:rsidRPr="00F046BA" w:rsidR="00EA5DC2">
        <w:rPr>
          <w:rFonts w:ascii="Arial" w:hAnsi="Arial" w:cs="Arial"/>
          <w:b/>
          <w:color w:val="auto"/>
          <w:lang w:val="sk-SK"/>
        </w:rPr>
        <w:t>hospodárske záležitosti</w:t>
      </w:r>
    </w:p>
    <w:p w:rsidR="00CD3485" w:rsidP="00CD3485">
      <w:pPr>
        <w:pStyle w:val="BodyTextIndent2"/>
        <w:bidi w:val="0"/>
        <w:ind w:firstLine="360"/>
        <w:rPr>
          <w:rFonts w:ascii="Arial" w:hAnsi="Arial" w:cs="Arial"/>
          <w:b/>
          <w:color w:val="auto"/>
          <w:lang w:val="sk-SK"/>
        </w:rPr>
      </w:pPr>
      <w:r w:rsidRPr="0031566C" w:rsidR="005242C8">
        <w:rPr>
          <w:rFonts w:ascii="Arial" w:hAnsi="Arial" w:cs="Arial"/>
          <w:b/>
          <w:color w:val="auto"/>
          <w:lang w:val="sk-SK"/>
        </w:rPr>
        <w:t xml:space="preserve"> </w:t>
      </w:r>
    </w:p>
    <w:p w:rsidR="005242C8" w:rsidRPr="00F046BA" w:rsidP="00CD3485">
      <w:pPr>
        <w:pStyle w:val="BodyTextIndent2"/>
        <w:bidi w:val="0"/>
        <w:ind w:firstLine="360"/>
        <w:rPr>
          <w:rFonts w:ascii="Arial" w:hAnsi="Arial" w:cs="Arial"/>
          <w:color w:val="auto"/>
          <w:u w:val="single"/>
          <w:lang w:val="sk-SK"/>
        </w:rPr>
      </w:pPr>
      <w:r w:rsidR="00E70D51">
        <w:rPr>
          <w:rFonts w:ascii="Arial" w:hAnsi="Arial" w:cs="Arial"/>
          <w:b/>
          <w:color w:val="auto"/>
          <w:lang w:val="sk-SK"/>
        </w:rPr>
        <w:t xml:space="preserve">dopĺňa uznesenie </w:t>
      </w:r>
      <w:r w:rsidR="002459B3">
        <w:rPr>
          <w:rFonts w:ascii="Arial" w:hAnsi="Arial" w:cs="Arial"/>
          <w:color w:val="auto"/>
          <w:lang w:val="sk-SK"/>
        </w:rPr>
        <w:t xml:space="preserve">č. 271 </w:t>
      </w:r>
      <w:r w:rsidR="00F8433D">
        <w:rPr>
          <w:rFonts w:ascii="Arial" w:hAnsi="Arial" w:cs="Arial"/>
          <w:color w:val="auto"/>
          <w:lang w:val="sk-SK"/>
        </w:rPr>
        <w:t>z 11</w:t>
      </w:r>
      <w:r w:rsidRPr="00E70D51" w:rsidR="00E70D51">
        <w:rPr>
          <w:rFonts w:ascii="Arial" w:hAnsi="Arial" w:cs="Arial"/>
          <w:color w:val="auto"/>
          <w:lang w:val="sk-SK"/>
        </w:rPr>
        <w:t xml:space="preserve">. </w:t>
      </w:r>
      <w:r w:rsidR="00E70D51">
        <w:rPr>
          <w:rFonts w:ascii="Arial" w:hAnsi="Arial" w:cs="Arial"/>
          <w:color w:val="auto"/>
          <w:lang w:val="sk-SK"/>
        </w:rPr>
        <w:t>m</w:t>
      </w:r>
      <w:r w:rsidR="00F8433D">
        <w:rPr>
          <w:rFonts w:ascii="Arial" w:hAnsi="Arial" w:cs="Arial"/>
          <w:color w:val="auto"/>
          <w:lang w:val="sk-SK"/>
        </w:rPr>
        <w:t xml:space="preserve">arca 2014 </w:t>
      </w:r>
      <w:r w:rsidR="00E70D51">
        <w:rPr>
          <w:rFonts w:ascii="Arial" w:hAnsi="Arial" w:cs="Arial"/>
          <w:color w:val="auto"/>
          <w:lang w:val="sk-SK"/>
        </w:rPr>
        <w:t>k</w:t>
      </w:r>
      <w:r w:rsidR="00F046BA">
        <w:rPr>
          <w:rFonts w:ascii="Arial" w:hAnsi="Arial" w:cs="Arial"/>
          <w:color w:val="auto"/>
          <w:lang w:val="sk-SK"/>
        </w:rPr>
        <w:t xml:space="preserve"> vl</w:t>
      </w:r>
      <w:r w:rsidRPr="00B73B73" w:rsidR="00F046BA">
        <w:rPr>
          <w:rFonts w:ascii="Arial" w:hAnsi="Arial" w:cs="Arial"/>
          <w:color w:val="auto"/>
          <w:lang w:val="sk-SK"/>
        </w:rPr>
        <w:t>ádn</w:t>
      </w:r>
      <w:r w:rsidR="00E70D51">
        <w:rPr>
          <w:rFonts w:ascii="Arial" w:hAnsi="Arial" w:cs="Arial"/>
          <w:color w:val="auto"/>
          <w:lang w:val="sk-SK"/>
        </w:rPr>
        <w:t>emu</w:t>
      </w:r>
      <w:r w:rsidRPr="00B73B73" w:rsidR="00A96D39">
        <w:rPr>
          <w:rFonts w:ascii="Arial" w:hAnsi="Arial" w:cs="Arial"/>
          <w:color w:val="auto"/>
          <w:lang w:val="sk-SK"/>
        </w:rPr>
        <w:t> </w:t>
      </w:r>
      <w:r w:rsidRPr="00B73B73" w:rsidR="00171B83">
        <w:rPr>
          <w:rFonts w:ascii="Arial" w:hAnsi="Arial" w:cs="Arial"/>
          <w:color w:val="auto"/>
          <w:lang w:val="sk-SK"/>
        </w:rPr>
        <w:t>návrh</w:t>
      </w:r>
      <w:r w:rsidR="00E70D51">
        <w:rPr>
          <w:rFonts w:ascii="Arial" w:hAnsi="Arial" w:cs="Arial"/>
          <w:color w:val="auto"/>
          <w:lang w:val="sk-SK"/>
        </w:rPr>
        <w:t>u</w:t>
      </w:r>
      <w:r w:rsidRPr="00B73B73" w:rsidR="00171B83">
        <w:rPr>
          <w:rFonts w:ascii="Arial" w:hAnsi="Arial" w:cs="Arial"/>
          <w:color w:val="auto"/>
          <w:lang w:val="sk-SK"/>
        </w:rPr>
        <w:t xml:space="preserve"> </w:t>
      </w:r>
      <w:r w:rsidR="00F8433D">
        <w:rPr>
          <w:rFonts w:ascii="Arial" w:hAnsi="Arial" w:cs="Arial"/>
          <w:color w:val="auto"/>
          <w:szCs w:val="22"/>
        </w:rPr>
        <w:t>zákona</w:t>
      </w:r>
      <w:r w:rsidRPr="00977DD0" w:rsidR="00977DD0">
        <w:rPr>
          <w:rFonts w:ascii="Arial" w:hAnsi="Arial" w:cs="Arial"/>
          <w:color w:val="auto"/>
          <w:szCs w:val="22"/>
        </w:rPr>
        <w:t xml:space="preserve"> </w:t>
      </w:r>
      <w:r w:rsidRPr="00F8433D" w:rsidR="00F8433D">
        <w:rPr>
          <w:rFonts w:ascii="Arial" w:hAnsi="Arial" w:cs="Arial"/>
          <w:noProof/>
          <w:color w:val="auto"/>
        </w:rPr>
        <w:t>o ochrane spotrebiteľa pri predaji tovaru alebo poskytovaní služieb na základe zmluvy uzavretej na diaľku alebo zmluvy uzavretej mimo prevádzkových priestorov predávajúceho a o zmene a doplnení niektorých zákonov</w:t>
      </w:r>
      <w:r w:rsidRPr="00F8433D" w:rsidR="00F8433D">
        <w:rPr>
          <w:rFonts w:ascii="Arial" w:hAnsi="Arial" w:cs="Arial"/>
          <w:b/>
          <w:noProof/>
          <w:color w:val="auto"/>
        </w:rPr>
        <w:t xml:space="preserve"> </w:t>
      </w:r>
      <w:r w:rsidRPr="00F8433D" w:rsidR="00F8433D">
        <w:rPr>
          <w:rFonts w:ascii="Arial" w:hAnsi="Arial" w:cs="Arial"/>
          <w:b/>
          <w:color w:val="auto"/>
        </w:rPr>
        <w:t>(tlač</w:t>
      </w:r>
      <w:r w:rsidRPr="00F8433D" w:rsidR="00F8433D">
        <w:rPr>
          <w:rFonts w:ascii="Arial" w:hAnsi="Arial" w:cs="Arial"/>
          <w:color w:val="auto"/>
        </w:rPr>
        <w:t xml:space="preserve"> </w:t>
      </w:r>
      <w:r w:rsidRPr="00F8433D" w:rsidR="00F8433D">
        <w:rPr>
          <w:rFonts w:ascii="Arial" w:hAnsi="Arial" w:cs="Arial"/>
          <w:b/>
          <w:color w:val="auto"/>
        </w:rPr>
        <w:t>820)</w:t>
      </w:r>
      <w:r w:rsidR="00E70D51">
        <w:rPr>
          <w:rFonts w:ascii="Arial" w:hAnsi="Arial" w:cs="Arial"/>
          <w:color w:val="auto"/>
        </w:rPr>
        <w:t xml:space="preserve"> takto:</w:t>
      </w:r>
      <w:r w:rsidRPr="00F046BA">
        <w:rPr>
          <w:rFonts w:ascii="Arial" w:hAnsi="Arial" w:cs="Arial"/>
          <w:color w:val="auto"/>
          <w:lang w:val="sk-SK"/>
        </w:rPr>
        <w:t xml:space="preserve"> </w:t>
      </w:r>
    </w:p>
    <w:p w:rsidR="005242C8" w:rsidP="003F758D">
      <w:pPr>
        <w:tabs>
          <w:tab w:val="left" w:pos="-1985"/>
          <w:tab w:val="left" w:pos="709"/>
          <w:tab w:val="left" w:pos="1077"/>
        </w:tabs>
        <w:bidi w:val="0"/>
        <w:jc w:val="both"/>
        <w:rPr>
          <w:rFonts w:ascii="Arial" w:hAnsi="Arial" w:cs="Arial"/>
        </w:rPr>
      </w:pPr>
    </w:p>
    <w:p w:rsidR="00792165" w:rsidRPr="00792165" w:rsidP="00792165">
      <w:pPr>
        <w:tabs>
          <w:tab w:val="left" w:pos="284"/>
        </w:tabs>
        <w:bidi w:val="0"/>
        <w:jc w:val="both"/>
        <w:rPr>
          <w:rFonts w:ascii="Arial" w:hAnsi="Arial" w:cs="Arial"/>
          <w:b/>
        </w:rPr>
      </w:pPr>
      <w:r w:rsidRPr="00792165">
        <w:rPr>
          <w:rFonts w:ascii="Arial" w:hAnsi="Arial" w:cs="Arial"/>
          <w:b/>
        </w:rPr>
        <w:t>K Čl. I</w:t>
      </w:r>
    </w:p>
    <w:p w:rsidR="00792165" w:rsidRPr="00792165" w:rsidP="00792165">
      <w:pPr>
        <w:numPr>
          <w:numId w:val="44"/>
        </w:numPr>
        <w:tabs>
          <w:tab w:val="left" w:pos="284"/>
        </w:tabs>
        <w:bidi w:val="0"/>
        <w:contextualSpacing/>
        <w:jc w:val="both"/>
        <w:rPr>
          <w:rFonts w:ascii="Arial" w:hAnsi="Arial" w:cs="Arial"/>
        </w:rPr>
      </w:pPr>
      <w:r w:rsidRPr="00792165">
        <w:rPr>
          <w:rFonts w:ascii="Arial" w:hAnsi="Arial" w:cs="Arial"/>
        </w:rPr>
        <w:t>V § 10 sa za odsek 1 vkladá nový odsek 2, ktorý znie:</w:t>
      </w:r>
    </w:p>
    <w:p w:rsidR="00792165" w:rsidRPr="00792165" w:rsidP="00792165">
      <w:pPr>
        <w:tabs>
          <w:tab w:val="left" w:pos="284"/>
        </w:tabs>
        <w:bidi w:val="0"/>
        <w:ind w:left="360"/>
        <w:contextualSpacing/>
        <w:jc w:val="both"/>
        <w:rPr>
          <w:rFonts w:ascii="Arial" w:hAnsi="Arial" w:cs="Arial"/>
          <w:bCs/>
        </w:rPr>
      </w:pPr>
      <w:r w:rsidRPr="00792165">
        <w:rPr>
          <w:rFonts w:ascii="Arial" w:hAnsi="Arial" w:cs="Arial"/>
        </w:rPr>
        <w:t xml:space="preserve">„(2) </w:t>
      </w:r>
      <w:r w:rsidRPr="00792165">
        <w:rPr>
          <w:rFonts w:ascii="Arial" w:hAnsi="Arial" w:cs="Arial"/>
          <w:bCs/>
        </w:rPr>
        <w:t>Spotrebiteľ je oprávnený vrátenie tovaru, ktorý nadobudol na základe zmluvy uzavretej počas predajnej akcie alebo v súvislosti s ňou, predávajúcemu odoprieť až do doby, keď predávajúci spotrebiteľovi vráti zaplatenú cenu alebo preddavok za tovar alebo službu.</w:t>
      </w:r>
    </w:p>
    <w:p w:rsidR="00792165" w:rsidRPr="00792165" w:rsidP="00792165">
      <w:pPr>
        <w:tabs>
          <w:tab w:val="left" w:pos="284"/>
        </w:tabs>
        <w:bidi w:val="0"/>
        <w:ind w:left="360"/>
        <w:contextualSpacing/>
        <w:jc w:val="both"/>
        <w:rPr>
          <w:rFonts w:ascii="Arial" w:hAnsi="Arial" w:cs="Arial"/>
          <w:bCs/>
        </w:rPr>
      </w:pPr>
    </w:p>
    <w:p w:rsidR="00792165" w:rsidRPr="00792165" w:rsidP="00792165">
      <w:pPr>
        <w:tabs>
          <w:tab w:val="left" w:pos="284"/>
        </w:tabs>
        <w:bidi w:val="0"/>
        <w:contextualSpacing/>
        <w:jc w:val="both"/>
        <w:rPr>
          <w:rFonts w:ascii="Arial" w:hAnsi="Arial" w:cs="Arial"/>
        </w:rPr>
      </w:pPr>
      <w:r w:rsidRPr="00792165">
        <w:rPr>
          <w:rFonts w:ascii="Arial" w:hAnsi="Arial" w:cs="Arial"/>
        </w:rPr>
        <w:t>Doterajšie odseky 2 až 6 sa označujú ako odseky 3 až 7.</w:t>
      </w:r>
    </w:p>
    <w:p w:rsidR="00792165" w:rsidRPr="00792165" w:rsidP="00792165">
      <w:pPr>
        <w:tabs>
          <w:tab w:val="left" w:pos="284"/>
        </w:tabs>
        <w:bidi w:val="0"/>
        <w:ind w:left="360"/>
        <w:contextualSpacing/>
        <w:jc w:val="both"/>
        <w:rPr>
          <w:rFonts w:ascii="Arial" w:hAnsi="Arial" w:cs="Arial"/>
        </w:rPr>
      </w:pPr>
    </w:p>
    <w:p w:rsidR="00792165" w:rsidRPr="00792165" w:rsidP="00792165">
      <w:pPr>
        <w:pStyle w:val="PlainText"/>
        <w:bidi w:val="0"/>
        <w:jc w:val="both"/>
        <w:rPr>
          <w:rFonts w:ascii="Arial" w:hAnsi="Arial" w:cs="Arial"/>
          <w:sz w:val="24"/>
          <w:szCs w:val="24"/>
          <w:lang w:val="en-US"/>
        </w:rPr>
      </w:pPr>
      <w:r w:rsidRPr="00792165">
        <w:rPr>
          <w:rFonts w:ascii="Arial" w:hAnsi="Arial" w:cs="Arial"/>
          <w:sz w:val="24"/>
          <w:szCs w:val="24"/>
        </w:rPr>
        <w:t>V súvislosti s vložením odseku 2 a preznačením nasledujúcich odsekov sa vykoná preznačenie vnútorných odkazov v texte zákona [napr. v čl. I § 3 ods. 1 písm. i), § 3 ods. 1 písm. j), § 8 ods. 5, § 17 ods. 2</w:t>
      </w:r>
      <w:r w:rsidRPr="00792165">
        <w:rPr>
          <w:rFonts w:ascii="Arial" w:hAnsi="Arial" w:cs="Arial"/>
          <w:sz w:val="24"/>
          <w:szCs w:val="24"/>
          <w:lang w:val="en-US"/>
        </w:rPr>
        <w:t>].</w:t>
      </w:r>
    </w:p>
    <w:p w:rsidR="00792165" w:rsidRPr="00792165" w:rsidP="00792165">
      <w:pPr>
        <w:tabs>
          <w:tab w:val="left" w:pos="284"/>
        </w:tabs>
        <w:bidi w:val="0"/>
        <w:ind w:left="360"/>
        <w:contextualSpacing/>
        <w:jc w:val="both"/>
        <w:rPr>
          <w:rFonts w:ascii="Arial" w:hAnsi="Arial" w:cs="Arial"/>
        </w:rPr>
      </w:pPr>
    </w:p>
    <w:p w:rsidR="00792165" w:rsidRPr="00792165" w:rsidP="00792165">
      <w:pPr>
        <w:tabs>
          <w:tab w:val="left" w:pos="284"/>
        </w:tabs>
        <w:bidi w:val="0"/>
        <w:ind w:left="3540"/>
        <w:contextualSpacing/>
        <w:jc w:val="both"/>
        <w:rPr>
          <w:rFonts w:ascii="Arial" w:hAnsi="Arial" w:cs="Arial"/>
          <w:i/>
        </w:rPr>
      </w:pPr>
      <w:r w:rsidRPr="00792165">
        <w:rPr>
          <w:rFonts w:ascii="Arial" w:hAnsi="Arial" w:cs="Arial"/>
          <w:i/>
        </w:rPr>
        <w:t>Odôvodnenie:</w:t>
      </w:r>
    </w:p>
    <w:p w:rsidR="00792165" w:rsidRPr="00792165" w:rsidP="00792165">
      <w:pPr>
        <w:tabs>
          <w:tab w:val="left" w:pos="284"/>
        </w:tabs>
        <w:bidi w:val="0"/>
        <w:ind w:left="3540"/>
        <w:contextualSpacing/>
        <w:jc w:val="both"/>
        <w:rPr>
          <w:rFonts w:ascii="Arial" w:hAnsi="Arial" w:cs="Arial"/>
        </w:rPr>
      </w:pPr>
      <w:r w:rsidRPr="00792165">
        <w:rPr>
          <w:rFonts w:ascii="Arial" w:hAnsi="Arial" w:cs="Arial"/>
          <w:i/>
        </w:rPr>
        <w:t>Ustanovuje sa oprávnenie spotrebiteľa, ktorý odstúpil od zmluvy uzavretej na predajnej akcii alebo v súvislosti s ňou, nevrátiť predávajúcemu tovar, kým predávajúci nevráti spotrebiteľovi zaplatenú cenu alebo preddavok. Návrhom sa zachováva ustanovenie, ktoré už je obsiahnuté v § 8 ods. 3 zákona č. 108/2000 Z. z.</w:t>
      </w:r>
    </w:p>
    <w:p w:rsidR="00792165" w:rsidRPr="00792165" w:rsidP="00792165">
      <w:pPr>
        <w:tabs>
          <w:tab w:val="left" w:pos="3960"/>
        </w:tabs>
        <w:bidi w:val="0"/>
        <w:jc w:val="both"/>
        <w:rPr>
          <w:rFonts w:ascii="Arial" w:hAnsi="Arial" w:cs="Arial"/>
          <w:i/>
          <w:iCs/>
        </w:rPr>
      </w:pPr>
    </w:p>
    <w:p w:rsidR="00792165" w:rsidP="00792165">
      <w:pPr>
        <w:tabs>
          <w:tab w:val="left" w:pos="284"/>
        </w:tabs>
        <w:bidi w:val="0"/>
        <w:jc w:val="both"/>
        <w:rPr>
          <w:rFonts w:ascii="Arial" w:hAnsi="Arial" w:cs="Arial"/>
          <w:b/>
        </w:rPr>
      </w:pPr>
    </w:p>
    <w:p w:rsidR="00792165" w:rsidRPr="00792165" w:rsidP="00792165">
      <w:pPr>
        <w:tabs>
          <w:tab w:val="left" w:pos="284"/>
        </w:tabs>
        <w:bidi w:val="0"/>
        <w:jc w:val="both"/>
        <w:rPr>
          <w:rFonts w:ascii="Arial" w:hAnsi="Arial" w:cs="Arial"/>
          <w:b/>
        </w:rPr>
      </w:pPr>
      <w:r w:rsidRPr="00792165">
        <w:rPr>
          <w:rFonts w:ascii="Arial" w:hAnsi="Arial" w:cs="Arial"/>
          <w:b/>
        </w:rPr>
        <w:t>K Čl. II</w:t>
      </w:r>
    </w:p>
    <w:p w:rsidR="00792165" w:rsidRPr="00792165" w:rsidP="00792165">
      <w:pPr>
        <w:numPr>
          <w:numId w:val="44"/>
        </w:numPr>
        <w:tabs>
          <w:tab w:val="left" w:pos="284"/>
        </w:tabs>
        <w:bidi w:val="0"/>
        <w:contextualSpacing/>
        <w:jc w:val="both"/>
        <w:rPr>
          <w:rFonts w:ascii="Arial" w:hAnsi="Arial" w:cs="Arial"/>
        </w:rPr>
      </w:pPr>
      <w:r w:rsidRPr="00792165">
        <w:rPr>
          <w:rFonts w:ascii="Arial" w:hAnsi="Arial" w:cs="Arial"/>
        </w:rPr>
        <w:t>V Čl. II sa vkladá nový bod 1, ktorý znie:</w:t>
      </w:r>
    </w:p>
    <w:p w:rsidR="00792165" w:rsidRPr="00792165" w:rsidP="00792165">
      <w:pPr>
        <w:tabs>
          <w:tab w:val="left" w:pos="284"/>
        </w:tabs>
        <w:bidi w:val="0"/>
        <w:contextualSpacing/>
        <w:jc w:val="both"/>
        <w:rPr>
          <w:rFonts w:ascii="Arial" w:hAnsi="Arial" w:cs="Arial"/>
        </w:rPr>
      </w:pPr>
      <w:r w:rsidRPr="00792165">
        <w:rPr>
          <w:rFonts w:ascii="Arial" w:hAnsi="Arial" w:cs="Arial"/>
        </w:rPr>
        <w:t xml:space="preserve">„1. V § 52 ods. 2 sa na konci pripája táto veta: „Na všetky právne vzťahy, ktorých účastníkom je spotrebiteľ, sa vždy prednostne použijú ustanovenia Občianskeho zákonníka, aj keď by sa inak mali použiť normy obchodného práva.“.  </w:t>
      </w:r>
    </w:p>
    <w:p w:rsidR="00792165" w:rsidRPr="00792165" w:rsidP="00792165">
      <w:pPr>
        <w:tabs>
          <w:tab w:val="left" w:pos="284"/>
        </w:tabs>
        <w:bidi w:val="0"/>
        <w:contextualSpacing/>
        <w:jc w:val="both"/>
        <w:rPr>
          <w:rFonts w:ascii="Arial" w:hAnsi="Arial" w:cs="Arial"/>
        </w:rPr>
      </w:pPr>
    </w:p>
    <w:p w:rsidR="00792165" w:rsidRPr="00792165" w:rsidP="00792165">
      <w:pPr>
        <w:tabs>
          <w:tab w:val="left" w:pos="284"/>
        </w:tabs>
        <w:bidi w:val="0"/>
        <w:contextualSpacing/>
        <w:jc w:val="both"/>
        <w:rPr>
          <w:rFonts w:ascii="Arial" w:hAnsi="Arial" w:cs="Arial"/>
        </w:rPr>
      </w:pPr>
      <w:r w:rsidRPr="00792165">
        <w:rPr>
          <w:rFonts w:ascii="Arial" w:hAnsi="Arial" w:cs="Arial"/>
        </w:rPr>
        <w:t>Nasledujúce body sa primerane prečíslujú.</w:t>
      </w:r>
    </w:p>
    <w:p w:rsidR="00792165" w:rsidRPr="00792165" w:rsidP="00792165">
      <w:pPr>
        <w:tabs>
          <w:tab w:val="left" w:pos="284"/>
        </w:tabs>
        <w:bidi w:val="0"/>
        <w:contextualSpacing/>
        <w:jc w:val="both"/>
        <w:rPr>
          <w:rFonts w:ascii="Arial" w:hAnsi="Arial" w:cs="Arial"/>
        </w:rPr>
      </w:pPr>
      <w:r w:rsidRPr="00792165">
        <w:rPr>
          <w:rFonts w:ascii="Arial" w:hAnsi="Arial" w:cs="Arial"/>
        </w:rPr>
        <w:br/>
        <w:t>Tento bod nadobúda účinnosť 13. júna 2014, čo sa premietne do ustanovení o účinnosti.</w:t>
      </w:r>
    </w:p>
    <w:p w:rsidR="00792165" w:rsidRPr="00792165" w:rsidP="00792165">
      <w:pPr>
        <w:tabs>
          <w:tab w:val="left" w:pos="284"/>
        </w:tabs>
        <w:bidi w:val="0"/>
        <w:contextualSpacing/>
        <w:jc w:val="both"/>
        <w:rPr>
          <w:rFonts w:ascii="Arial" w:hAnsi="Arial" w:cs="Arial"/>
        </w:rPr>
      </w:pPr>
    </w:p>
    <w:p w:rsidR="00792165" w:rsidRPr="00792165" w:rsidP="00792165">
      <w:pPr>
        <w:tabs>
          <w:tab w:val="left" w:pos="3960"/>
        </w:tabs>
        <w:bidi w:val="0"/>
        <w:ind w:left="3540"/>
        <w:jc w:val="both"/>
        <w:rPr>
          <w:rFonts w:ascii="Arial" w:hAnsi="Arial" w:cs="Arial"/>
          <w:i/>
        </w:rPr>
      </w:pPr>
      <w:r w:rsidRPr="00792165">
        <w:rPr>
          <w:rFonts w:ascii="Arial" w:hAnsi="Arial" w:cs="Arial"/>
          <w:i/>
        </w:rPr>
        <w:t xml:space="preserve">Odôvodnenie: </w:t>
      </w:r>
    </w:p>
    <w:p w:rsidR="00792165" w:rsidRPr="00792165" w:rsidP="00792165">
      <w:pPr>
        <w:tabs>
          <w:tab w:val="left" w:pos="3960"/>
        </w:tabs>
        <w:bidi w:val="0"/>
        <w:ind w:left="3540"/>
        <w:jc w:val="both"/>
        <w:rPr>
          <w:rFonts w:ascii="Arial" w:hAnsi="Arial" w:cs="Arial"/>
          <w:i/>
        </w:rPr>
      </w:pPr>
      <w:r w:rsidRPr="00792165">
        <w:rPr>
          <w:rFonts w:ascii="Arial" w:hAnsi="Arial" w:cs="Arial"/>
          <w:i/>
        </w:rPr>
        <w:t xml:space="preserve">Výslovne sa ustanovuje, že na všetky právne vzťahy vzniknuté na základe zmluvy o spotrebiteľskom úvere alebo s touto zmluvou súvisiace, najmä na vzťahy, ktoré vznikli pri zabezpečení plnenia záväzkov v záväzkových vzťahoch, sa vždy použijú prednostne ustanovenia Občianskeho zákonníka, aj keď by sa inak mali použiť normy obchodného práva. Z tohto dôvodu sa bude vždy preferovať priorita OZ, ktorý je pre spotrebiteľa priaznivejší, a to na celý režim právneho vzťahu, aj keby sa na právny režim mohla použiť právna úprava Obchodného zákonníka. Z toho plynie, že OZ aj pri posudzovaní otázky premlčania, otázky úpravy ručenia, zmluvnej pokuty, uznania záväzku a podobne.  </w:t>
      </w:r>
    </w:p>
    <w:p w:rsidR="00792165" w:rsidRPr="00792165" w:rsidP="00792165">
      <w:pPr>
        <w:tabs>
          <w:tab w:val="left" w:pos="2268"/>
          <w:tab w:val="left" w:pos="3960"/>
        </w:tabs>
        <w:bidi w:val="0"/>
        <w:ind w:left="2268"/>
        <w:jc w:val="both"/>
        <w:rPr>
          <w:rFonts w:ascii="Arial" w:hAnsi="Arial" w:cs="Arial"/>
          <w:i/>
        </w:rPr>
      </w:pPr>
    </w:p>
    <w:p w:rsidR="00792165" w:rsidRPr="00792165" w:rsidP="00792165">
      <w:pPr>
        <w:tabs>
          <w:tab w:val="left" w:pos="3960"/>
        </w:tabs>
        <w:bidi w:val="0"/>
        <w:jc w:val="both"/>
        <w:rPr>
          <w:rFonts w:ascii="Arial" w:hAnsi="Arial" w:cs="Arial"/>
          <w:b/>
        </w:rPr>
      </w:pPr>
      <w:r w:rsidRPr="00792165">
        <w:rPr>
          <w:rFonts w:ascii="Arial" w:hAnsi="Arial" w:cs="Arial"/>
          <w:b/>
        </w:rPr>
        <w:t>K čl. VIII</w:t>
      </w:r>
    </w:p>
    <w:p w:rsidR="00792165" w:rsidRPr="00792165" w:rsidP="00792165">
      <w:pPr>
        <w:tabs>
          <w:tab w:val="left" w:pos="3960"/>
        </w:tabs>
        <w:bidi w:val="0"/>
        <w:jc w:val="both"/>
        <w:rPr>
          <w:rFonts w:ascii="Arial" w:hAnsi="Arial" w:cs="Arial"/>
        </w:rPr>
      </w:pPr>
    </w:p>
    <w:p w:rsidR="00792165" w:rsidRPr="00792165" w:rsidP="00792165">
      <w:pPr>
        <w:pStyle w:val="ListParagraph"/>
        <w:numPr>
          <w:numId w:val="44"/>
        </w:numPr>
        <w:tabs>
          <w:tab w:val="left" w:pos="426"/>
        </w:tabs>
        <w:bidi w:val="0"/>
        <w:spacing w:after="160"/>
        <w:contextualSpacing/>
        <w:jc w:val="both"/>
        <w:rPr>
          <w:rFonts w:ascii="Arial" w:hAnsi="Arial" w:cs="Arial"/>
          <w:bCs/>
        </w:rPr>
      </w:pPr>
      <w:r w:rsidRPr="00792165">
        <w:rPr>
          <w:rFonts w:ascii="Arial" w:hAnsi="Arial" w:cs="Arial"/>
        </w:rPr>
        <w:t>Za</w:t>
      </w:r>
      <w:r w:rsidRPr="00792165">
        <w:rPr>
          <w:rFonts w:ascii="Arial" w:hAnsi="Arial" w:cs="Arial"/>
          <w:bCs/>
        </w:rPr>
        <w:t xml:space="preserve"> bod 7 sa vkladá nový bod 8, ktorý znie:</w:t>
      </w:r>
    </w:p>
    <w:p w:rsidR="00792165" w:rsidRPr="00792165" w:rsidP="00792165">
      <w:pPr>
        <w:tabs>
          <w:tab w:val="left" w:pos="284"/>
        </w:tabs>
        <w:bidi w:val="0"/>
        <w:contextualSpacing/>
        <w:jc w:val="both"/>
        <w:rPr>
          <w:rFonts w:ascii="Arial" w:hAnsi="Arial" w:cs="Arial"/>
          <w:bCs/>
        </w:rPr>
      </w:pPr>
      <w:r w:rsidRPr="00792165">
        <w:rPr>
          <w:rFonts w:ascii="Arial" w:hAnsi="Arial" w:cs="Arial"/>
          <w:bCs/>
        </w:rPr>
        <w:t>„8. V § 4 ods. 10 sa vypúšťajú slová „napriek upozorneniu združenia“.“.</w:t>
      </w:r>
    </w:p>
    <w:p w:rsidR="00792165" w:rsidRPr="00792165" w:rsidP="00792165">
      <w:pPr>
        <w:tabs>
          <w:tab w:val="left" w:pos="284"/>
        </w:tabs>
        <w:bidi w:val="0"/>
        <w:contextualSpacing/>
        <w:jc w:val="both"/>
        <w:rPr>
          <w:rFonts w:ascii="Arial" w:hAnsi="Arial" w:cs="Arial"/>
          <w:bCs/>
        </w:rPr>
      </w:pPr>
    </w:p>
    <w:p w:rsidR="00792165" w:rsidRPr="00792165" w:rsidP="00792165">
      <w:pPr>
        <w:tabs>
          <w:tab w:val="left" w:pos="284"/>
        </w:tabs>
        <w:bidi w:val="0"/>
        <w:contextualSpacing/>
        <w:jc w:val="both"/>
        <w:rPr>
          <w:rFonts w:ascii="Arial" w:hAnsi="Arial" w:cs="Arial"/>
          <w:bCs/>
        </w:rPr>
      </w:pPr>
      <w:r w:rsidRPr="00792165">
        <w:rPr>
          <w:rFonts w:ascii="Arial" w:hAnsi="Arial" w:cs="Arial"/>
          <w:bCs/>
        </w:rPr>
        <w:t>Nasledujúce body sa primerane prečíslujú.</w:t>
      </w:r>
    </w:p>
    <w:p w:rsidR="00792165" w:rsidRPr="00792165" w:rsidP="00792165">
      <w:pPr>
        <w:tabs>
          <w:tab w:val="left" w:pos="284"/>
        </w:tabs>
        <w:bidi w:val="0"/>
        <w:contextualSpacing/>
        <w:jc w:val="both"/>
        <w:rPr>
          <w:rFonts w:ascii="Arial" w:hAnsi="Arial" w:cs="Arial"/>
          <w:bCs/>
        </w:rPr>
      </w:pPr>
    </w:p>
    <w:p w:rsidR="00792165" w:rsidRPr="00792165" w:rsidP="00792165">
      <w:pPr>
        <w:tabs>
          <w:tab w:val="left" w:pos="284"/>
        </w:tabs>
        <w:bidi w:val="0"/>
        <w:contextualSpacing/>
        <w:jc w:val="both"/>
        <w:rPr>
          <w:rFonts w:ascii="Arial" w:hAnsi="Arial" w:cs="Arial"/>
        </w:rPr>
      </w:pPr>
      <w:r w:rsidRPr="00792165">
        <w:rPr>
          <w:rFonts w:ascii="Arial" w:hAnsi="Arial" w:cs="Arial"/>
          <w:bCs/>
        </w:rPr>
        <w:t>Tento bod nadobúda účinnosť 13. júna 2014, čo sa premietne do ustanovení o účinnosti.</w:t>
      </w:r>
    </w:p>
    <w:p w:rsidR="00792165" w:rsidRPr="00792165" w:rsidP="00792165">
      <w:pPr>
        <w:tabs>
          <w:tab w:val="left" w:pos="3960"/>
        </w:tabs>
        <w:bidi w:val="0"/>
        <w:ind w:left="4248"/>
        <w:jc w:val="both"/>
        <w:rPr>
          <w:rFonts w:ascii="Arial" w:hAnsi="Arial" w:cs="Arial"/>
          <w:i/>
          <w:iCs/>
        </w:rPr>
      </w:pPr>
    </w:p>
    <w:p w:rsidR="00792165" w:rsidRPr="00792165" w:rsidP="00792165">
      <w:pPr>
        <w:bidi w:val="0"/>
        <w:ind w:left="2832" w:firstLine="708"/>
        <w:jc w:val="both"/>
        <w:rPr>
          <w:rFonts w:ascii="Arial" w:hAnsi="Arial" w:cs="Arial"/>
          <w:i/>
        </w:rPr>
      </w:pPr>
      <w:r w:rsidRPr="00792165">
        <w:rPr>
          <w:rFonts w:ascii="Arial" w:hAnsi="Arial" w:cs="Arial"/>
          <w:i/>
        </w:rPr>
        <w:t>Odôvodnenie:</w:t>
      </w:r>
    </w:p>
    <w:p w:rsidR="00792165" w:rsidRPr="00792165" w:rsidP="00792165">
      <w:pPr>
        <w:bidi w:val="0"/>
        <w:ind w:left="3540"/>
        <w:jc w:val="both"/>
        <w:rPr>
          <w:rFonts w:ascii="Arial" w:hAnsi="Arial" w:cs="Arial"/>
          <w:i/>
        </w:rPr>
      </w:pPr>
      <w:r w:rsidRPr="00792165">
        <w:rPr>
          <w:rFonts w:ascii="Arial" w:hAnsi="Arial" w:cs="Arial"/>
          <w:i/>
        </w:rPr>
        <w:t>Vypúšťa sa podmienka predchádzajúceho upozornenia združenia na nerešpektovanie súdom uloženej povinnosti zdržať sa používania neprijateľnej zmluvnej podmienky. Nie je dôvodné, aby sa takéto nedodržiavanie súdom vyslovenej povinnosti považovalo za osobitne závažné porušenie povinnosti predávajúceho až vtedy, ak predávajúceho na túto skutočnosť upozorní združenie.</w:t>
      </w:r>
    </w:p>
    <w:p w:rsidR="00792165" w:rsidRPr="00792165" w:rsidP="00792165">
      <w:pPr>
        <w:tabs>
          <w:tab w:val="left" w:pos="3960"/>
        </w:tabs>
        <w:bidi w:val="0"/>
        <w:jc w:val="both"/>
        <w:rPr>
          <w:rFonts w:ascii="Arial" w:hAnsi="Arial" w:cs="Arial"/>
          <w:i/>
          <w:iCs/>
        </w:rPr>
      </w:pPr>
    </w:p>
    <w:p w:rsidR="00792165" w:rsidRPr="00792165" w:rsidP="00792165">
      <w:pPr>
        <w:tabs>
          <w:tab w:val="left" w:pos="3960"/>
        </w:tabs>
        <w:bidi w:val="0"/>
        <w:ind w:left="4248"/>
        <w:jc w:val="both"/>
        <w:rPr>
          <w:rFonts w:ascii="Arial" w:hAnsi="Arial" w:cs="Arial"/>
          <w:i/>
          <w:iCs/>
        </w:rPr>
      </w:pPr>
    </w:p>
    <w:p w:rsidR="00792165" w:rsidRPr="00792165" w:rsidP="00792165">
      <w:pPr>
        <w:pStyle w:val="ListParagraph"/>
        <w:numPr>
          <w:numId w:val="44"/>
        </w:numPr>
        <w:tabs>
          <w:tab w:val="left" w:pos="284"/>
        </w:tabs>
        <w:bidi w:val="0"/>
        <w:spacing w:after="160"/>
        <w:contextualSpacing/>
        <w:jc w:val="both"/>
        <w:rPr>
          <w:rFonts w:ascii="Arial" w:hAnsi="Arial" w:cs="Arial"/>
        </w:rPr>
      </w:pPr>
      <w:r w:rsidRPr="00792165">
        <w:rPr>
          <w:rFonts w:ascii="Arial" w:hAnsi="Arial" w:cs="Arial"/>
        </w:rPr>
        <w:t>V bode 9, v § 4a odseky 3 a 4 znejú:</w:t>
      </w:r>
    </w:p>
    <w:p w:rsidR="00792165" w:rsidRPr="00792165" w:rsidP="00792165">
      <w:pPr>
        <w:tabs>
          <w:tab w:val="left" w:pos="284"/>
        </w:tabs>
        <w:bidi w:val="0"/>
        <w:spacing w:after="160"/>
        <w:contextualSpacing/>
        <w:jc w:val="both"/>
        <w:rPr>
          <w:rFonts w:ascii="Arial" w:hAnsi="Arial" w:cs="Arial"/>
        </w:rPr>
      </w:pPr>
    </w:p>
    <w:p w:rsidR="00792165" w:rsidRPr="00792165" w:rsidP="00792165">
      <w:pPr>
        <w:tabs>
          <w:tab w:val="left" w:pos="284"/>
        </w:tabs>
        <w:bidi w:val="0"/>
        <w:spacing w:after="160"/>
        <w:contextualSpacing/>
        <w:jc w:val="both"/>
        <w:rPr>
          <w:rFonts w:ascii="Arial" w:hAnsi="Arial" w:cs="Arial"/>
        </w:rPr>
      </w:pPr>
      <w:r w:rsidRPr="00792165">
        <w:rPr>
          <w:rFonts w:ascii="Arial" w:hAnsi="Arial" w:cs="Arial"/>
        </w:rPr>
        <w:t>„(3) Platbu inú ako je úhrada ceny za hlavný predmet plnenia, náklady a poplatky podľa § 10a ods. 1 písm. d) je spotrebiteľ povinný zaplatiť, len ak s touto platbou výslovne súhlasil pred uzavretím zmluvy alebo pred odoslaním objednávky. Dôkazné bremeno o udelení výslovného súhlasu podľa prvej vety znáša predávajúci.</w:t>
      </w:r>
    </w:p>
    <w:p w:rsidR="00792165" w:rsidRPr="00792165" w:rsidP="00792165">
      <w:pPr>
        <w:tabs>
          <w:tab w:val="left" w:pos="284"/>
        </w:tabs>
        <w:bidi w:val="0"/>
        <w:spacing w:after="160"/>
        <w:contextualSpacing/>
        <w:jc w:val="both"/>
        <w:rPr>
          <w:rFonts w:ascii="Arial" w:hAnsi="Arial" w:cs="Arial"/>
        </w:rPr>
      </w:pPr>
    </w:p>
    <w:p w:rsidR="00792165" w:rsidRPr="00792165" w:rsidP="00792165">
      <w:pPr>
        <w:tabs>
          <w:tab w:val="left" w:pos="284"/>
        </w:tabs>
        <w:bidi w:val="0"/>
        <w:spacing w:after="160"/>
        <w:contextualSpacing/>
        <w:jc w:val="both"/>
        <w:rPr>
          <w:rFonts w:ascii="Arial" w:hAnsi="Arial" w:cs="Arial"/>
        </w:rPr>
      </w:pPr>
      <w:r w:rsidRPr="00792165">
        <w:rPr>
          <w:rFonts w:ascii="Arial" w:hAnsi="Arial" w:cs="Arial"/>
        </w:rPr>
        <w:t>(4) Predávajúci nesmie za účelom získania súhlasu podľa odseku 3 ponúkať spotrebiteľovi v návrhu zmluvy alebo pri ktoromkoľvek úkone predchádzajúcom uzavretiu zmluvy predvolené možnosti, pri ktorých sa vyžaduje úkon spotrebiteľa smerujúci k ich odmietnutiu s cieľom vyhnúť sa dodatočnej platbe. Ak bol súhlas spotrebiteľa získaný v rozpore s prvou vetou, spotrebiteľ nie je povinný túto dodatočnú platbu uhradiť.“.</w:t>
      </w:r>
    </w:p>
    <w:p w:rsidR="00792165" w:rsidRPr="00792165" w:rsidP="00792165">
      <w:pPr>
        <w:tabs>
          <w:tab w:val="left" w:pos="284"/>
        </w:tabs>
        <w:bidi w:val="0"/>
        <w:spacing w:after="160"/>
        <w:contextualSpacing/>
        <w:jc w:val="both"/>
        <w:rPr>
          <w:rFonts w:ascii="Arial" w:hAnsi="Arial" w:cs="Arial"/>
        </w:rPr>
      </w:pPr>
    </w:p>
    <w:p w:rsidR="00792165" w:rsidRPr="00792165" w:rsidP="00792165">
      <w:pPr>
        <w:tabs>
          <w:tab w:val="left" w:pos="3960"/>
        </w:tabs>
        <w:bidi w:val="0"/>
        <w:ind w:left="3540"/>
        <w:jc w:val="both"/>
        <w:rPr>
          <w:rFonts w:ascii="Arial" w:hAnsi="Arial" w:cs="Arial"/>
          <w:i/>
          <w:iCs/>
        </w:rPr>
      </w:pPr>
      <w:r w:rsidRPr="00792165">
        <w:rPr>
          <w:rFonts w:ascii="Arial" w:hAnsi="Arial" w:cs="Arial"/>
          <w:i/>
          <w:iCs/>
        </w:rPr>
        <w:t>Odôvodnenie:</w:t>
      </w:r>
    </w:p>
    <w:p w:rsidR="00792165" w:rsidRPr="00792165" w:rsidP="00792165">
      <w:pPr>
        <w:tabs>
          <w:tab w:val="left" w:pos="3960"/>
        </w:tabs>
        <w:bidi w:val="0"/>
        <w:ind w:left="3540"/>
        <w:jc w:val="both"/>
        <w:rPr>
          <w:rFonts w:ascii="Arial" w:hAnsi="Arial" w:cs="Arial"/>
          <w:i/>
          <w:iCs/>
        </w:rPr>
      </w:pPr>
      <w:r w:rsidRPr="00792165">
        <w:rPr>
          <w:rFonts w:ascii="Arial" w:hAnsi="Arial" w:cs="Arial"/>
          <w:i/>
          <w:iCs/>
        </w:rPr>
        <w:t>Ustanovenie sa v záujme jeho lepšej prehľadnosti a zrozumiteľnosti logickejšie člení do dvoch odsekov. Zároveň sa oproti pôvodnému zneniu upravuje právny následok nedodržania povinnosti predávajúceho uloženej v odseku 4 za účelom presnejšej transpozície článku 22 smernice Európskeho parlamentu a Rady 2011/83/EÚ o právach spotrebiteľov.</w:t>
      </w:r>
    </w:p>
    <w:p w:rsidR="00792165" w:rsidRPr="00792165" w:rsidP="00792165">
      <w:pPr>
        <w:bidi w:val="0"/>
        <w:spacing w:after="160" w:line="259" w:lineRule="auto"/>
        <w:rPr>
          <w:rFonts w:ascii="Arial" w:hAnsi="Arial" w:cs="Arial"/>
        </w:rPr>
      </w:pPr>
    </w:p>
    <w:p w:rsidR="00792165" w:rsidRPr="00792165" w:rsidP="00792165">
      <w:pPr>
        <w:pStyle w:val="ListParagraph"/>
        <w:numPr>
          <w:numId w:val="44"/>
        </w:numPr>
        <w:bidi w:val="0"/>
        <w:spacing w:after="200" w:line="360" w:lineRule="auto"/>
        <w:contextualSpacing/>
        <w:jc w:val="both"/>
        <w:rPr>
          <w:rFonts w:ascii="Arial" w:hAnsi="Arial" w:cs="Arial"/>
        </w:rPr>
      </w:pPr>
      <w:r w:rsidRPr="00792165">
        <w:rPr>
          <w:rFonts w:ascii="Arial" w:hAnsi="Arial" w:cs="Arial"/>
        </w:rPr>
        <w:t>V čl. VIII sa za 18. bod vkladá nový bod 19, ktorý znie:</w:t>
      </w:r>
    </w:p>
    <w:p w:rsidR="00792165" w:rsidRPr="00792165" w:rsidP="00792165">
      <w:pPr>
        <w:bidi w:val="0"/>
        <w:spacing w:line="360" w:lineRule="auto"/>
        <w:contextualSpacing/>
        <w:jc w:val="both"/>
        <w:rPr>
          <w:rFonts w:ascii="Arial" w:hAnsi="Arial" w:cs="Arial"/>
        </w:rPr>
      </w:pPr>
      <w:r w:rsidRPr="00792165">
        <w:rPr>
          <w:rFonts w:ascii="Arial" w:hAnsi="Arial" w:cs="Arial"/>
        </w:rPr>
        <w:t>19. V § 13 sa slová „Ak sa informácie uvedené v § 11 a 12 poskytujú písomne“ nahrádzajú slovami „Ak sa informácie uvedené v § 10a až 12 poskytujú písomne“.</w:t>
      </w:r>
    </w:p>
    <w:p w:rsidR="00755C18" w:rsidP="00755C18">
      <w:pPr>
        <w:pStyle w:val="ListParagraph"/>
        <w:bidi w:val="0"/>
        <w:ind w:left="0"/>
        <w:jc w:val="both"/>
        <w:rPr>
          <w:rFonts w:ascii="Arial" w:hAnsi="Arial" w:cs="Arial"/>
          <w:sz w:val="22"/>
          <w:szCs w:val="22"/>
        </w:rPr>
      </w:pPr>
    </w:p>
    <w:p w:rsidR="00755C18" w:rsidRPr="005C04B9" w:rsidP="00755C18">
      <w:pPr>
        <w:pStyle w:val="ListParagraph"/>
        <w:bidi w:val="0"/>
        <w:ind w:left="0"/>
        <w:jc w:val="both"/>
        <w:rPr>
          <w:rFonts w:ascii="Arial" w:hAnsi="Arial" w:cs="Arial"/>
        </w:rPr>
      </w:pPr>
      <w:r w:rsidRPr="005C04B9">
        <w:rPr>
          <w:rFonts w:ascii="Arial" w:hAnsi="Arial" w:cs="Arial"/>
        </w:rPr>
        <w:t>Nasledujúce body sa primerane prečíslujú.</w:t>
      </w:r>
    </w:p>
    <w:p w:rsidR="00792165" w:rsidRPr="00792165" w:rsidP="00792165">
      <w:pPr>
        <w:tabs>
          <w:tab w:val="left" w:pos="284"/>
        </w:tabs>
        <w:bidi w:val="0"/>
        <w:spacing w:after="160"/>
        <w:contextualSpacing/>
        <w:jc w:val="both"/>
        <w:rPr>
          <w:rFonts w:ascii="Arial" w:hAnsi="Arial" w:cs="Arial"/>
          <w:bCs/>
        </w:rPr>
      </w:pPr>
    </w:p>
    <w:p w:rsidR="00792165" w:rsidRPr="00792165" w:rsidP="00792165">
      <w:pPr>
        <w:tabs>
          <w:tab w:val="left" w:pos="284"/>
        </w:tabs>
        <w:bidi w:val="0"/>
        <w:spacing w:after="160"/>
        <w:contextualSpacing/>
        <w:jc w:val="both"/>
        <w:rPr>
          <w:rFonts w:ascii="Arial" w:hAnsi="Arial" w:cs="Arial"/>
          <w:bCs/>
        </w:rPr>
      </w:pPr>
      <w:r w:rsidRPr="00792165">
        <w:rPr>
          <w:rFonts w:ascii="Arial" w:hAnsi="Arial" w:cs="Arial"/>
          <w:bCs/>
        </w:rPr>
        <w:t>Tento bod nadobúda účinnosť 13. júna 2014, čo sa premietne do ustanovení o účinnosti.</w:t>
      </w:r>
    </w:p>
    <w:p w:rsidR="00792165" w:rsidRPr="00792165" w:rsidP="00792165">
      <w:pPr>
        <w:tabs>
          <w:tab w:val="left" w:pos="284"/>
        </w:tabs>
        <w:bidi w:val="0"/>
        <w:spacing w:after="160"/>
        <w:contextualSpacing/>
        <w:jc w:val="both"/>
        <w:rPr>
          <w:rFonts w:ascii="Arial" w:hAnsi="Arial" w:cs="Arial"/>
          <w:bCs/>
        </w:rPr>
      </w:pPr>
    </w:p>
    <w:p w:rsidR="00792165" w:rsidRPr="00792165" w:rsidP="00792165">
      <w:pPr>
        <w:bidi w:val="0"/>
        <w:ind w:left="3540"/>
        <w:contextualSpacing/>
        <w:jc w:val="both"/>
        <w:rPr>
          <w:rFonts w:ascii="Arial" w:hAnsi="Arial" w:cs="Arial"/>
          <w:i/>
        </w:rPr>
      </w:pPr>
      <w:r w:rsidRPr="00792165">
        <w:rPr>
          <w:rFonts w:ascii="Arial" w:hAnsi="Arial" w:cs="Arial"/>
          <w:i/>
        </w:rPr>
        <w:t>Legislatívno-technická   pripomienka,   ktorou   sa rozširuje vnútorný odkaz aj na novo vložený § 10a ohľadne povinnosti poskytovať informácie v štátnom jazyku.</w:t>
      </w:r>
    </w:p>
    <w:p w:rsidR="00792165" w:rsidRPr="00792165" w:rsidP="00792165">
      <w:pPr>
        <w:tabs>
          <w:tab w:val="left" w:pos="284"/>
        </w:tabs>
        <w:bidi w:val="0"/>
        <w:spacing w:after="160"/>
        <w:contextualSpacing/>
        <w:jc w:val="both"/>
        <w:rPr>
          <w:rFonts w:ascii="Arial" w:hAnsi="Arial" w:cs="Arial"/>
          <w:i/>
        </w:rPr>
      </w:pPr>
    </w:p>
    <w:p w:rsidR="00792165" w:rsidRPr="00792165" w:rsidP="00792165">
      <w:pPr>
        <w:bidi w:val="0"/>
        <w:spacing w:after="160" w:line="259" w:lineRule="auto"/>
        <w:rPr>
          <w:rFonts w:ascii="Arial" w:hAnsi="Arial" w:cs="Arial"/>
        </w:rPr>
      </w:pPr>
    </w:p>
    <w:p w:rsidR="00792165" w:rsidRPr="00792165" w:rsidP="00792165">
      <w:pPr>
        <w:pStyle w:val="ListParagraph"/>
        <w:numPr>
          <w:numId w:val="44"/>
        </w:numPr>
        <w:tabs>
          <w:tab w:val="left" w:pos="284"/>
        </w:tabs>
        <w:bidi w:val="0"/>
        <w:spacing w:after="160"/>
        <w:contextualSpacing/>
        <w:jc w:val="both"/>
        <w:rPr>
          <w:rFonts w:ascii="Arial" w:hAnsi="Arial" w:cs="Arial"/>
        </w:rPr>
      </w:pPr>
      <w:r w:rsidRPr="00792165">
        <w:rPr>
          <w:rFonts w:ascii="Arial" w:hAnsi="Arial" w:cs="Arial"/>
        </w:rPr>
        <w:t>Za bod 23 sa vkladá nový bod 24, ktorý znie:</w:t>
      </w:r>
    </w:p>
    <w:p w:rsidR="00792165" w:rsidRPr="00792165" w:rsidP="00792165">
      <w:pPr>
        <w:tabs>
          <w:tab w:val="left" w:pos="284"/>
        </w:tabs>
        <w:bidi w:val="0"/>
        <w:spacing w:after="160"/>
        <w:contextualSpacing/>
        <w:jc w:val="both"/>
        <w:rPr>
          <w:rFonts w:ascii="Arial" w:hAnsi="Arial" w:cs="Arial"/>
        </w:rPr>
      </w:pPr>
      <w:r w:rsidRPr="00792165">
        <w:rPr>
          <w:rFonts w:ascii="Arial" w:hAnsi="Arial" w:cs="Arial"/>
        </w:rPr>
        <w:t>„24. V § 24 odsek 7 znie:</w:t>
      </w:r>
    </w:p>
    <w:p w:rsidR="00792165" w:rsidRPr="00792165" w:rsidP="00792165">
      <w:pPr>
        <w:tabs>
          <w:tab w:val="left" w:pos="284"/>
        </w:tabs>
        <w:bidi w:val="0"/>
        <w:spacing w:after="160"/>
        <w:contextualSpacing/>
        <w:jc w:val="both"/>
        <w:rPr>
          <w:rFonts w:ascii="Arial" w:hAnsi="Arial" w:cs="Arial"/>
        </w:rPr>
      </w:pPr>
      <w:r w:rsidRPr="00792165">
        <w:rPr>
          <w:rFonts w:ascii="Arial" w:hAnsi="Arial" w:cs="Arial"/>
        </w:rPr>
        <w:t>„(7) Konanie o uložení pokuty možno začať do 12 mesiacov odo dňa, keď orgán dozoru zistil porušenie povinnosti podľa tohto zákona, najneskôr do troch rokov podľa odsekov 1 a 3 a do desiatich rokov podľa odseku 2 odo dňa, keď k porušeniu povinnosti došlo. Pokutu možno uložiť najneskôr do 4 rokov odo dňa, keď k porušeniu povinnosti došlo.“.“.</w:t>
      </w:r>
    </w:p>
    <w:p w:rsidR="00792165" w:rsidRPr="00792165" w:rsidP="00792165">
      <w:pPr>
        <w:tabs>
          <w:tab w:val="left" w:pos="284"/>
        </w:tabs>
        <w:bidi w:val="0"/>
        <w:spacing w:after="160"/>
        <w:contextualSpacing/>
        <w:jc w:val="both"/>
        <w:rPr>
          <w:rFonts w:ascii="Arial" w:hAnsi="Arial" w:cs="Arial"/>
          <w:bCs/>
        </w:rPr>
      </w:pPr>
      <w:r w:rsidRPr="00792165">
        <w:rPr>
          <w:rFonts w:ascii="Arial" w:hAnsi="Arial" w:cs="Arial"/>
          <w:bCs/>
        </w:rPr>
        <w:t>Nasledujúce body sa primerane prečíslujú.</w:t>
      </w:r>
    </w:p>
    <w:p w:rsidR="00792165" w:rsidRPr="00792165" w:rsidP="00792165">
      <w:pPr>
        <w:tabs>
          <w:tab w:val="left" w:pos="284"/>
        </w:tabs>
        <w:bidi w:val="0"/>
        <w:spacing w:after="160"/>
        <w:contextualSpacing/>
        <w:jc w:val="both"/>
        <w:rPr>
          <w:rFonts w:ascii="Arial" w:hAnsi="Arial" w:cs="Arial"/>
          <w:bCs/>
        </w:rPr>
      </w:pPr>
    </w:p>
    <w:p w:rsidR="00792165" w:rsidRPr="00792165" w:rsidP="00792165">
      <w:pPr>
        <w:tabs>
          <w:tab w:val="left" w:pos="284"/>
        </w:tabs>
        <w:bidi w:val="0"/>
        <w:spacing w:after="160"/>
        <w:contextualSpacing/>
        <w:jc w:val="both"/>
        <w:rPr>
          <w:rFonts w:ascii="Arial" w:hAnsi="Arial" w:cs="Arial"/>
        </w:rPr>
      </w:pPr>
      <w:r w:rsidRPr="00792165">
        <w:rPr>
          <w:rFonts w:ascii="Arial" w:hAnsi="Arial" w:cs="Arial"/>
          <w:bCs/>
        </w:rPr>
        <w:t>Tento bod nadobúda účinnosť 13. júna 2014, čo sa premietne do ustanovení o účinnosti.</w:t>
      </w:r>
    </w:p>
    <w:p w:rsidR="00792165" w:rsidRPr="00792165" w:rsidP="00792165">
      <w:pPr>
        <w:tabs>
          <w:tab w:val="left" w:pos="284"/>
        </w:tabs>
        <w:bidi w:val="0"/>
        <w:spacing w:after="160"/>
        <w:contextualSpacing/>
        <w:jc w:val="both"/>
        <w:rPr>
          <w:rFonts w:ascii="Arial" w:hAnsi="Arial" w:cs="Arial"/>
        </w:rPr>
      </w:pPr>
    </w:p>
    <w:p w:rsidR="00792165" w:rsidRPr="00792165" w:rsidP="00792165">
      <w:pPr>
        <w:tabs>
          <w:tab w:val="left" w:pos="3960"/>
        </w:tabs>
        <w:bidi w:val="0"/>
        <w:ind w:left="3540"/>
        <w:jc w:val="both"/>
        <w:rPr>
          <w:rFonts w:ascii="Arial" w:hAnsi="Arial" w:cs="Arial"/>
          <w:i/>
          <w:iCs/>
        </w:rPr>
      </w:pPr>
      <w:r w:rsidRPr="00792165">
        <w:rPr>
          <w:rFonts w:ascii="Arial" w:hAnsi="Arial" w:cs="Arial"/>
          <w:i/>
          <w:iCs/>
        </w:rPr>
        <w:t>Odôvodnenie:</w:t>
      </w:r>
    </w:p>
    <w:p w:rsidR="00792165" w:rsidRPr="00792165" w:rsidP="00792165">
      <w:pPr>
        <w:tabs>
          <w:tab w:val="left" w:pos="3960"/>
        </w:tabs>
        <w:bidi w:val="0"/>
        <w:ind w:left="3540"/>
        <w:jc w:val="both"/>
        <w:rPr>
          <w:rFonts w:ascii="Arial" w:hAnsi="Arial" w:cs="Arial"/>
          <w:i/>
          <w:iCs/>
        </w:rPr>
      </w:pPr>
      <w:r w:rsidRPr="00792165">
        <w:rPr>
          <w:rFonts w:ascii="Arial" w:hAnsi="Arial" w:cs="Arial"/>
          <w:i/>
          <w:iCs/>
        </w:rPr>
        <w:t>Ustanovenie sa precizuje z  dôvodu potreby jednoznačného zadefinovania zákonnej dĺžky subjektívnej lehoty, v ktorej orgán dozoru môže začať konanie uložení pokuty. Z potreby aplikačnej praxe dozorných orgánov taktiež vyplynula potreba predĺženia subjektívnej i objektívnej lehoty na uloženie sankcie za zistené protiprávne konanie. Navrhovaným znením sa zároveň zosúlaďuje znenie všeobecného predpisu, zákona č. 250/2007 Z. z. o ochrane spotrebiteľa a o zmene zákona Slovenskej národnej rady č. 372/1990 Zb. o priestupkoch v znení neskorších predpisov, so znením § 15 ods. 7 návrhu zákona.</w:t>
      </w:r>
    </w:p>
    <w:p w:rsidR="00792165" w:rsidRPr="00792165" w:rsidP="00792165">
      <w:pPr>
        <w:bidi w:val="0"/>
        <w:spacing w:after="160" w:line="259" w:lineRule="auto"/>
        <w:rPr>
          <w:rFonts w:ascii="Arial" w:hAnsi="Arial" w:cs="Arial"/>
        </w:rPr>
      </w:pPr>
    </w:p>
    <w:p w:rsidR="00792165" w:rsidRPr="00792165" w:rsidP="00792165">
      <w:pPr>
        <w:tabs>
          <w:tab w:val="left" w:pos="284"/>
        </w:tabs>
        <w:bidi w:val="0"/>
        <w:spacing w:after="160"/>
        <w:contextualSpacing/>
        <w:jc w:val="both"/>
        <w:rPr>
          <w:rFonts w:ascii="Arial" w:hAnsi="Arial" w:cs="Arial"/>
        </w:rPr>
      </w:pPr>
      <w:r w:rsidRPr="00792165">
        <w:rPr>
          <w:rFonts w:ascii="Arial" w:hAnsi="Arial" w:cs="Arial"/>
          <w:b/>
        </w:rPr>
        <w:t>7.</w:t>
      </w:r>
      <w:r w:rsidRPr="00792165">
        <w:rPr>
          <w:rFonts w:ascii="Arial" w:hAnsi="Arial" w:cs="Arial"/>
        </w:rPr>
        <w:t xml:space="preserve"> V bode 25, v § 29c sa slová „§ 4a ods. 1 a 2“ nahrádzajú slovami „§ 4a ods. 1 až 3“.</w:t>
      </w:r>
    </w:p>
    <w:p w:rsidR="00792165" w:rsidRPr="00792165" w:rsidP="00792165">
      <w:pPr>
        <w:tabs>
          <w:tab w:val="left" w:pos="284"/>
        </w:tabs>
        <w:bidi w:val="0"/>
        <w:spacing w:after="160"/>
        <w:contextualSpacing/>
        <w:jc w:val="both"/>
        <w:rPr>
          <w:rFonts w:ascii="Arial" w:hAnsi="Arial" w:cs="Arial"/>
        </w:rPr>
      </w:pPr>
    </w:p>
    <w:p w:rsidR="00792165" w:rsidRPr="00792165" w:rsidP="005C04B9">
      <w:pPr>
        <w:tabs>
          <w:tab w:val="left" w:pos="284"/>
        </w:tabs>
        <w:bidi w:val="0"/>
        <w:spacing w:after="160"/>
        <w:contextualSpacing/>
        <w:jc w:val="both"/>
        <w:rPr>
          <w:rFonts w:ascii="Arial" w:hAnsi="Arial" w:cs="Arial"/>
          <w:i/>
        </w:rPr>
      </w:pPr>
      <w:r w:rsidRPr="00792165">
        <w:rPr>
          <w:rFonts w:ascii="Arial" w:hAnsi="Arial" w:cs="Arial"/>
        </w:rPr>
        <w:tab/>
        <w:tab/>
        <w:tab/>
        <w:tab/>
        <w:tab/>
        <w:tab/>
        <w:tab/>
      </w:r>
      <w:r w:rsidRPr="00792165">
        <w:rPr>
          <w:rFonts w:ascii="Arial" w:hAnsi="Arial" w:cs="Arial"/>
          <w:i/>
        </w:rPr>
        <w:t>Odôvodnenie:</w:t>
      </w:r>
    </w:p>
    <w:p w:rsidR="00792165" w:rsidRPr="00792165" w:rsidP="005C04B9">
      <w:pPr>
        <w:tabs>
          <w:tab w:val="left" w:pos="284"/>
        </w:tabs>
        <w:bidi w:val="0"/>
        <w:spacing w:after="160"/>
        <w:ind w:left="4248"/>
        <w:contextualSpacing/>
        <w:jc w:val="both"/>
        <w:rPr>
          <w:rFonts w:ascii="Arial" w:hAnsi="Arial" w:cs="Arial"/>
          <w:b/>
        </w:rPr>
      </w:pPr>
      <w:r w:rsidRPr="00792165">
        <w:rPr>
          <w:rFonts w:ascii="Arial" w:hAnsi="Arial" w:cs="Arial"/>
          <w:i/>
        </w:rPr>
        <w:t>Legislatívno-technická zmena v súvislosti s vložením nového odseku 2 do § 4a.</w:t>
      </w:r>
    </w:p>
    <w:p w:rsidR="00792165" w:rsidRPr="00792165" w:rsidP="00792165">
      <w:pPr>
        <w:bidi w:val="0"/>
        <w:spacing w:after="160" w:line="259" w:lineRule="auto"/>
        <w:rPr>
          <w:rFonts w:ascii="Arial" w:hAnsi="Arial" w:cs="Arial"/>
        </w:rPr>
      </w:pPr>
    </w:p>
    <w:p w:rsidR="00792165" w:rsidRPr="00792165" w:rsidP="00792165">
      <w:pPr>
        <w:tabs>
          <w:tab w:val="left" w:pos="284"/>
        </w:tabs>
        <w:bidi w:val="0"/>
        <w:spacing w:after="160"/>
        <w:contextualSpacing/>
        <w:jc w:val="both"/>
        <w:rPr>
          <w:rFonts w:ascii="Arial" w:hAnsi="Arial" w:cs="Arial"/>
          <w:b/>
        </w:rPr>
      </w:pPr>
      <w:r w:rsidRPr="00792165">
        <w:rPr>
          <w:rFonts w:ascii="Arial" w:hAnsi="Arial" w:cs="Arial"/>
          <w:b/>
        </w:rPr>
        <w:t>K čl. XIII</w:t>
      </w:r>
    </w:p>
    <w:p w:rsidR="00792165" w:rsidRPr="00792165" w:rsidP="00792165">
      <w:pPr>
        <w:tabs>
          <w:tab w:val="left" w:pos="284"/>
        </w:tabs>
        <w:bidi w:val="0"/>
        <w:spacing w:after="160"/>
        <w:contextualSpacing/>
        <w:jc w:val="both"/>
        <w:rPr>
          <w:rFonts w:ascii="Arial" w:hAnsi="Arial" w:cs="Arial"/>
          <w:b/>
        </w:rPr>
      </w:pPr>
    </w:p>
    <w:p w:rsidR="00792165" w:rsidRPr="00792165" w:rsidP="00792165">
      <w:pPr>
        <w:tabs>
          <w:tab w:val="left" w:pos="284"/>
        </w:tabs>
        <w:bidi w:val="0"/>
        <w:spacing w:after="160"/>
        <w:contextualSpacing/>
        <w:jc w:val="both"/>
        <w:rPr>
          <w:rFonts w:ascii="Arial" w:hAnsi="Arial" w:cs="Arial"/>
        </w:rPr>
      </w:pPr>
      <w:r w:rsidRPr="00792165">
        <w:rPr>
          <w:rFonts w:ascii="Arial" w:hAnsi="Arial" w:cs="Arial"/>
          <w:b/>
        </w:rPr>
        <w:t>8.</w:t>
      </w:r>
      <w:r w:rsidRPr="00792165">
        <w:rPr>
          <w:rFonts w:ascii="Arial" w:hAnsi="Arial" w:cs="Arial"/>
        </w:rPr>
        <w:t xml:space="preserve"> V čl. XIII sa slová „1. apríla“ nahrádzajú slovami „1. mája“, slová „čl. I, čl. II bodov 4 a 7“ sa nahrádzajú slovami „čl. I až III“, slová „čl. VI“ sa nahrádzajú slovami „čl. VII“ a slová čl. VIII bodov 9, 17, 25 a 30,“ sa nahrádzajú slovami „čl. VIII bodov 2, 4 až 6, 8, 9, 17 až 21, 25 a 30 a“.</w:t>
      </w:r>
    </w:p>
    <w:p w:rsidR="00792165" w:rsidRPr="00792165" w:rsidP="00792165">
      <w:pPr>
        <w:tabs>
          <w:tab w:val="left" w:pos="284"/>
        </w:tabs>
        <w:bidi w:val="0"/>
        <w:spacing w:after="160"/>
        <w:contextualSpacing/>
        <w:jc w:val="both"/>
        <w:rPr>
          <w:rFonts w:ascii="Arial" w:hAnsi="Arial" w:cs="Arial"/>
        </w:rPr>
      </w:pPr>
    </w:p>
    <w:p w:rsidR="00792165" w:rsidRPr="00792165" w:rsidP="00792165">
      <w:pPr>
        <w:tabs>
          <w:tab w:val="left" w:pos="284"/>
        </w:tabs>
        <w:bidi w:val="0"/>
        <w:spacing w:after="160"/>
        <w:contextualSpacing/>
        <w:jc w:val="both"/>
        <w:rPr>
          <w:rFonts w:ascii="Arial" w:hAnsi="Arial" w:cs="Arial"/>
        </w:rPr>
      </w:pPr>
      <w:r w:rsidRPr="00792165">
        <w:rPr>
          <w:rFonts w:ascii="Arial" w:hAnsi="Arial" w:cs="Arial"/>
        </w:rPr>
        <w:t>V tejto súvislosti sa vykonajú nasledovné úpravy:</w:t>
      </w:r>
    </w:p>
    <w:p w:rsidR="00792165" w:rsidRPr="00792165" w:rsidP="00792165">
      <w:pPr>
        <w:tabs>
          <w:tab w:val="left" w:pos="284"/>
        </w:tabs>
        <w:bidi w:val="0"/>
        <w:spacing w:after="160"/>
        <w:contextualSpacing/>
        <w:jc w:val="both"/>
        <w:rPr>
          <w:rFonts w:ascii="Arial" w:hAnsi="Arial" w:cs="Arial"/>
        </w:rPr>
      </w:pPr>
    </w:p>
    <w:p w:rsidR="00792165" w:rsidRPr="00792165" w:rsidP="00792165">
      <w:pPr>
        <w:numPr>
          <w:numId w:val="45"/>
        </w:numPr>
        <w:tabs>
          <w:tab w:val="left" w:pos="284"/>
        </w:tabs>
        <w:bidi w:val="0"/>
        <w:spacing w:after="160"/>
        <w:contextualSpacing/>
        <w:jc w:val="both"/>
        <w:rPr>
          <w:rFonts w:ascii="Arial" w:hAnsi="Arial" w:cs="Arial"/>
        </w:rPr>
      </w:pPr>
      <w:r w:rsidRPr="00792165">
        <w:rPr>
          <w:rFonts w:ascii="Arial" w:hAnsi="Arial" w:cs="Arial"/>
        </w:rPr>
        <w:t>v čl. II bod 6 sa v nadpise a texte § 879p slová „1. apríla“ vo všetkých tvaroch nahrádzajú slovami „13. júna“ v príslušnom gramatickom tvare.</w:t>
      </w:r>
    </w:p>
    <w:p w:rsidR="00792165" w:rsidRPr="00792165" w:rsidP="00792165">
      <w:pPr>
        <w:tabs>
          <w:tab w:val="left" w:pos="284"/>
        </w:tabs>
        <w:bidi w:val="0"/>
        <w:spacing w:after="160"/>
        <w:ind w:left="1080"/>
        <w:contextualSpacing/>
        <w:jc w:val="both"/>
        <w:rPr>
          <w:rFonts w:ascii="Arial" w:hAnsi="Arial" w:cs="Arial"/>
        </w:rPr>
      </w:pPr>
    </w:p>
    <w:p w:rsidR="00792165" w:rsidRPr="00792165" w:rsidP="00792165">
      <w:pPr>
        <w:numPr>
          <w:numId w:val="45"/>
        </w:numPr>
        <w:tabs>
          <w:tab w:val="left" w:pos="284"/>
        </w:tabs>
        <w:bidi w:val="0"/>
        <w:spacing w:after="160"/>
        <w:contextualSpacing/>
        <w:jc w:val="both"/>
        <w:rPr>
          <w:rFonts w:ascii="Arial" w:hAnsi="Arial" w:cs="Arial"/>
        </w:rPr>
      </w:pPr>
      <w:r w:rsidRPr="00792165">
        <w:rPr>
          <w:rFonts w:ascii="Arial" w:hAnsi="Arial" w:cs="Arial"/>
        </w:rPr>
        <w:t>v čl. II bode 6 sa v texte § 879p  slová „31. marca“ vo všetkých tvaroch nahrádzajú slovami „12. júna“ v príslušnom gramatickom tvare.</w:t>
      </w:r>
    </w:p>
    <w:p w:rsidR="00792165" w:rsidRPr="00792165" w:rsidP="00792165">
      <w:pPr>
        <w:tabs>
          <w:tab w:val="left" w:pos="284"/>
        </w:tabs>
        <w:bidi w:val="0"/>
        <w:spacing w:after="160"/>
        <w:ind w:left="1080"/>
        <w:contextualSpacing/>
        <w:jc w:val="both"/>
        <w:rPr>
          <w:rFonts w:ascii="Arial" w:hAnsi="Arial" w:cs="Arial"/>
        </w:rPr>
      </w:pPr>
    </w:p>
    <w:p w:rsidR="00792165" w:rsidRPr="00792165" w:rsidP="00792165">
      <w:pPr>
        <w:numPr>
          <w:numId w:val="45"/>
        </w:numPr>
        <w:tabs>
          <w:tab w:val="left" w:pos="284"/>
        </w:tabs>
        <w:bidi w:val="0"/>
        <w:spacing w:after="160"/>
        <w:contextualSpacing/>
        <w:jc w:val="both"/>
        <w:rPr>
          <w:rFonts w:ascii="Arial" w:hAnsi="Arial" w:cs="Arial"/>
        </w:rPr>
      </w:pPr>
      <w:r w:rsidRPr="00792165">
        <w:rPr>
          <w:rFonts w:ascii="Arial" w:hAnsi="Arial" w:cs="Arial"/>
        </w:rPr>
        <w:t>v čl. VIII bode 24 sa v nadpise a texte § 29b  slová „1. apríla“ vo všetkých tvaroch nahrádzajú slovami „1. mája“ v príslušnom gramatickom tvare a slová „31. marca“ vo všetkých tvaroch nahrádzajú slovami „30. apríla“ v príslušnom gramatickom tvare.</w:t>
      </w:r>
    </w:p>
    <w:p w:rsidR="00792165" w:rsidRPr="00792165" w:rsidP="00792165">
      <w:pPr>
        <w:tabs>
          <w:tab w:val="left" w:pos="284"/>
        </w:tabs>
        <w:bidi w:val="0"/>
        <w:spacing w:after="160"/>
        <w:contextualSpacing/>
        <w:jc w:val="both"/>
        <w:rPr>
          <w:rFonts w:ascii="Arial" w:hAnsi="Arial" w:cs="Arial"/>
        </w:rPr>
      </w:pPr>
    </w:p>
    <w:p w:rsidR="00792165" w:rsidRPr="00792165" w:rsidP="00792165">
      <w:pPr>
        <w:numPr>
          <w:numId w:val="45"/>
        </w:numPr>
        <w:tabs>
          <w:tab w:val="left" w:pos="284"/>
        </w:tabs>
        <w:bidi w:val="0"/>
        <w:spacing w:after="160"/>
        <w:contextualSpacing/>
        <w:jc w:val="both"/>
        <w:rPr>
          <w:rFonts w:ascii="Arial" w:hAnsi="Arial" w:cs="Arial"/>
        </w:rPr>
      </w:pPr>
      <w:r w:rsidRPr="00792165">
        <w:rPr>
          <w:rFonts w:ascii="Arial" w:hAnsi="Arial" w:cs="Arial"/>
        </w:rPr>
        <w:t>v čl. XI bode 11 sa v nadpise a texte § 96a slová „1. apríla“ vo všetkých tvaroch nahrádzajú slovami „1. mája“ v príslušnom gramatickom tvare a slová „31. marca“ vo všetkých tvaroch nahrádzajú slovami „30. apríla“ v príslušnom gramatickom tvare.</w:t>
      </w:r>
    </w:p>
    <w:p w:rsidR="00792165" w:rsidRPr="00792165" w:rsidP="00792165">
      <w:pPr>
        <w:tabs>
          <w:tab w:val="left" w:pos="284"/>
        </w:tabs>
        <w:bidi w:val="0"/>
        <w:spacing w:after="160"/>
        <w:contextualSpacing/>
        <w:jc w:val="both"/>
        <w:rPr>
          <w:rFonts w:ascii="Arial" w:hAnsi="Arial" w:cs="Arial"/>
          <w:color w:val="FF0000"/>
        </w:rPr>
      </w:pPr>
    </w:p>
    <w:p w:rsidR="00792165" w:rsidRPr="00792165" w:rsidP="00792165">
      <w:pPr>
        <w:tabs>
          <w:tab w:val="left" w:pos="3960"/>
        </w:tabs>
        <w:bidi w:val="0"/>
        <w:ind w:left="4248"/>
        <w:jc w:val="both"/>
        <w:rPr>
          <w:rFonts w:ascii="Arial" w:hAnsi="Arial" w:cs="Arial"/>
          <w:i/>
          <w:iCs/>
        </w:rPr>
      </w:pPr>
      <w:r w:rsidRPr="00792165">
        <w:rPr>
          <w:rFonts w:ascii="Arial" w:hAnsi="Arial" w:cs="Arial"/>
          <w:i/>
          <w:iCs/>
        </w:rPr>
        <w:t>Odôvodnenie:</w:t>
      </w:r>
    </w:p>
    <w:p w:rsidR="00792165" w:rsidRPr="00792165" w:rsidP="00792165">
      <w:pPr>
        <w:tabs>
          <w:tab w:val="left" w:pos="3960"/>
        </w:tabs>
        <w:bidi w:val="0"/>
        <w:ind w:left="4248"/>
        <w:jc w:val="both"/>
        <w:rPr>
          <w:rFonts w:ascii="Arial" w:hAnsi="Arial" w:cs="Arial"/>
          <w:i/>
          <w:iCs/>
        </w:rPr>
      </w:pPr>
      <w:r w:rsidRPr="00792165">
        <w:rPr>
          <w:rFonts w:ascii="Arial" w:hAnsi="Arial" w:cs="Arial"/>
          <w:i/>
          <w:iCs/>
        </w:rPr>
        <w:t xml:space="preserve">Legislatívno-technická pripomienka. Vzhľadom na priebeh legislatívneho procesu návrhu zákona je potrebné zabezpečiť aspoň minimálnu legisvakančnú lehotu návrhu zákona, vrátane 15 dňovej lehoty na podpis zákona prezidentom Slovenskej republiky v súlade s Ústavou SR. </w:t>
      </w:r>
    </w:p>
    <w:p w:rsidR="00792165" w:rsidRPr="00792165" w:rsidP="00792165">
      <w:pPr>
        <w:pStyle w:val="ListParagraph"/>
        <w:numPr>
          <w:numId w:val="46"/>
        </w:numPr>
        <w:bidi w:val="0"/>
        <w:spacing w:after="160" w:line="259" w:lineRule="auto"/>
        <w:contextualSpacing/>
        <w:rPr>
          <w:rFonts w:ascii="Arial" w:hAnsi="Arial" w:cs="Arial"/>
          <w:u w:val="single"/>
        </w:rPr>
      </w:pPr>
      <w:r w:rsidRPr="00792165">
        <w:rPr>
          <w:rFonts w:ascii="Arial" w:hAnsi="Arial" w:cs="Arial"/>
          <w:u w:val="single"/>
        </w:rPr>
        <w:t>K prílohe č. 2</w:t>
      </w:r>
    </w:p>
    <w:p w:rsidR="00792165" w:rsidRPr="00792165" w:rsidP="00792165">
      <w:pPr>
        <w:bidi w:val="0"/>
        <w:spacing w:after="160" w:line="259" w:lineRule="auto"/>
        <w:rPr>
          <w:rFonts w:ascii="Arial" w:hAnsi="Arial" w:cs="Arial"/>
        </w:rPr>
      </w:pPr>
      <w:r w:rsidRPr="00792165">
        <w:rPr>
          <w:rFonts w:ascii="Arial" w:hAnsi="Arial" w:cs="Arial"/>
        </w:rPr>
        <w:t>V časti s názvom „Poučenie o uplatnení práva spotrebiteľa na odstúpenie od zmluvy“, v druhom odseku bodu dva sa v texte v zátvorke vypúšťa slovo „kúpnych“.</w:t>
      </w:r>
    </w:p>
    <w:p w:rsidR="00792165" w:rsidRPr="00792165" w:rsidP="00792165">
      <w:pPr>
        <w:bidi w:val="0"/>
        <w:spacing w:after="160" w:line="259" w:lineRule="auto"/>
        <w:rPr>
          <w:rFonts w:ascii="Arial" w:hAnsi="Arial" w:cs="Arial"/>
        </w:rPr>
      </w:pPr>
    </w:p>
    <w:p w:rsidR="00792165" w:rsidRPr="00792165" w:rsidP="00792165">
      <w:pPr>
        <w:bidi w:val="0"/>
        <w:spacing w:after="160" w:line="259" w:lineRule="auto"/>
        <w:ind w:left="4248"/>
        <w:jc w:val="both"/>
        <w:rPr>
          <w:rFonts w:ascii="Arial" w:hAnsi="Arial" w:cs="Arial"/>
          <w:i/>
          <w:iCs/>
        </w:rPr>
      </w:pPr>
      <w:r w:rsidRPr="00792165">
        <w:rPr>
          <w:rFonts w:ascii="Arial" w:hAnsi="Arial" w:cs="Arial"/>
          <w:i/>
          <w:iCs/>
        </w:rPr>
        <w:t>Legislatívno - technická úprava, ktorou sa terminologicky zosúlaďuje text prílohy s normatívnym textom návrhu zákona.</w:t>
      </w:r>
    </w:p>
    <w:p w:rsidR="00343505" w:rsidRPr="00792165" w:rsidP="00E70D51">
      <w:pPr>
        <w:bidi w:val="0"/>
        <w:ind w:left="2268"/>
        <w:jc w:val="both"/>
        <w:rPr>
          <w:rFonts w:ascii="Arial" w:hAnsi="Arial" w:cs="Arial"/>
        </w:rPr>
      </w:pPr>
    </w:p>
    <w:p w:rsidR="00343505" w:rsidP="00E70D51">
      <w:pPr>
        <w:bidi w:val="0"/>
        <w:ind w:left="2268"/>
        <w:jc w:val="both"/>
        <w:rPr>
          <w:rFonts w:ascii="Arial" w:hAnsi="Arial" w:cs="Arial"/>
        </w:rPr>
      </w:pPr>
    </w:p>
    <w:p w:rsidR="005C04B9" w:rsidP="00E70D51">
      <w:pPr>
        <w:bidi w:val="0"/>
        <w:ind w:left="2268"/>
        <w:jc w:val="both"/>
        <w:rPr>
          <w:rFonts w:ascii="Arial" w:hAnsi="Arial" w:cs="Arial"/>
        </w:rPr>
      </w:pPr>
    </w:p>
    <w:p w:rsidR="005C04B9" w:rsidP="00E70D51">
      <w:pPr>
        <w:bidi w:val="0"/>
        <w:ind w:left="2268"/>
        <w:jc w:val="both"/>
        <w:rPr>
          <w:rFonts w:ascii="Arial" w:hAnsi="Arial" w:cs="Arial"/>
        </w:rPr>
      </w:pPr>
    </w:p>
    <w:p w:rsidR="00343505" w:rsidP="00E70D51">
      <w:pPr>
        <w:bidi w:val="0"/>
        <w:ind w:left="2268"/>
        <w:jc w:val="both"/>
        <w:rPr>
          <w:rFonts w:ascii="Arial" w:hAnsi="Arial" w:cs="Arial"/>
        </w:rPr>
      </w:pPr>
    </w:p>
    <w:p w:rsidR="00343505" w:rsidP="00E70D51">
      <w:pPr>
        <w:bidi w:val="0"/>
        <w:ind w:left="2268"/>
        <w:jc w:val="both"/>
        <w:rPr>
          <w:rFonts w:ascii="Arial" w:hAnsi="Arial" w:cs="Arial"/>
        </w:rPr>
      </w:pPr>
    </w:p>
    <w:p w:rsidR="002459B3" w:rsidRPr="002459B3" w:rsidP="002459B3">
      <w:pPr>
        <w:bidi w:val="0"/>
        <w:ind w:left="4956" w:firstLine="708"/>
        <w:rPr>
          <w:rFonts w:ascii="Arial" w:hAnsi="Arial" w:cs="Arial"/>
        </w:rPr>
      </w:pPr>
      <w:r w:rsidRPr="002459B3" w:rsidR="00343505">
        <w:rPr>
          <w:rFonts w:ascii="Arial" w:hAnsi="Arial" w:cs="Arial"/>
        </w:rPr>
        <w:t xml:space="preserve">Ján  </w:t>
      </w:r>
      <w:r w:rsidRPr="002459B3" w:rsidR="00343505">
        <w:rPr>
          <w:rFonts w:ascii="Arial" w:hAnsi="Arial" w:cs="Arial"/>
          <w:b/>
          <w:bCs/>
        </w:rPr>
        <w:t>H u d a c k ý, v.r.</w:t>
      </w:r>
      <w:r w:rsidRPr="002459B3" w:rsidR="00343505">
        <w:rPr>
          <w:rFonts w:ascii="Arial" w:hAnsi="Arial" w:cs="Arial"/>
        </w:rPr>
        <w:t xml:space="preserve">                                                                        </w:t>
      </w:r>
      <w:r w:rsidRPr="002459B3">
        <w:rPr>
          <w:rFonts w:ascii="Arial" w:hAnsi="Arial" w:cs="Arial"/>
        </w:rPr>
        <w:t xml:space="preserve">                </w:t>
      </w:r>
    </w:p>
    <w:p w:rsidR="00343505" w:rsidRPr="002459B3" w:rsidP="002459B3">
      <w:pPr>
        <w:bidi w:val="0"/>
        <w:rPr>
          <w:rFonts w:ascii="Arial" w:hAnsi="Arial" w:cs="Arial"/>
          <w:b/>
        </w:rPr>
      </w:pPr>
      <w:r w:rsidRPr="002459B3" w:rsidR="002459B3">
        <w:rPr>
          <w:rFonts w:ascii="Arial" w:hAnsi="Arial" w:cs="Arial"/>
        </w:rPr>
        <w:t xml:space="preserve">  </w:t>
        <w:tab/>
        <w:tab/>
        <w:tab/>
        <w:tab/>
        <w:tab/>
        <w:tab/>
        <w:tab/>
        <w:tab/>
        <w:t xml:space="preserve">     </w:t>
      </w:r>
      <w:r w:rsidRPr="002459B3">
        <w:rPr>
          <w:rFonts w:ascii="Arial" w:hAnsi="Arial" w:cs="Arial"/>
        </w:rPr>
        <w:t xml:space="preserve">predseda výboru                                                                                    </w:t>
      </w:r>
    </w:p>
    <w:p w:rsidR="002459B3" w:rsidP="002459B3">
      <w:pPr>
        <w:tabs>
          <w:tab w:val="left" w:pos="-1985"/>
          <w:tab w:val="left" w:pos="709"/>
          <w:tab w:val="left" w:pos="1077"/>
        </w:tabs>
        <w:bidi w:val="0"/>
        <w:jc w:val="both"/>
        <w:rPr>
          <w:rFonts w:ascii="Arial" w:hAnsi="Arial" w:cs="Arial"/>
        </w:rPr>
      </w:pPr>
    </w:p>
    <w:p w:rsidR="002459B3" w:rsidP="002459B3">
      <w:pPr>
        <w:tabs>
          <w:tab w:val="left" w:pos="-1985"/>
          <w:tab w:val="left" w:pos="709"/>
          <w:tab w:val="left" w:pos="1077"/>
        </w:tabs>
        <w:bidi w:val="0"/>
        <w:jc w:val="both"/>
        <w:rPr>
          <w:rFonts w:ascii="Arial" w:hAnsi="Arial" w:cs="Arial"/>
          <w:b/>
          <w:bCs/>
        </w:rPr>
      </w:pPr>
      <w:r>
        <w:rPr>
          <w:rFonts w:ascii="Arial" w:hAnsi="Arial" w:cs="Arial"/>
        </w:rPr>
        <w:t xml:space="preserve">Michal  </w:t>
      </w:r>
      <w:r>
        <w:rPr>
          <w:rFonts w:ascii="Arial" w:hAnsi="Arial" w:cs="Arial"/>
          <w:b/>
          <w:bCs/>
        </w:rPr>
        <w:t>B a g a č k a</w:t>
      </w:r>
    </w:p>
    <w:p w:rsidR="002459B3" w:rsidP="002459B3">
      <w:pPr>
        <w:tabs>
          <w:tab w:val="left" w:pos="-1985"/>
          <w:tab w:val="left" w:pos="709"/>
          <w:tab w:val="left" w:pos="1077"/>
        </w:tabs>
        <w:bidi w:val="0"/>
        <w:jc w:val="both"/>
        <w:rPr>
          <w:rFonts w:ascii="Arial" w:hAnsi="Arial" w:cs="Arial"/>
          <w:b/>
        </w:rPr>
      </w:pPr>
      <w:r>
        <w:rPr>
          <w:rFonts w:ascii="Arial" w:hAnsi="Arial" w:cs="Arial"/>
          <w:bCs/>
        </w:rPr>
        <w:t xml:space="preserve">Alojz </w:t>
      </w:r>
      <w:r>
        <w:rPr>
          <w:rFonts w:ascii="Arial" w:hAnsi="Arial" w:cs="Arial"/>
          <w:b/>
          <w:bCs/>
        </w:rPr>
        <w:t>P ř i d a l</w:t>
      </w:r>
    </w:p>
    <w:p w:rsidR="002459B3" w:rsidP="002459B3">
      <w:pPr>
        <w:tabs>
          <w:tab w:val="left" w:pos="-1985"/>
          <w:tab w:val="left" w:pos="709"/>
          <w:tab w:val="left" w:pos="1077"/>
        </w:tabs>
        <w:bidi w:val="0"/>
        <w:jc w:val="both"/>
        <w:rPr>
          <w:rFonts w:ascii="Times New Roman" w:hAnsi="Times New Roman"/>
        </w:rPr>
      </w:pPr>
      <w:r>
        <w:rPr>
          <w:rFonts w:ascii="Arial" w:hAnsi="Arial" w:cs="Arial"/>
        </w:rPr>
        <w:t>overovatelia výboru</w:t>
      </w:r>
    </w:p>
    <w:p w:rsidR="00343505" w:rsidRPr="00E70D51" w:rsidP="002459B3">
      <w:pPr>
        <w:bidi w:val="0"/>
        <w:jc w:val="both"/>
        <w:rPr>
          <w:rFonts w:ascii="Arial" w:hAnsi="Arial" w:cs="Arial"/>
        </w:rPr>
      </w:pPr>
    </w:p>
    <w:sectPr w:rsidSect="00B12DA5">
      <w:footerReference w:type="even" r:id="rId5"/>
      <w:footerReference w:type="default" r:id="rId6"/>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Wingdings">
    <w:altName w:val="Symbol"/>
    <w:panose1 w:val="05000000000000000000"/>
    <w:charset w:val="02"/>
    <w:family w:val="auto"/>
    <w:pitch w:val="variable"/>
    <w:sig w:usb0="00000000" w:usb1="00000000" w:usb2="00000000" w:usb3="00000000" w:csb0="80000000" w:csb1="00000000"/>
  </w:font>
  <w:font w:name="MS Gothic">
    <w:altName w:val="?l?r SVbN"/>
    <w:panose1 w:val="020B0609070205080204"/>
    <w:charset w:val="80"/>
    <w:family w:val="modern"/>
    <w:pitch w:val="fixed"/>
    <w:sig w:usb0="00000000" w:usb1="00000000" w:usb2="00000000" w:usb3="00000000" w:csb0="0002009F"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Arial Unicode MS">
    <w:panose1 w:val="020B0604020202020204"/>
    <w:charset w:val="80"/>
    <w:family w:val="swiss"/>
    <w:pitch w:val="variable"/>
    <w:sig w:usb0="00000000" w:usb1="00000000" w:usb2="00000000" w:usb3="00000000" w:csb0="000301FF" w:csb1="00000000"/>
  </w:font>
  <w:font w:name="AT*Toronto">
    <w:altName w:val="Times New Roman"/>
    <w:panose1 w:val="00000000000000000000"/>
    <w:charset w:val="00"/>
    <w:family w:val="auto"/>
    <w:pitch w:val="variable"/>
    <w:sig w:usb0="00000000" w:usb1="00000000" w:usb2="00000000" w:usb3="00000000" w:csb0="00000001" w:csb1="00000000"/>
  </w:font>
  <w:font w:name="@MS Gothic">
    <w:panose1 w:val="020B0609070205080204"/>
    <w:charset w:val="80"/>
    <w:family w:val="modern"/>
    <w:pitch w:val="fixed"/>
    <w:sig w:usb0="00000000" w:usb1="00000000" w:usb2="00000000" w:usb3="00000000" w:csb0="0002009F" w:csb1="00000000"/>
  </w:font>
  <w:font w:name="Lucida Grande">
    <w:altName w:val="Arial"/>
    <w:panose1 w:val="00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C18" w:rsidP="00B31C1B">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755C18" w:rsidP="00B12DA5">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4B9">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0F4641">
      <w:rPr>
        <w:rFonts w:ascii="Times New Roman" w:hAnsi="Times New Roman"/>
        <w:noProof/>
      </w:rPr>
      <w:t>5</w:t>
    </w:r>
    <w:r>
      <w:rPr>
        <w:rFonts w:ascii="Times New Roman" w:hAnsi="Times New Roman"/>
      </w:rPr>
      <w:fldChar w:fldCharType="end"/>
    </w:r>
  </w:p>
  <w:p w:rsidR="00755C18" w:rsidP="00B12DA5">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A6D8D"/>
    <w:multiLevelType w:val="hybridMultilevel"/>
    <w:tmpl w:val="F248479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6B802C3"/>
    <w:multiLevelType w:val="hybridMultilevel"/>
    <w:tmpl w:val="5E5C6A3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9DE36D0"/>
    <w:multiLevelType w:val="hybridMultilevel"/>
    <w:tmpl w:val="C3A2C08C"/>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4D727DE"/>
    <w:multiLevelType w:val="hybridMultilevel"/>
    <w:tmpl w:val="80E4522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decimal"/>
      <w:lvlText w:val="%3."/>
      <w:lvlJc w:val="right"/>
      <w:pPr>
        <w:ind w:left="180" w:hanging="180"/>
      </w:pPr>
      <w:rPr>
        <w:rFonts w:cs="Times New Roman" w:hint="default"/>
        <w:b w:val="0"/>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53F4318"/>
    <w:multiLevelType w:val="hybridMultilevel"/>
    <w:tmpl w:val="6CF0D008"/>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5">
    <w:nsid w:val="1CD661B1"/>
    <w:multiLevelType w:val="hybridMultilevel"/>
    <w:tmpl w:val="97E252E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F4964E1"/>
    <w:multiLevelType w:val="hybridMultilevel"/>
    <w:tmpl w:val="4D1A6152"/>
    <w:lvl w:ilvl="0">
      <w:start w:val="1"/>
      <w:numFmt w:val="lowerLetter"/>
      <w:lvlText w:val="%1)"/>
      <w:lvlJc w:val="left"/>
      <w:pPr>
        <w:ind w:left="720" w:hanging="360"/>
      </w:pPr>
      <w:rPr>
        <w:rFonts w:cs="Times New Roman"/>
        <w:rtl w:val="0"/>
        <w:cs w:val="0"/>
      </w:rPr>
    </w:lvl>
    <w:lvl w:ilvl="1">
      <w:start w:val="1"/>
      <w:numFmt w:val="decimal"/>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207D2414"/>
    <w:multiLevelType w:val="hybridMultilevel"/>
    <w:tmpl w:val="5984A782"/>
    <w:lvl w:ilvl="0">
      <w:start w:val="9"/>
      <w:numFmt w:val="decimal"/>
      <w:lvlText w:val="%1."/>
      <w:lvlJc w:val="left"/>
      <w:pPr>
        <w:ind w:left="786" w:hanging="360"/>
      </w:pPr>
      <w:rPr>
        <w:rFonts w:cs="Times New Roman" w:hint="default"/>
        <w:b/>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8">
    <w:nsid w:val="20EF1942"/>
    <w:multiLevelType w:val="hybridMultilevel"/>
    <w:tmpl w:val="5BDCA3EC"/>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25D80217"/>
    <w:multiLevelType w:val="hybridMultilevel"/>
    <w:tmpl w:val="D71E3612"/>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0">
    <w:nsid w:val="25DB7E74"/>
    <w:multiLevelType w:val="singleLevel"/>
    <w:tmpl w:val="39F038C2"/>
    <w:lvl w:ilvl="0">
      <w:start w:val="1"/>
      <w:numFmt w:val="upperLetter"/>
      <w:pStyle w:val="Heading3"/>
      <w:lvlText w:val="%1."/>
      <w:lvlJc w:val="left"/>
      <w:pPr>
        <w:tabs>
          <w:tab w:val="num" w:pos="420"/>
        </w:tabs>
        <w:ind w:left="420" w:hanging="420"/>
      </w:pPr>
      <w:rPr>
        <w:rFonts w:cs="Times New Roman" w:hint="default"/>
        <w:rtl w:val="0"/>
        <w:cs w:val="0"/>
      </w:rPr>
    </w:lvl>
  </w:abstractNum>
  <w:abstractNum w:abstractNumId="11">
    <w:nsid w:val="27D02164"/>
    <w:multiLevelType w:val="hybridMultilevel"/>
    <w:tmpl w:val="604E106E"/>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2">
    <w:nsid w:val="28E8014E"/>
    <w:multiLevelType w:val="hybridMultilevel"/>
    <w:tmpl w:val="4A7CD906"/>
    <w:lvl w:ilvl="0">
      <w:start w:val="1"/>
      <w:numFmt w:val="decimal"/>
      <w:lvlText w:val="%1."/>
      <w:lvlJc w:val="left"/>
      <w:pPr>
        <w:ind w:left="1428" w:hanging="360"/>
      </w:pPr>
      <w:rPr>
        <w:rFonts w:cs="Times New Roman"/>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13">
    <w:nsid w:val="2B0B7041"/>
    <w:multiLevelType w:val="hybridMultilevel"/>
    <w:tmpl w:val="071883C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2B1740A3"/>
    <w:multiLevelType w:val="hybridMultilevel"/>
    <w:tmpl w:val="D0EA4902"/>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5">
    <w:nsid w:val="31762DA5"/>
    <w:multiLevelType w:val="hybridMultilevel"/>
    <w:tmpl w:val="762A90C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32D54C65"/>
    <w:multiLevelType w:val="hybridMultilevel"/>
    <w:tmpl w:val="0E702552"/>
    <w:lvl w:ilvl="0">
      <w:start w:val="1"/>
      <w:numFmt w:val="decimal"/>
      <w:lvlText w:val="%1."/>
      <w:lvlJc w:val="left"/>
      <w:pPr>
        <w:ind w:left="360" w:hanging="360"/>
      </w:pPr>
      <w:rPr>
        <w:rFonts w:cs="Times New Roman" w:hint="default"/>
        <w:b/>
        <w:i w:val="0"/>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33464441"/>
    <w:multiLevelType w:val="hybridMultilevel"/>
    <w:tmpl w:val="CB109D34"/>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8">
    <w:nsid w:val="33561545"/>
    <w:multiLevelType w:val="hybridMultilevel"/>
    <w:tmpl w:val="7E60B03A"/>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9">
    <w:nsid w:val="339E7FBB"/>
    <w:multiLevelType w:val="hybridMultilevel"/>
    <w:tmpl w:val="D4F44FE8"/>
    <w:lvl w:ilvl="0">
      <w:start w:val="1"/>
      <w:numFmt w:val="decimal"/>
      <w:lvlText w:val="%1."/>
      <w:lvlJc w:val="left"/>
      <w:pPr>
        <w:ind w:left="1495" w:hanging="360"/>
      </w:pPr>
      <w:rPr>
        <w:rFonts w:cs="Times New Roman" w:hint="default"/>
        <w:b/>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0">
    <w:nsid w:val="33A207C4"/>
    <w:multiLevelType w:val="hybridMultilevel"/>
    <w:tmpl w:val="4940B146"/>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1">
    <w:nsid w:val="37045F3B"/>
    <w:multiLevelType w:val="hybridMultilevel"/>
    <w:tmpl w:val="EC286A0C"/>
    <w:lvl w:ilvl="0">
      <w:start w:val="1"/>
      <w:numFmt w:val="decimal"/>
      <w:lvlText w:val="%1."/>
      <w:lvlJc w:val="left"/>
      <w:pPr>
        <w:tabs>
          <w:tab w:val="num" w:pos="1620"/>
        </w:tabs>
        <w:ind w:left="1620" w:hanging="360"/>
      </w:pPr>
      <w:rPr>
        <w:rFonts w:ascii="Arial" w:eastAsia="Times New Roman" w:hAnsi="Arial" w:cs="Arial"/>
        <w:b w:val="0"/>
        <w:bCs w:val="0"/>
        <w:i w:val="0"/>
        <w:iCs w:val="0"/>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3BEB5DED"/>
    <w:multiLevelType w:val="hybridMultilevel"/>
    <w:tmpl w:val="218A16BC"/>
    <w:lvl w:ilvl="0">
      <w:start w:val="1"/>
      <w:numFmt w:val="decimal"/>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23">
    <w:nsid w:val="40720952"/>
    <w:multiLevelType w:val="hybridMultilevel"/>
    <w:tmpl w:val="2474DA80"/>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24">
    <w:nsid w:val="475B3203"/>
    <w:multiLevelType w:val="multilevel"/>
    <w:tmpl w:val="7AE040EE"/>
    <w:lvl w:ilvl="0">
      <w:start w:val="1"/>
      <w:numFmt w:val="none"/>
      <w:suff w:val="nothing"/>
      <w:lvlJc w:val="left"/>
      <w:pPr>
        <w:ind w:left="720"/>
      </w:pPr>
      <w:rPr>
        <w:rFonts w:cs="Times New Roman"/>
        <w:rtl w:val="0"/>
        <w:cs w:val="0"/>
      </w:rPr>
    </w:lvl>
    <w:lvl w:ilvl="1">
      <w:start w:val="1"/>
      <w:numFmt w:val="none"/>
      <w:pStyle w:val="AONormal"/>
      <w:suff w:val="nothing"/>
      <w:lvlJc w:val="left"/>
      <w:pPr>
        <w:ind w:left="1440"/>
      </w:pPr>
      <w:rPr>
        <w:rFonts w:cs="Times New Roman"/>
        <w:rtl w:val="0"/>
        <w:cs w:val="0"/>
      </w:rPr>
    </w:lvl>
    <w:lvl w:ilvl="2">
      <w:start w:val="1"/>
      <w:numFmt w:val="none"/>
      <w:pStyle w:val="AODocTxt"/>
      <w:suff w:val="nothing"/>
      <w:lvlJc w:val="left"/>
      <w:pPr>
        <w:ind w:left="2160"/>
      </w:pPr>
      <w:rPr>
        <w:rFonts w:cs="Times New Roman"/>
        <w:rtl w:val="0"/>
        <w:cs w:val="0"/>
      </w:rPr>
    </w:lvl>
    <w:lvl w:ilvl="3">
      <w:start w:val="1"/>
      <w:numFmt w:val="none"/>
      <w:pStyle w:val="AODocTxtL1"/>
      <w:suff w:val="nothing"/>
      <w:lvlJc w:val="left"/>
      <w:pPr>
        <w:ind w:left="2880"/>
      </w:pPr>
      <w:rPr>
        <w:rFonts w:cs="Times New Roman"/>
        <w:rtl w:val="0"/>
        <w:cs w:val="0"/>
      </w:rPr>
    </w:lvl>
    <w:lvl w:ilvl="4">
      <w:start w:val="1"/>
      <w:numFmt w:val="none"/>
      <w:pStyle w:val="AODocTxtL2"/>
      <w:suff w:val="nothing"/>
      <w:lvlJc w:val="left"/>
      <w:pPr>
        <w:ind w:left="3600"/>
      </w:pPr>
      <w:rPr>
        <w:rFonts w:cs="Times New Roman"/>
        <w:rtl w:val="0"/>
        <w:cs w:val="0"/>
      </w:rPr>
    </w:lvl>
    <w:lvl w:ilvl="5">
      <w:start w:val="1"/>
      <w:numFmt w:val="none"/>
      <w:pStyle w:val="AODocTxtL3"/>
      <w:suff w:val="nothing"/>
      <w:lvlJc w:val="left"/>
      <w:pPr>
        <w:ind w:left="4320"/>
      </w:pPr>
      <w:rPr>
        <w:rFonts w:cs="Times New Roman"/>
        <w:rtl w:val="0"/>
        <w:cs w:val="0"/>
      </w:rPr>
    </w:lvl>
    <w:lvl w:ilvl="6">
      <w:start w:val="1"/>
      <w:numFmt w:val="none"/>
      <w:pStyle w:val="AODocTxtL4"/>
      <w:suff w:val="nothing"/>
      <w:lvlJc w:val="left"/>
      <w:pPr>
        <w:ind w:left="5040"/>
      </w:pPr>
      <w:rPr>
        <w:rFonts w:cs="Times New Roman"/>
        <w:rtl w:val="0"/>
        <w:cs w:val="0"/>
      </w:rPr>
    </w:lvl>
    <w:lvl w:ilvl="7">
      <w:start w:val="1"/>
      <w:numFmt w:val="none"/>
      <w:pStyle w:val="AODocTxtL5"/>
      <w:suff w:val="nothing"/>
      <w:lvlJc w:val="left"/>
      <w:pPr>
        <w:ind w:left="5760"/>
      </w:pPr>
      <w:rPr>
        <w:rFonts w:cs="Times New Roman"/>
        <w:rtl w:val="0"/>
        <w:cs w:val="0"/>
      </w:rPr>
    </w:lvl>
    <w:lvl w:ilvl="8">
      <w:start w:val="1"/>
      <w:numFmt w:val="none"/>
      <w:pStyle w:val="AODocTxtL6"/>
      <w:suff w:val="nothing"/>
      <w:lvlJc w:val="left"/>
      <w:pPr>
        <w:ind w:left="6480"/>
      </w:pPr>
      <w:rPr>
        <w:rFonts w:cs="Times New Roman"/>
        <w:rtl w:val="0"/>
        <w:cs w:val="0"/>
      </w:rPr>
    </w:lvl>
  </w:abstractNum>
  <w:abstractNum w:abstractNumId="25">
    <w:nsid w:val="488432EC"/>
    <w:multiLevelType w:val="hybridMultilevel"/>
    <w:tmpl w:val="E60C05FE"/>
    <w:lvl w:ilvl="0">
      <w:start w:val="0"/>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6">
    <w:nsid w:val="48AB7D04"/>
    <w:multiLevelType w:val="hybridMultilevel"/>
    <w:tmpl w:val="AF70F1D8"/>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4B8B68D1"/>
    <w:multiLevelType w:val="hybridMultilevel"/>
    <w:tmpl w:val="32CE771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4BEF6150"/>
    <w:multiLevelType w:val="hybridMultilevel"/>
    <w:tmpl w:val="EE7EE2C0"/>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9">
    <w:nsid w:val="4E991860"/>
    <w:multiLevelType w:val="hybridMultilevel"/>
    <w:tmpl w:val="B95E0426"/>
    <w:lvl w:ilvl="0">
      <w:start w:val="1"/>
      <w:numFmt w:val="lowerLetter"/>
      <w:lvlText w:val="%1)"/>
      <w:lvlJc w:val="left"/>
      <w:pPr>
        <w:ind w:left="1429" w:hanging="360"/>
      </w:pPr>
      <w:rPr>
        <w:rFonts w:cs="Times New Roman"/>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30">
    <w:nsid w:val="4F663CDC"/>
    <w:multiLevelType w:val="hybridMultilevel"/>
    <w:tmpl w:val="493E53EE"/>
    <w:lvl w:ilvl="0">
      <w:start w:val="1"/>
      <w:numFmt w:val="lowerLetter"/>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31">
    <w:nsid w:val="528F033E"/>
    <w:multiLevelType w:val="hybridMultilevel"/>
    <w:tmpl w:val="2702BA56"/>
    <w:lvl w:ilvl="0">
      <w:start w:val="1"/>
      <w:numFmt w:val="upperRoman"/>
      <w:lvlText w:val="%1."/>
      <w:lvlJc w:val="left"/>
      <w:pPr>
        <w:tabs>
          <w:tab w:val="num" w:pos="1260"/>
        </w:tabs>
        <w:ind w:left="1260" w:hanging="720"/>
      </w:pPr>
      <w:rPr>
        <w:rFonts w:cs="Times New Roman"/>
        <w:rtl w:val="0"/>
        <w:cs w:val="0"/>
      </w:rPr>
    </w:lvl>
    <w:lvl w:ilvl="1">
      <w:start w:val="1"/>
      <w:numFmt w:val="decimal"/>
      <w:lvlText w:val="%2."/>
      <w:lvlJc w:val="left"/>
      <w:pPr>
        <w:tabs>
          <w:tab w:val="num" w:pos="1620"/>
        </w:tabs>
        <w:ind w:left="1620" w:hanging="360"/>
      </w:pPr>
      <w:rPr>
        <w:rFonts w:ascii="Arial" w:eastAsia="Times New Roman" w:hAnsi="Arial" w:cs="Arial"/>
        <w:b w:val="0"/>
        <w:bCs w:val="0"/>
        <w:i w:val="0"/>
        <w:iCs w:val="0"/>
        <w:color w:val="auto"/>
        <w:rtl w:val="0"/>
        <w:cs w:val="0"/>
      </w:rPr>
    </w:lvl>
    <w:lvl w:ilvl="2">
      <w:start w:val="1"/>
      <w:numFmt w:val="lowerLetter"/>
      <w:lvlText w:val="%3)"/>
      <w:lvlJc w:val="left"/>
      <w:pPr>
        <w:ind w:left="2520" w:hanging="360"/>
      </w:pPr>
      <w:rPr>
        <w:rFonts w:cs="Times New Roman"/>
        <w:rtl w:val="0"/>
        <w:cs w:val="0"/>
      </w:rPr>
    </w:lvl>
    <w:lvl w:ilvl="3">
      <w:start w:val="1"/>
      <w:numFmt w:val="decimal"/>
      <w:lvlText w:val="%4."/>
      <w:lvlJc w:val="left"/>
      <w:pPr>
        <w:tabs>
          <w:tab w:val="num" w:pos="3060"/>
        </w:tabs>
        <w:ind w:left="3060" w:hanging="360"/>
      </w:pPr>
      <w:rPr>
        <w:rFonts w:cs="Times New Roman"/>
        <w:rtl w:val="0"/>
        <w:cs w:val="0"/>
      </w:rPr>
    </w:lvl>
    <w:lvl w:ilvl="4">
      <w:start w:val="1"/>
      <w:numFmt w:val="lowerLetter"/>
      <w:lvlText w:val="%5."/>
      <w:lvlJc w:val="left"/>
      <w:pPr>
        <w:tabs>
          <w:tab w:val="num" w:pos="3780"/>
        </w:tabs>
        <w:ind w:left="3780" w:hanging="360"/>
      </w:pPr>
      <w:rPr>
        <w:rFonts w:cs="Times New Roman"/>
        <w:rtl w:val="0"/>
        <w:cs w:val="0"/>
      </w:rPr>
    </w:lvl>
    <w:lvl w:ilvl="5">
      <w:start w:val="1"/>
      <w:numFmt w:val="lowerRoman"/>
      <w:lvlText w:val="%6."/>
      <w:lvlJc w:val="right"/>
      <w:pPr>
        <w:tabs>
          <w:tab w:val="num" w:pos="4500"/>
        </w:tabs>
        <w:ind w:left="4500" w:hanging="180"/>
      </w:pPr>
      <w:rPr>
        <w:rFonts w:cs="Times New Roman"/>
        <w:rtl w:val="0"/>
        <w:cs w:val="0"/>
      </w:rPr>
    </w:lvl>
    <w:lvl w:ilvl="6">
      <w:start w:val="1"/>
      <w:numFmt w:val="decimal"/>
      <w:lvlText w:val="%7."/>
      <w:lvlJc w:val="left"/>
      <w:pPr>
        <w:tabs>
          <w:tab w:val="num" w:pos="5220"/>
        </w:tabs>
        <w:ind w:left="5220" w:hanging="360"/>
      </w:pPr>
      <w:rPr>
        <w:rFonts w:cs="Times New Roman"/>
        <w:rtl w:val="0"/>
        <w:cs w:val="0"/>
      </w:rPr>
    </w:lvl>
    <w:lvl w:ilvl="7">
      <w:start w:val="1"/>
      <w:numFmt w:val="lowerLetter"/>
      <w:lvlText w:val="%8."/>
      <w:lvlJc w:val="left"/>
      <w:pPr>
        <w:tabs>
          <w:tab w:val="num" w:pos="5940"/>
        </w:tabs>
        <w:ind w:left="5940" w:hanging="360"/>
      </w:pPr>
      <w:rPr>
        <w:rFonts w:cs="Times New Roman"/>
        <w:rtl w:val="0"/>
        <w:cs w:val="0"/>
      </w:rPr>
    </w:lvl>
    <w:lvl w:ilvl="8">
      <w:start w:val="1"/>
      <w:numFmt w:val="lowerRoman"/>
      <w:lvlText w:val="%9."/>
      <w:lvlJc w:val="right"/>
      <w:pPr>
        <w:tabs>
          <w:tab w:val="num" w:pos="6660"/>
        </w:tabs>
        <w:ind w:left="6660" w:hanging="180"/>
      </w:pPr>
      <w:rPr>
        <w:rFonts w:cs="Times New Roman"/>
        <w:rtl w:val="0"/>
        <w:cs w:val="0"/>
      </w:rPr>
    </w:lvl>
  </w:abstractNum>
  <w:abstractNum w:abstractNumId="32">
    <w:nsid w:val="55672783"/>
    <w:multiLevelType w:val="hybridMultilevel"/>
    <w:tmpl w:val="B60A4FBA"/>
    <w:lvl w:ilvl="0">
      <w:start w:val="3"/>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33">
    <w:nsid w:val="562056D4"/>
    <w:multiLevelType w:val="hybridMultilevel"/>
    <w:tmpl w:val="EE806322"/>
    <w:lvl w:ilvl="0">
      <w:start w:val="1"/>
      <w:numFmt w:val="decimal"/>
      <w:lvlText w:val="%1."/>
      <w:lvlJc w:val="left"/>
      <w:pPr>
        <w:ind w:left="1429" w:hanging="360"/>
      </w:pPr>
      <w:rPr>
        <w:rFonts w:cs="Times New Roman"/>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34">
    <w:nsid w:val="59BC3EFB"/>
    <w:multiLevelType w:val="hybridMultilevel"/>
    <w:tmpl w:val="CF207DE8"/>
    <w:lvl w:ilvl="0">
      <w:start w:val="1"/>
      <w:numFmt w:val="decimal"/>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5">
    <w:nsid w:val="5CBE21B9"/>
    <w:multiLevelType w:val="hybridMultilevel"/>
    <w:tmpl w:val="E7182AB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5DC34264"/>
    <w:multiLevelType w:val="hybridMultilevel"/>
    <w:tmpl w:val="94C4B654"/>
    <w:lvl w:ilvl="0">
      <w:start w:val="2"/>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7">
    <w:nsid w:val="66D84C1A"/>
    <w:multiLevelType w:val="hybridMultilevel"/>
    <w:tmpl w:val="8C94B0F0"/>
    <w:lvl w:ilvl="0">
      <w:start w:val="3"/>
      <w:numFmt w:val="upp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3"/>
      <w:numFmt w:val="upperLetter"/>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8">
    <w:nsid w:val="6FC533FE"/>
    <w:multiLevelType w:val="hybridMultilevel"/>
    <w:tmpl w:val="C816869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9">
    <w:nsid w:val="70EC4BC1"/>
    <w:multiLevelType w:val="hybridMultilevel"/>
    <w:tmpl w:val="D5746ECC"/>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decimal"/>
      <w:lvlText w:val="%3."/>
      <w:lvlJc w:val="left"/>
      <w:pPr>
        <w:ind w:left="2406" w:hanging="360"/>
      </w:pPr>
      <w:rPr>
        <w:rFonts w:cs="Times New Roman" w:hint="default"/>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40">
    <w:nsid w:val="715103F1"/>
    <w:multiLevelType w:val="hybridMultilevel"/>
    <w:tmpl w:val="A7C496C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hint="default"/>
        <w:rtl w:val="0"/>
        <w:cs w:val="0"/>
      </w:rPr>
    </w:lvl>
    <w:lvl w:ilvl="2">
      <w:start w:val="1"/>
      <w:numFmt w:val="decimal"/>
      <w:lvlText w:val="(%3)"/>
      <w:lvlJc w:val="left"/>
      <w:pPr>
        <w:ind w:left="2340" w:hanging="360"/>
      </w:pPr>
      <w:rPr>
        <w:rFonts w:cs="Times New Roman" w:hint="default"/>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1">
    <w:nsid w:val="71B0367E"/>
    <w:multiLevelType w:val="hybridMultilevel"/>
    <w:tmpl w:val="17D259E8"/>
    <w:lvl w:ilvl="0">
      <w:start w:val="1"/>
      <w:numFmt w:val="lowerLetter"/>
      <w:lvlText w:val="%1)"/>
      <w:lvlJc w:val="left"/>
      <w:pPr>
        <w:ind w:left="1506" w:hanging="360"/>
      </w:pPr>
      <w:rPr>
        <w:rFonts w:cs="Times New Roman"/>
        <w:rtl w:val="0"/>
        <w:cs w:val="0"/>
      </w:rPr>
    </w:lvl>
    <w:lvl w:ilvl="1">
      <w:start w:val="1"/>
      <w:numFmt w:val="lowerLetter"/>
      <w:lvlText w:val="%2."/>
      <w:lvlJc w:val="left"/>
      <w:pPr>
        <w:ind w:left="2226" w:hanging="360"/>
      </w:pPr>
      <w:rPr>
        <w:rFonts w:cs="Times New Roman"/>
        <w:rtl w:val="0"/>
        <w:cs w:val="0"/>
      </w:rPr>
    </w:lvl>
    <w:lvl w:ilvl="2">
      <w:start w:val="1"/>
      <w:numFmt w:val="lowerRoman"/>
      <w:lvlText w:val="%3."/>
      <w:lvlJc w:val="right"/>
      <w:pPr>
        <w:ind w:left="2946" w:hanging="180"/>
      </w:pPr>
      <w:rPr>
        <w:rFonts w:cs="Times New Roman"/>
        <w:rtl w:val="0"/>
        <w:cs w:val="0"/>
      </w:rPr>
    </w:lvl>
    <w:lvl w:ilvl="3">
      <w:start w:val="1"/>
      <w:numFmt w:val="decimal"/>
      <w:lvlText w:val="%4."/>
      <w:lvlJc w:val="left"/>
      <w:pPr>
        <w:ind w:left="3666" w:hanging="360"/>
      </w:pPr>
      <w:rPr>
        <w:rFonts w:cs="Times New Roman"/>
        <w:rtl w:val="0"/>
        <w:cs w:val="0"/>
      </w:rPr>
    </w:lvl>
    <w:lvl w:ilvl="4">
      <w:start w:val="1"/>
      <w:numFmt w:val="lowerLetter"/>
      <w:lvlText w:val="%5."/>
      <w:lvlJc w:val="left"/>
      <w:pPr>
        <w:ind w:left="4386" w:hanging="360"/>
      </w:pPr>
      <w:rPr>
        <w:rFonts w:cs="Times New Roman"/>
        <w:rtl w:val="0"/>
        <w:cs w:val="0"/>
      </w:rPr>
    </w:lvl>
    <w:lvl w:ilvl="5">
      <w:start w:val="1"/>
      <w:numFmt w:val="lowerRoman"/>
      <w:lvlText w:val="%6."/>
      <w:lvlJc w:val="right"/>
      <w:pPr>
        <w:ind w:left="5106" w:hanging="180"/>
      </w:pPr>
      <w:rPr>
        <w:rFonts w:cs="Times New Roman"/>
        <w:rtl w:val="0"/>
        <w:cs w:val="0"/>
      </w:rPr>
    </w:lvl>
    <w:lvl w:ilvl="6">
      <w:start w:val="1"/>
      <w:numFmt w:val="decimal"/>
      <w:lvlText w:val="%7."/>
      <w:lvlJc w:val="left"/>
      <w:pPr>
        <w:ind w:left="5826" w:hanging="360"/>
      </w:pPr>
      <w:rPr>
        <w:rFonts w:cs="Times New Roman"/>
        <w:rtl w:val="0"/>
        <w:cs w:val="0"/>
      </w:rPr>
    </w:lvl>
    <w:lvl w:ilvl="7">
      <w:start w:val="1"/>
      <w:numFmt w:val="lowerLetter"/>
      <w:lvlText w:val="%8."/>
      <w:lvlJc w:val="left"/>
      <w:pPr>
        <w:ind w:left="6546" w:hanging="360"/>
      </w:pPr>
      <w:rPr>
        <w:rFonts w:cs="Times New Roman"/>
        <w:rtl w:val="0"/>
        <w:cs w:val="0"/>
      </w:rPr>
    </w:lvl>
    <w:lvl w:ilvl="8">
      <w:start w:val="1"/>
      <w:numFmt w:val="lowerRoman"/>
      <w:lvlText w:val="%9."/>
      <w:lvlJc w:val="right"/>
      <w:pPr>
        <w:ind w:left="7266" w:hanging="180"/>
      </w:pPr>
      <w:rPr>
        <w:rFonts w:cs="Times New Roman"/>
        <w:rtl w:val="0"/>
        <w:cs w:val="0"/>
      </w:rPr>
    </w:lvl>
  </w:abstractNum>
  <w:abstractNum w:abstractNumId="42">
    <w:nsid w:val="72FA37CA"/>
    <w:multiLevelType w:val="hybridMultilevel"/>
    <w:tmpl w:val="F490F6C8"/>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43">
    <w:nsid w:val="74646E8E"/>
    <w:multiLevelType w:val="hybridMultilevel"/>
    <w:tmpl w:val="3F96EB96"/>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4">
    <w:nsid w:val="75075DB1"/>
    <w:multiLevelType w:val="hybridMultilevel"/>
    <w:tmpl w:val="E318D2E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5">
    <w:nsid w:val="7D056CBB"/>
    <w:multiLevelType w:val="hybridMultilevel"/>
    <w:tmpl w:val="70DC029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decimal"/>
      <w:lvlText w:val="%3."/>
      <w:lvlJc w:val="right"/>
      <w:pPr>
        <w:ind w:left="2160" w:hanging="180"/>
      </w:pPr>
      <w:rPr>
        <w:rFonts w:cs="Times New Roman" w:hint="default"/>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0"/>
  </w:num>
  <w:num w:numId="2">
    <w:abstractNumId w:val="24"/>
  </w:num>
  <w:num w:numId="3">
    <w:abstractNumId w:val="0"/>
  </w:num>
  <w:num w:numId="4">
    <w:abstractNumId w:val="37"/>
  </w:num>
  <w:num w:numId="5">
    <w:abstractNumId w:val="36"/>
  </w:num>
  <w:num w:numId="6">
    <w:abstractNumId w:val="8"/>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27"/>
  </w:num>
  <w:num w:numId="10">
    <w:abstractNumId w:val="32"/>
  </w:num>
  <w:num w:numId="11">
    <w:abstractNumId w:val="44"/>
  </w:num>
  <w:num w:numId="12">
    <w:abstractNumId w:val="42"/>
  </w:num>
  <w:num w:numId="13">
    <w:abstractNumId w:val="12"/>
  </w:num>
  <w:num w:numId="14">
    <w:abstractNumId w:val="1"/>
  </w:num>
  <w:num w:numId="15">
    <w:abstractNumId w:val="38"/>
  </w:num>
  <w:num w:numId="16">
    <w:abstractNumId w:val="4"/>
  </w:num>
  <w:num w:numId="17">
    <w:abstractNumId w:val="3"/>
  </w:num>
  <w:num w:numId="18">
    <w:abstractNumId w:val="45"/>
  </w:num>
  <w:num w:numId="19">
    <w:abstractNumId w:val="19"/>
  </w:num>
  <w:num w:numId="20">
    <w:abstractNumId w:val="26"/>
  </w:num>
  <w:num w:numId="21">
    <w:abstractNumId w:val="2"/>
  </w:num>
  <w:num w:numId="22">
    <w:abstractNumId w:val="28"/>
  </w:num>
  <w:num w:numId="23">
    <w:abstractNumId w:val="14"/>
  </w:num>
  <w:num w:numId="24">
    <w:abstractNumId w:val="18"/>
  </w:num>
  <w:num w:numId="25">
    <w:abstractNumId w:val="17"/>
  </w:num>
  <w:num w:numId="26">
    <w:abstractNumId w:val="29"/>
  </w:num>
  <w:num w:numId="27">
    <w:abstractNumId w:val="30"/>
  </w:num>
  <w:num w:numId="28">
    <w:abstractNumId w:val="9"/>
  </w:num>
  <w:num w:numId="29">
    <w:abstractNumId w:val="40"/>
  </w:num>
  <w:num w:numId="30">
    <w:abstractNumId w:val="6"/>
  </w:num>
  <w:num w:numId="31">
    <w:abstractNumId w:val="34"/>
  </w:num>
  <w:num w:numId="32">
    <w:abstractNumId w:val="20"/>
  </w:num>
  <w:num w:numId="33">
    <w:abstractNumId w:val="15"/>
  </w:num>
  <w:num w:numId="34">
    <w:abstractNumId w:val="39"/>
  </w:num>
  <w:num w:numId="35">
    <w:abstractNumId w:val="41"/>
  </w:num>
  <w:num w:numId="36">
    <w:abstractNumId w:val="22"/>
  </w:num>
  <w:num w:numId="37">
    <w:abstractNumId w:val="23"/>
  </w:num>
  <w:num w:numId="38">
    <w:abstractNumId w:val="35"/>
  </w:num>
  <w:num w:numId="39">
    <w:abstractNumId w:val="43"/>
  </w:num>
  <w:num w:numId="40">
    <w:abstractNumId w:val="11"/>
  </w:num>
  <w:num w:numId="41">
    <w:abstractNumId w:val="5"/>
  </w:num>
  <w:num w:numId="42">
    <w:abstractNumId w:val="13"/>
  </w:num>
  <w:num w:numId="43">
    <w:abstractNumId w:val="33"/>
  </w:num>
  <w:num w:numId="44">
    <w:abstractNumId w:val="16"/>
  </w:num>
  <w:num w:numId="45">
    <w:abstractNumId w:val="25"/>
  </w:num>
  <w:num w:numId="4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3F1811"/>
    <w:rsid w:val="00007A5C"/>
    <w:rsid w:val="00010544"/>
    <w:rsid w:val="0001338E"/>
    <w:rsid w:val="00014A2B"/>
    <w:rsid w:val="000157BC"/>
    <w:rsid w:val="000215E9"/>
    <w:rsid w:val="000217D7"/>
    <w:rsid w:val="00024682"/>
    <w:rsid w:val="00036847"/>
    <w:rsid w:val="000401ED"/>
    <w:rsid w:val="00040E91"/>
    <w:rsid w:val="00042C75"/>
    <w:rsid w:val="00043142"/>
    <w:rsid w:val="00046C91"/>
    <w:rsid w:val="00050568"/>
    <w:rsid w:val="00050FE5"/>
    <w:rsid w:val="00056F29"/>
    <w:rsid w:val="0006389B"/>
    <w:rsid w:val="00070F59"/>
    <w:rsid w:val="00071230"/>
    <w:rsid w:val="00071298"/>
    <w:rsid w:val="00081141"/>
    <w:rsid w:val="000922CF"/>
    <w:rsid w:val="000955AC"/>
    <w:rsid w:val="00097B16"/>
    <w:rsid w:val="000A0380"/>
    <w:rsid w:val="000B4565"/>
    <w:rsid w:val="000D226A"/>
    <w:rsid w:val="000D2883"/>
    <w:rsid w:val="000D5D51"/>
    <w:rsid w:val="000F2310"/>
    <w:rsid w:val="000F2CA6"/>
    <w:rsid w:val="000F2F76"/>
    <w:rsid w:val="000F4641"/>
    <w:rsid w:val="000F7F2B"/>
    <w:rsid w:val="001047F3"/>
    <w:rsid w:val="00106191"/>
    <w:rsid w:val="00106546"/>
    <w:rsid w:val="00106567"/>
    <w:rsid w:val="00106601"/>
    <w:rsid w:val="00122F36"/>
    <w:rsid w:val="001240F4"/>
    <w:rsid w:val="001244BD"/>
    <w:rsid w:val="001251A5"/>
    <w:rsid w:val="00140FC5"/>
    <w:rsid w:val="001458F5"/>
    <w:rsid w:val="00145D17"/>
    <w:rsid w:val="0015098B"/>
    <w:rsid w:val="00154657"/>
    <w:rsid w:val="001577CB"/>
    <w:rsid w:val="00157E41"/>
    <w:rsid w:val="001633C6"/>
    <w:rsid w:val="0016522C"/>
    <w:rsid w:val="00165388"/>
    <w:rsid w:val="00171B83"/>
    <w:rsid w:val="001831FD"/>
    <w:rsid w:val="0019396E"/>
    <w:rsid w:val="00195D1D"/>
    <w:rsid w:val="001A0B13"/>
    <w:rsid w:val="001A6F11"/>
    <w:rsid w:val="001B0B69"/>
    <w:rsid w:val="001D5CAD"/>
    <w:rsid w:val="001D79F3"/>
    <w:rsid w:val="001E151D"/>
    <w:rsid w:val="001E67C4"/>
    <w:rsid w:val="001F11C0"/>
    <w:rsid w:val="001F20AC"/>
    <w:rsid w:val="001F2F66"/>
    <w:rsid w:val="001F4E25"/>
    <w:rsid w:val="001F5149"/>
    <w:rsid w:val="00202B6F"/>
    <w:rsid w:val="00207319"/>
    <w:rsid w:val="002102AF"/>
    <w:rsid w:val="0021221E"/>
    <w:rsid w:val="0022161D"/>
    <w:rsid w:val="002264EE"/>
    <w:rsid w:val="002301A9"/>
    <w:rsid w:val="002459B3"/>
    <w:rsid w:val="00255451"/>
    <w:rsid w:val="00256B8E"/>
    <w:rsid w:val="002627B9"/>
    <w:rsid w:val="00270932"/>
    <w:rsid w:val="00277025"/>
    <w:rsid w:val="00277A33"/>
    <w:rsid w:val="00280A1F"/>
    <w:rsid w:val="0028251E"/>
    <w:rsid w:val="002916A2"/>
    <w:rsid w:val="002B11B1"/>
    <w:rsid w:val="002B2DF6"/>
    <w:rsid w:val="002B564A"/>
    <w:rsid w:val="002C0C20"/>
    <w:rsid w:val="002C10FB"/>
    <w:rsid w:val="002D2A34"/>
    <w:rsid w:val="002D4CAA"/>
    <w:rsid w:val="002E6938"/>
    <w:rsid w:val="002E6A6F"/>
    <w:rsid w:val="002F1C84"/>
    <w:rsid w:val="002F40D1"/>
    <w:rsid w:val="002F6DCA"/>
    <w:rsid w:val="00305186"/>
    <w:rsid w:val="00307E5F"/>
    <w:rsid w:val="0031217B"/>
    <w:rsid w:val="0031566C"/>
    <w:rsid w:val="003305C7"/>
    <w:rsid w:val="00336BE0"/>
    <w:rsid w:val="00340562"/>
    <w:rsid w:val="00343505"/>
    <w:rsid w:val="0034406B"/>
    <w:rsid w:val="003515BA"/>
    <w:rsid w:val="00351F5F"/>
    <w:rsid w:val="003568D1"/>
    <w:rsid w:val="003629E8"/>
    <w:rsid w:val="00362FB8"/>
    <w:rsid w:val="00366B6D"/>
    <w:rsid w:val="0036748E"/>
    <w:rsid w:val="003718A6"/>
    <w:rsid w:val="003777C3"/>
    <w:rsid w:val="003808FF"/>
    <w:rsid w:val="00382BAA"/>
    <w:rsid w:val="00390931"/>
    <w:rsid w:val="00392897"/>
    <w:rsid w:val="00392C06"/>
    <w:rsid w:val="003B28B3"/>
    <w:rsid w:val="003C4821"/>
    <w:rsid w:val="003D16CC"/>
    <w:rsid w:val="003E1A13"/>
    <w:rsid w:val="003E3BC3"/>
    <w:rsid w:val="003E64FC"/>
    <w:rsid w:val="003E69BB"/>
    <w:rsid w:val="003F1811"/>
    <w:rsid w:val="003F3D93"/>
    <w:rsid w:val="003F758D"/>
    <w:rsid w:val="0040098A"/>
    <w:rsid w:val="004040AB"/>
    <w:rsid w:val="004046B5"/>
    <w:rsid w:val="00411ACA"/>
    <w:rsid w:val="00415004"/>
    <w:rsid w:val="004162A1"/>
    <w:rsid w:val="004217EB"/>
    <w:rsid w:val="004373E8"/>
    <w:rsid w:val="004375D7"/>
    <w:rsid w:val="0044088F"/>
    <w:rsid w:val="00444C9D"/>
    <w:rsid w:val="00447A28"/>
    <w:rsid w:val="00447AF4"/>
    <w:rsid w:val="00450B7B"/>
    <w:rsid w:val="00453CF1"/>
    <w:rsid w:val="00462F2C"/>
    <w:rsid w:val="0046375F"/>
    <w:rsid w:val="0047755B"/>
    <w:rsid w:val="00477D15"/>
    <w:rsid w:val="00484254"/>
    <w:rsid w:val="00485C3A"/>
    <w:rsid w:val="00487B16"/>
    <w:rsid w:val="00491694"/>
    <w:rsid w:val="00493643"/>
    <w:rsid w:val="004B21BB"/>
    <w:rsid w:val="004B2AFF"/>
    <w:rsid w:val="004B6E65"/>
    <w:rsid w:val="004B72E6"/>
    <w:rsid w:val="004B7EC5"/>
    <w:rsid w:val="004C22EE"/>
    <w:rsid w:val="004C2B3F"/>
    <w:rsid w:val="004C34C2"/>
    <w:rsid w:val="004C39AC"/>
    <w:rsid w:val="004C47AB"/>
    <w:rsid w:val="004C7FE5"/>
    <w:rsid w:val="004D3E15"/>
    <w:rsid w:val="004D431D"/>
    <w:rsid w:val="004D4552"/>
    <w:rsid w:val="004D6C9E"/>
    <w:rsid w:val="004E34A5"/>
    <w:rsid w:val="004E5293"/>
    <w:rsid w:val="004E6A19"/>
    <w:rsid w:val="004F7B4D"/>
    <w:rsid w:val="005008E5"/>
    <w:rsid w:val="00521DCA"/>
    <w:rsid w:val="005239A3"/>
    <w:rsid w:val="005242C8"/>
    <w:rsid w:val="00527135"/>
    <w:rsid w:val="0053513E"/>
    <w:rsid w:val="0053793F"/>
    <w:rsid w:val="005504C8"/>
    <w:rsid w:val="005605A4"/>
    <w:rsid w:val="005625A4"/>
    <w:rsid w:val="005627E4"/>
    <w:rsid w:val="00567967"/>
    <w:rsid w:val="005719A0"/>
    <w:rsid w:val="00573336"/>
    <w:rsid w:val="00577984"/>
    <w:rsid w:val="00577C1F"/>
    <w:rsid w:val="00580944"/>
    <w:rsid w:val="00585558"/>
    <w:rsid w:val="0059163C"/>
    <w:rsid w:val="005A17FA"/>
    <w:rsid w:val="005A2A79"/>
    <w:rsid w:val="005C04B9"/>
    <w:rsid w:val="005C4064"/>
    <w:rsid w:val="005D17F2"/>
    <w:rsid w:val="005D20AB"/>
    <w:rsid w:val="005D2778"/>
    <w:rsid w:val="005D46AC"/>
    <w:rsid w:val="005E0F20"/>
    <w:rsid w:val="005E23DF"/>
    <w:rsid w:val="005E386B"/>
    <w:rsid w:val="005E4D9C"/>
    <w:rsid w:val="005E6C1D"/>
    <w:rsid w:val="005E7471"/>
    <w:rsid w:val="005F0110"/>
    <w:rsid w:val="005F2928"/>
    <w:rsid w:val="005F38DC"/>
    <w:rsid w:val="005F4AFB"/>
    <w:rsid w:val="005F6186"/>
    <w:rsid w:val="006000E0"/>
    <w:rsid w:val="006063EB"/>
    <w:rsid w:val="00613099"/>
    <w:rsid w:val="00620445"/>
    <w:rsid w:val="006205E7"/>
    <w:rsid w:val="00620D0B"/>
    <w:rsid w:val="00620E03"/>
    <w:rsid w:val="0063307B"/>
    <w:rsid w:val="006345E6"/>
    <w:rsid w:val="00645499"/>
    <w:rsid w:val="00645D97"/>
    <w:rsid w:val="00653716"/>
    <w:rsid w:val="0065771D"/>
    <w:rsid w:val="0066015C"/>
    <w:rsid w:val="00662DCB"/>
    <w:rsid w:val="00662DF3"/>
    <w:rsid w:val="00675CF8"/>
    <w:rsid w:val="00681062"/>
    <w:rsid w:val="00681985"/>
    <w:rsid w:val="006A3860"/>
    <w:rsid w:val="006A45ED"/>
    <w:rsid w:val="006A6D3F"/>
    <w:rsid w:val="006A7A6D"/>
    <w:rsid w:val="006C4A64"/>
    <w:rsid w:val="006D0B0B"/>
    <w:rsid w:val="006D0BCC"/>
    <w:rsid w:val="006D374F"/>
    <w:rsid w:val="006D4A09"/>
    <w:rsid w:val="006D4A8F"/>
    <w:rsid w:val="006D5213"/>
    <w:rsid w:val="006D6597"/>
    <w:rsid w:val="006E27B7"/>
    <w:rsid w:val="006E4B6F"/>
    <w:rsid w:val="006F4258"/>
    <w:rsid w:val="006F758E"/>
    <w:rsid w:val="006F760E"/>
    <w:rsid w:val="00703CF1"/>
    <w:rsid w:val="0070533C"/>
    <w:rsid w:val="007120C4"/>
    <w:rsid w:val="007206E9"/>
    <w:rsid w:val="00726604"/>
    <w:rsid w:val="00730D0E"/>
    <w:rsid w:val="007324A1"/>
    <w:rsid w:val="00736413"/>
    <w:rsid w:val="00737355"/>
    <w:rsid w:val="0074040B"/>
    <w:rsid w:val="007528D4"/>
    <w:rsid w:val="00755C18"/>
    <w:rsid w:val="007626A4"/>
    <w:rsid w:val="0076346A"/>
    <w:rsid w:val="0076601C"/>
    <w:rsid w:val="0076693D"/>
    <w:rsid w:val="00792165"/>
    <w:rsid w:val="00795115"/>
    <w:rsid w:val="007A15DD"/>
    <w:rsid w:val="007A3B12"/>
    <w:rsid w:val="007B4455"/>
    <w:rsid w:val="007B7698"/>
    <w:rsid w:val="007C0186"/>
    <w:rsid w:val="007D5A81"/>
    <w:rsid w:val="007D67CC"/>
    <w:rsid w:val="007F10EF"/>
    <w:rsid w:val="007F57B3"/>
    <w:rsid w:val="007F5CB3"/>
    <w:rsid w:val="007F6F28"/>
    <w:rsid w:val="00802E3D"/>
    <w:rsid w:val="0080470D"/>
    <w:rsid w:val="008053AD"/>
    <w:rsid w:val="008066D2"/>
    <w:rsid w:val="00811F18"/>
    <w:rsid w:val="008228D8"/>
    <w:rsid w:val="0082333D"/>
    <w:rsid w:val="008314AD"/>
    <w:rsid w:val="0083686D"/>
    <w:rsid w:val="00837BBE"/>
    <w:rsid w:val="00842C0B"/>
    <w:rsid w:val="0085008B"/>
    <w:rsid w:val="00852767"/>
    <w:rsid w:val="00853EE7"/>
    <w:rsid w:val="00863959"/>
    <w:rsid w:val="00867EF1"/>
    <w:rsid w:val="00870897"/>
    <w:rsid w:val="008743DC"/>
    <w:rsid w:val="00876D52"/>
    <w:rsid w:val="00881555"/>
    <w:rsid w:val="0088372A"/>
    <w:rsid w:val="00886AEF"/>
    <w:rsid w:val="008872CE"/>
    <w:rsid w:val="008975E1"/>
    <w:rsid w:val="008A5E9A"/>
    <w:rsid w:val="008A63F9"/>
    <w:rsid w:val="008A77CD"/>
    <w:rsid w:val="008B0E59"/>
    <w:rsid w:val="008B511D"/>
    <w:rsid w:val="008B779B"/>
    <w:rsid w:val="008C10BE"/>
    <w:rsid w:val="008C1ADF"/>
    <w:rsid w:val="008D20B9"/>
    <w:rsid w:val="008D6DE8"/>
    <w:rsid w:val="008E6B7C"/>
    <w:rsid w:val="008E6C16"/>
    <w:rsid w:val="008F2636"/>
    <w:rsid w:val="008F3A50"/>
    <w:rsid w:val="009065BC"/>
    <w:rsid w:val="00911B3A"/>
    <w:rsid w:val="0091432E"/>
    <w:rsid w:val="0091555F"/>
    <w:rsid w:val="00950887"/>
    <w:rsid w:val="009573FA"/>
    <w:rsid w:val="00966D12"/>
    <w:rsid w:val="00973C15"/>
    <w:rsid w:val="00977DD0"/>
    <w:rsid w:val="00980FEE"/>
    <w:rsid w:val="00983562"/>
    <w:rsid w:val="009846B3"/>
    <w:rsid w:val="00990C7C"/>
    <w:rsid w:val="009938F1"/>
    <w:rsid w:val="009A4DFA"/>
    <w:rsid w:val="009A631C"/>
    <w:rsid w:val="009B0091"/>
    <w:rsid w:val="009B25FD"/>
    <w:rsid w:val="009B349B"/>
    <w:rsid w:val="009B43AD"/>
    <w:rsid w:val="009B6157"/>
    <w:rsid w:val="009C27F1"/>
    <w:rsid w:val="009F053E"/>
    <w:rsid w:val="009F07F2"/>
    <w:rsid w:val="00A0089E"/>
    <w:rsid w:val="00A014FB"/>
    <w:rsid w:val="00A11E39"/>
    <w:rsid w:val="00A152E2"/>
    <w:rsid w:val="00A24A27"/>
    <w:rsid w:val="00A334CC"/>
    <w:rsid w:val="00A355C4"/>
    <w:rsid w:val="00A36A70"/>
    <w:rsid w:val="00A436E0"/>
    <w:rsid w:val="00A50F34"/>
    <w:rsid w:val="00A53E86"/>
    <w:rsid w:val="00A62B07"/>
    <w:rsid w:val="00A64A66"/>
    <w:rsid w:val="00A7008D"/>
    <w:rsid w:val="00A73792"/>
    <w:rsid w:val="00A77B81"/>
    <w:rsid w:val="00A828C2"/>
    <w:rsid w:val="00A85C47"/>
    <w:rsid w:val="00A87416"/>
    <w:rsid w:val="00A92253"/>
    <w:rsid w:val="00A929F2"/>
    <w:rsid w:val="00A96BCE"/>
    <w:rsid w:val="00A96D39"/>
    <w:rsid w:val="00AB134B"/>
    <w:rsid w:val="00AB1EC9"/>
    <w:rsid w:val="00AB38E4"/>
    <w:rsid w:val="00AD6BE7"/>
    <w:rsid w:val="00AF7FD1"/>
    <w:rsid w:val="00B0126A"/>
    <w:rsid w:val="00B016C3"/>
    <w:rsid w:val="00B06746"/>
    <w:rsid w:val="00B06985"/>
    <w:rsid w:val="00B12DA5"/>
    <w:rsid w:val="00B14EB3"/>
    <w:rsid w:val="00B316CD"/>
    <w:rsid w:val="00B31C1B"/>
    <w:rsid w:val="00B32ADF"/>
    <w:rsid w:val="00B358D4"/>
    <w:rsid w:val="00B4466C"/>
    <w:rsid w:val="00B620A2"/>
    <w:rsid w:val="00B70E2C"/>
    <w:rsid w:val="00B73B73"/>
    <w:rsid w:val="00B73BB3"/>
    <w:rsid w:val="00B76013"/>
    <w:rsid w:val="00B8497D"/>
    <w:rsid w:val="00B850BE"/>
    <w:rsid w:val="00B91218"/>
    <w:rsid w:val="00B937DA"/>
    <w:rsid w:val="00BA2221"/>
    <w:rsid w:val="00BA43E5"/>
    <w:rsid w:val="00BB2383"/>
    <w:rsid w:val="00BB52C7"/>
    <w:rsid w:val="00BC1EF2"/>
    <w:rsid w:val="00BC2D70"/>
    <w:rsid w:val="00BC4C00"/>
    <w:rsid w:val="00BE1296"/>
    <w:rsid w:val="00BE1444"/>
    <w:rsid w:val="00BF642A"/>
    <w:rsid w:val="00BF71E7"/>
    <w:rsid w:val="00C20C8A"/>
    <w:rsid w:val="00C265A0"/>
    <w:rsid w:val="00C26E0E"/>
    <w:rsid w:val="00C320FE"/>
    <w:rsid w:val="00C34355"/>
    <w:rsid w:val="00C353C2"/>
    <w:rsid w:val="00C44AE0"/>
    <w:rsid w:val="00C45484"/>
    <w:rsid w:val="00C47F34"/>
    <w:rsid w:val="00C62C12"/>
    <w:rsid w:val="00C62D82"/>
    <w:rsid w:val="00C723D9"/>
    <w:rsid w:val="00C74BF4"/>
    <w:rsid w:val="00C76C56"/>
    <w:rsid w:val="00C95ADC"/>
    <w:rsid w:val="00CA1DD9"/>
    <w:rsid w:val="00CA4AE1"/>
    <w:rsid w:val="00CA684E"/>
    <w:rsid w:val="00CB4008"/>
    <w:rsid w:val="00CB7AD3"/>
    <w:rsid w:val="00CC4136"/>
    <w:rsid w:val="00CD14B7"/>
    <w:rsid w:val="00CD2A94"/>
    <w:rsid w:val="00CD2F38"/>
    <w:rsid w:val="00CD3485"/>
    <w:rsid w:val="00CD4930"/>
    <w:rsid w:val="00CE0341"/>
    <w:rsid w:val="00CE2EFA"/>
    <w:rsid w:val="00CE7D5D"/>
    <w:rsid w:val="00D02ECA"/>
    <w:rsid w:val="00D0610A"/>
    <w:rsid w:val="00D0784E"/>
    <w:rsid w:val="00D113A5"/>
    <w:rsid w:val="00D1453E"/>
    <w:rsid w:val="00D150C5"/>
    <w:rsid w:val="00D22F22"/>
    <w:rsid w:val="00D279F2"/>
    <w:rsid w:val="00D27CF5"/>
    <w:rsid w:val="00D32378"/>
    <w:rsid w:val="00D416F8"/>
    <w:rsid w:val="00D42F6E"/>
    <w:rsid w:val="00D51767"/>
    <w:rsid w:val="00D543FC"/>
    <w:rsid w:val="00D620AE"/>
    <w:rsid w:val="00D643C3"/>
    <w:rsid w:val="00D66442"/>
    <w:rsid w:val="00D736FC"/>
    <w:rsid w:val="00D83C58"/>
    <w:rsid w:val="00D90766"/>
    <w:rsid w:val="00DA51FD"/>
    <w:rsid w:val="00DA7E83"/>
    <w:rsid w:val="00DB239F"/>
    <w:rsid w:val="00DC2F07"/>
    <w:rsid w:val="00DC55BB"/>
    <w:rsid w:val="00DD4565"/>
    <w:rsid w:val="00DE1D27"/>
    <w:rsid w:val="00DF2048"/>
    <w:rsid w:val="00DF57DD"/>
    <w:rsid w:val="00DF7DAF"/>
    <w:rsid w:val="00E060C2"/>
    <w:rsid w:val="00E24180"/>
    <w:rsid w:val="00E24361"/>
    <w:rsid w:val="00E25C38"/>
    <w:rsid w:val="00E27117"/>
    <w:rsid w:val="00E37E48"/>
    <w:rsid w:val="00E40707"/>
    <w:rsid w:val="00E44395"/>
    <w:rsid w:val="00E45025"/>
    <w:rsid w:val="00E46968"/>
    <w:rsid w:val="00E51F97"/>
    <w:rsid w:val="00E52078"/>
    <w:rsid w:val="00E6126C"/>
    <w:rsid w:val="00E671FA"/>
    <w:rsid w:val="00E700DA"/>
    <w:rsid w:val="00E70D51"/>
    <w:rsid w:val="00E73197"/>
    <w:rsid w:val="00E74085"/>
    <w:rsid w:val="00E74956"/>
    <w:rsid w:val="00E86CCA"/>
    <w:rsid w:val="00E92076"/>
    <w:rsid w:val="00E932FD"/>
    <w:rsid w:val="00E97A9C"/>
    <w:rsid w:val="00EA0F1B"/>
    <w:rsid w:val="00EA5DC2"/>
    <w:rsid w:val="00EA6846"/>
    <w:rsid w:val="00EB254F"/>
    <w:rsid w:val="00EC6F6C"/>
    <w:rsid w:val="00ED6971"/>
    <w:rsid w:val="00EF2148"/>
    <w:rsid w:val="00F00C52"/>
    <w:rsid w:val="00F0104A"/>
    <w:rsid w:val="00F03CA8"/>
    <w:rsid w:val="00F046BA"/>
    <w:rsid w:val="00F06819"/>
    <w:rsid w:val="00F07CB2"/>
    <w:rsid w:val="00F12772"/>
    <w:rsid w:val="00F15772"/>
    <w:rsid w:val="00F17C0E"/>
    <w:rsid w:val="00F2079E"/>
    <w:rsid w:val="00F234E3"/>
    <w:rsid w:val="00F431AA"/>
    <w:rsid w:val="00F526D0"/>
    <w:rsid w:val="00F5407E"/>
    <w:rsid w:val="00F636F9"/>
    <w:rsid w:val="00F701FA"/>
    <w:rsid w:val="00F77110"/>
    <w:rsid w:val="00F83392"/>
    <w:rsid w:val="00F83BA5"/>
    <w:rsid w:val="00F8411C"/>
    <w:rsid w:val="00F8433D"/>
    <w:rsid w:val="00F9309E"/>
    <w:rsid w:val="00FA0D68"/>
    <w:rsid w:val="00FA62B0"/>
    <w:rsid w:val="00FC0ED8"/>
    <w:rsid w:val="00FC2EF5"/>
    <w:rsid w:val="00FC3E60"/>
    <w:rsid w:val="00FC46BF"/>
    <w:rsid w:val="00FC518D"/>
    <w:rsid w:val="00FC7A13"/>
    <w:rsid w:val="00FD1CAF"/>
    <w:rsid w:val="00FD1F75"/>
    <w:rsid w:val="00FD2144"/>
    <w:rsid w:val="00FD730F"/>
    <w:rsid w:val="00FE20AD"/>
    <w:rsid w:val="00FE24D2"/>
    <w:rsid w:val="00FE5549"/>
    <w:rsid w:val="00FE596C"/>
    <w:rsid w:val="00FE7480"/>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footer" w:uiPriority="99"/>
    <w:lsdException w:name="caption" w:semiHidden="1" w:uiPriority="35" w:unhideWhenUsed="1" w:qFormat="1"/>
    <w:lsdException w:name="annotation reference" w:uiPriority="99"/>
    <w:lsdException w:name="Title" w:uiPriority="10" w:qFormat="1"/>
    <w:lsdException w:name="Body Text Indent" w:uiPriority="99"/>
    <w:lsdException w:name="Subtitle" w:uiPriority="11" w:qFormat="1"/>
    <w:lsdException w:name="Strong" w:uiPriority="22" w:qFormat="1"/>
    <w:lsdException w:name="Emphasis" w:uiPriority="20" w:qFormat="1"/>
    <w:lsdException w:name="Plain Text"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pPr>
      <w:keepNext/>
      <w:spacing w:line="240" w:lineRule="atLeast"/>
      <w:jc w:val="both"/>
      <w:outlineLvl w:val="0"/>
    </w:pPr>
    <w:rPr>
      <w:b/>
    </w:rPr>
  </w:style>
  <w:style w:type="paragraph" w:styleId="Heading2">
    <w:name w:val="heading 2"/>
    <w:basedOn w:val="Normal"/>
    <w:next w:val="Normal"/>
    <w:link w:val="Nadpis2Char"/>
    <w:uiPriority w:val="9"/>
    <w:qFormat/>
    <w:pPr>
      <w:keepNext/>
      <w:spacing w:line="240" w:lineRule="atLeast"/>
      <w:jc w:val="center"/>
      <w:outlineLvl w:val="1"/>
    </w:pPr>
    <w:rPr>
      <w:rFonts w:ascii="AT*Toronto" w:hAnsi="AT*Toronto"/>
      <w:color w:val="0000FF"/>
      <w:sz w:val="28"/>
      <w:szCs w:val="20"/>
      <w:lang w:val="cs-CZ"/>
    </w:rPr>
  </w:style>
  <w:style w:type="paragraph" w:styleId="Heading3">
    <w:name w:val="heading 3"/>
    <w:basedOn w:val="Normal"/>
    <w:next w:val="Normal"/>
    <w:link w:val="Nadpis3Char"/>
    <w:uiPriority w:val="9"/>
    <w:qFormat/>
    <w:pPr>
      <w:keepNext/>
      <w:numPr>
        <w:numId w:val="1"/>
      </w:numPr>
      <w:tabs>
        <w:tab w:val="num" w:pos="420"/>
      </w:tabs>
      <w:ind w:left="420" w:hanging="420"/>
      <w:jc w:val="both"/>
      <w:outlineLvl w:val="2"/>
    </w:pPr>
    <w:rPr>
      <w:rFonts w:ascii="AT*Toronto" w:hAnsi="AT*Toronto"/>
      <w:b/>
      <w:color w:val="0000FF"/>
      <w:szCs w:val="20"/>
      <w:lang w:val="cs-CZ"/>
    </w:rPr>
  </w:style>
  <w:style w:type="paragraph" w:styleId="Heading4">
    <w:name w:val="heading 4"/>
    <w:basedOn w:val="Normal"/>
    <w:next w:val="Normal"/>
    <w:link w:val="Nadpis4Char"/>
    <w:uiPriority w:val="9"/>
    <w:qFormat/>
    <w:pPr>
      <w:keepNext/>
      <w:jc w:val="both"/>
      <w:outlineLvl w:val="3"/>
    </w:pPr>
    <w:rPr>
      <w:rFonts w:ascii="AT*Toronto" w:hAnsi="AT*Toronto"/>
      <w:b/>
      <w:color w:val="0000FF"/>
      <w:szCs w:val="20"/>
      <w:lang w:val="cs-CZ"/>
    </w:rPr>
  </w:style>
  <w:style w:type="paragraph" w:styleId="Heading5">
    <w:name w:val="heading 5"/>
    <w:basedOn w:val="Normal"/>
    <w:next w:val="Normal"/>
    <w:link w:val="Nadpis5Char"/>
    <w:uiPriority w:val="9"/>
    <w:qFormat/>
    <w:pPr>
      <w:keepNext/>
      <w:spacing w:line="240" w:lineRule="atLeast"/>
      <w:jc w:val="center"/>
      <w:outlineLvl w:val="4"/>
    </w:pPr>
    <w:rPr>
      <w:rFonts w:ascii="Times New Roman" w:eastAsia="Arial Unicode MS" w:hAnsi="Times New Roman"/>
      <w:b/>
    </w:rPr>
  </w:style>
  <w:style w:type="paragraph" w:styleId="Heading6">
    <w:name w:val="heading 6"/>
    <w:basedOn w:val="Normal"/>
    <w:next w:val="Normal"/>
    <w:link w:val="Nadpis6Char"/>
    <w:uiPriority w:val="9"/>
    <w:qFormat/>
    <w:pPr>
      <w:keepNext/>
      <w:spacing w:line="240" w:lineRule="atLeast"/>
      <w:jc w:val="both"/>
      <w:outlineLvl w:val="5"/>
    </w:pPr>
    <w:rPr>
      <w:bCs/>
      <w:i/>
      <w:iCs/>
    </w:rPr>
  </w:style>
  <w:style w:type="paragraph" w:styleId="Heading7">
    <w:name w:val="heading 7"/>
    <w:basedOn w:val="Normal"/>
    <w:next w:val="Normal"/>
    <w:link w:val="Nadpis7Char"/>
    <w:uiPriority w:val="9"/>
    <w:qFormat/>
    <w:rsid w:val="00487B16"/>
    <w:pPr>
      <w:spacing w:before="240" w:after="60"/>
      <w:jc w:val="left"/>
      <w:outlineLvl w:val="6"/>
    </w:pPr>
  </w:style>
  <w:style w:type="paragraph" w:styleId="Heading8">
    <w:name w:val="heading 8"/>
    <w:basedOn w:val="Normal"/>
    <w:next w:val="Normal"/>
    <w:link w:val="Nadpis8Char"/>
    <w:uiPriority w:val="9"/>
    <w:semiHidden/>
    <w:unhideWhenUsed/>
    <w:qFormat/>
    <w:rsid w:val="003E64FC"/>
    <w:pPr>
      <w:keepNext/>
      <w:keepLines/>
      <w:spacing w:before="200"/>
      <w:jc w:val="left"/>
      <w:outlineLvl w:val="7"/>
    </w:pPr>
    <w:rPr>
      <w:rFonts w:ascii="Cambria" w:eastAsia="MS Gothic" w:hAnsi="Cambria"/>
      <w:color w:val="4F81BD"/>
      <w:sz w:val="20"/>
      <w:szCs w:val="20"/>
    </w:rPr>
  </w:style>
  <w:style w:type="paragraph" w:styleId="Heading9">
    <w:name w:val="heading 9"/>
    <w:basedOn w:val="Normal"/>
    <w:next w:val="Normal"/>
    <w:link w:val="Nadpis9Char"/>
    <w:uiPriority w:val="9"/>
    <w:semiHidden/>
    <w:unhideWhenUsed/>
    <w:qFormat/>
    <w:rsid w:val="003E64FC"/>
    <w:pPr>
      <w:keepNext/>
      <w:keepLines/>
      <w:spacing w:before="200"/>
      <w:jc w:val="left"/>
      <w:outlineLvl w:val="8"/>
    </w:pPr>
    <w:rPr>
      <w:rFonts w:ascii="Cambria" w:eastAsia="MS Gothic" w:hAnsi="Cambria"/>
      <w:i/>
      <w:iCs/>
      <w:color w:val="404040"/>
      <w:sz w:val="20"/>
      <w:szCs w:val="20"/>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rPr>
  </w:style>
  <w:style w:type="character" w:customStyle="1" w:styleId="Nadpis3Char">
    <w:name w:val="Nadpis 3 Char"/>
    <w:basedOn w:val="DefaultParagraphFont"/>
    <w:link w:val="Heading3"/>
    <w:uiPriority w:val="9"/>
    <w:locked/>
    <w:rPr>
      <w:rFonts w:asciiTheme="majorHAnsi" w:eastAsiaTheme="majorEastAsia" w:hAnsiTheme="majorHAnsi" w:cs="Times New Roman"/>
      <w:b/>
      <w:bCs/>
      <w:sz w:val="26"/>
      <w:szCs w:val="26"/>
      <w:rtl w:val="0"/>
      <w:cs w:val="0"/>
    </w:rPr>
  </w:style>
  <w:style w:type="character" w:customStyle="1" w:styleId="Nadpis4Char">
    <w:name w:val="Nadpis 4 Char"/>
    <w:basedOn w:val="DefaultParagraphFont"/>
    <w:link w:val="Heading4"/>
    <w:uiPriority w:val="9"/>
    <w:locked/>
    <w:rPr>
      <w:rFonts w:asciiTheme="minorHAnsi" w:eastAsiaTheme="minorEastAsia" w:hAnsiTheme="minorHAnsi" w:cs="Times New Roman"/>
      <w:b/>
      <w:bCs/>
      <w:sz w:val="28"/>
      <w:szCs w:val="28"/>
      <w:rtl w:val="0"/>
      <w:cs w:val="0"/>
    </w:rPr>
  </w:style>
  <w:style w:type="character" w:customStyle="1" w:styleId="Nadpis5Char">
    <w:name w:val="Nadpis 5 Char"/>
    <w:basedOn w:val="DefaultParagraphFont"/>
    <w:link w:val="Heading5"/>
    <w:uiPriority w:val="9"/>
    <w:locked/>
    <w:rPr>
      <w:rFonts w:asciiTheme="minorHAnsi" w:eastAsiaTheme="minorEastAsia" w:hAnsiTheme="minorHAnsi" w:cs="Times New Roman"/>
      <w:b/>
      <w:bCs/>
      <w:i/>
      <w:iCs/>
      <w:sz w:val="26"/>
      <w:szCs w:val="26"/>
      <w:rtl w:val="0"/>
      <w:cs w:val="0"/>
    </w:rPr>
  </w:style>
  <w:style w:type="character" w:customStyle="1" w:styleId="Nadpis6Char">
    <w:name w:val="Nadpis 6 Char"/>
    <w:basedOn w:val="DefaultParagraphFont"/>
    <w:link w:val="Heading6"/>
    <w:uiPriority w:val="9"/>
    <w:locked/>
    <w:rPr>
      <w:rFonts w:asciiTheme="minorHAnsi" w:eastAsiaTheme="minorEastAsia" w:hAnsiTheme="minorHAnsi" w:cs="Times New Roman"/>
      <w:b/>
      <w:bCs/>
      <w:sz w:val="22"/>
      <w:szCs w:val="22"/>
      <w:rtl w:val="0"/>
      <w:cs w:val="0"/>
    </w:rPr>
  </w:style>
  <w:style w:type="character" w:customStyle="1" w:styleId="Nadpis7Char">
    <w:name w:val="Nadpis 7 Char"/>
    <w:basedOn w:val="DefaultParagraphFont"/>
    <w:link w:val="Heading7"/>
    <w:uiPriority w:val="9"/>
    <w:locked/>
    <w:rPr>
      <w:rFonts w:asciiTheme="minorHAnsi" w:eastAsiaTheme="minorEastAsia" w:hAnsiTheme="minorHAnsi" w:cs="Times New Roman"/>
      <w:sz w:val="24"/>
      <w:szCs w:val="24"/>
      <w:rtl w:val="0"/>
      <w:cs w:val="0"/>
    </w:rPr>
  </w:style>
  <w:style w:type="character" w:customStyle="1" w:styleId="Nadpis8Char">
    <w:name w:val="Nadpis 8 Char"/>
    <w:basedOn w:val="DefaultParagraphFont"/>
    <w:link w:val="Heading8"/>
    <w:uiPriority w:val="9"/>
    <w:semiHidden/>
    <w:locked/>
    <w:rsid w:val="003E64FC"/>
    <w:rPr>
      <w:rFonts w:ascii="Cambria" w:eastAsia="MS Gothic" w:hAnsi="Cambria" w:cs="Times New Roman"/>
      <w:color w:val="4F81BD"/>
      <w:rtl w:val="0"/>
      <w:cs w:val="0"/>
    </w:rPr>
  </w:style>
  <w:style w:type="character" w:customStyle="1" w:styleId="Nadpis9Char">
    <w:name w:val="Nadpis 9 Char"/>
    <w:basedOn w:val="DefaultParagraphFont"/>
    <w:link w:val="Heading9"/>
    <w:uiPriority w:val="9"/>
    <w:semiHidden/>
    <w:locked/>
    <w:rsid w:val="003E64FC"/>
    <w:rPr>
      <w:rFonts w:ascii="Cambria" w:eastAsia="MS Gothic" w:hAnsi="Cambria" w:cs="Times New Roman"/>
      <w:i/>
      <w:iCs/>
      <w:color w:val="404040"/>
      <w:rtl w:val="0"/>
      <w:cs w:val="0"/>
    </w:rPr>
  </w:style>
  <w:style w:type="paragraph" w:styleId="BodyTextIndent">
    <w:name w:val="Body Text Indent"/>
    <w:basedOn w:val="Normal"/>
    <w:link w:val="ZarkazkladnhotextuChar"/>
    <w:uiPriority w:val="99"/>
    <w:pPr>
      <w:ind w:firstLine="567"/>
      <w:jc w:val="both"/>
    </w:pPr>
    <w:rPr>
      <w:rFonts w:ascii="AT*Toronto" w:hAnsi="AT*Toronto"/>
      <w:color w:val="0000FF"/>
      <w:szCs w:val="20"/>
      <w:lang w:val="cs-CZ"/>
    </w:rPr>
  </w:style>
  <w:style w:type="character" w:customStyle="1" w:styleId="ZarkazkladnhotextuChar">
    <w:name w:val="Zarážka základného textu Char"/>
    <w:basedOn w:val="DefaultParagraphFont"/>
    <w:link w:val="BodyTextIndent"/>
    <w:uiPriority w:val="99"/>
    <w:locked/>
    <w:rPr>
      <w:rFonts w:cs="Times New Roman"/>
      <w:sz w:val="24"/>
      <w:szCs w:val="24"/>
      <w:rtl w:val="0"/>
      <w:cs w:val="0"/>
    </w:rPr>
  </w:style>
  <w:style w:type="paragraph" w:styleId="BodyTextIndent2">
    <w:name w:val="Body Text Indent 2"/>
    <w:basedOn w:val="Normal"/>
    <w:link w:val="Zarkazkladnhotextu2Char"/>
    <w:uiPriority w:val="99"/>
    <w:pPr>
      <w:ind w:firstLine="426"/>
      <w:jc w:val="both"/>
    </w:pPr>
    <w:rPr>
      <w:rFonts w:ascii="AT*Toronto" w:hAnsi="AT*Toronto"/>
      <w:color w:val="0000FF"/>
      <w:szCs w:val="20"/>
      <w:lang w:val="cs-CZ"/>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paragraph" w:styleId="BodyText">
    <w:name w:val="Body Text"/>
    <w:basedOn w:val="Normal"/>
    <w:link w:val="ZkladntextChar"/>
    <w:uiPriority w:val="99"/>
    <w:pPr>
      <w:jc w:val="both"/>
    </w:pPr>
    <w:rPr>
      <w:rFonts w:ascii="AT*Toronto" w:hAnsi="AT*Toronto"/>
      <w:szCs w:val="20"/>
    </w:rPr>
  </w:style>
  <w:style w:type="character" w:customStyle="1" w:styleId="ZkladntextChar">
    <w:name w:val="Základný text Char"/>
    <w:basedOn w:val="DefaultParagraphFont"/>
    <w:link w:val="BodyText"/>
    <w:uiPriority w:val="99"/>
    <w:semiHidden/>
    <w:locked/>
    <w:rPr>
      <w:rFonts w:cs="Times New Roman"/>
      <w:sz w:val="24"/>
      <w:szCs w:val="24"/>
      <w:rtl w:val="0"/>
      <w:cs w:val="0"/>
    </w:rPr>
  </w:style>
  <w:style w:type="paragraph" w:styleId="BodyTextIndent3">
    <w:name w:val="Body Text Indent 3"/>
    <w:basedOn w:val="Normal"/>
    <w:link w:val="Zarkazkladnhotextu3Char"/>
    <w:uiPriority w:val="99"/>
    <w:pPr>
      <w:ind w:left="3960"/>
      <w:jc w:val="both"/>
    </w:pPr>
  </w:style>
  <w:style w:type="character" w:customStyle="1" w:styleId="Zarkazkladnhotextu3Char">
    <w:name w:val="Zarážka základného textu 3 Char"/>
    <w:basedOn w:val="DefaultParagraphFont"/>
    <w:link w:val="BodyTextIndent3"/>
    <w:uiPriority w:val="99"/>
    <w:semiHidden/>
    <w:locked/>
    <w:rPr>
      <w:rFonts w:cs="Times New Roman"/>
      <w:sz w:val="16"/>
      <w:szCs w:val="16"/>
      <w:rtl w:val="0"/>
      <w:cs w:val="0"/>
    </w:rPr>
  </w:style>
  <w:style w:type="paragraph" w:styleId="BodyText2">
    <w:name w:val="Body Text 2"/>
    <w:basedOn w:val="Normal"/>
    <w:link w:val="Zkladntext2Char"/>
    <w:uiPriority w:val="99"/>
    <w:pPr>
      <w:jc w:val="left"/>
    </w:pPr>
    <w:rPr>
      <w:sz w:val="32"/>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styleId="PlainText">
    <w:name w:val="Plain Text"/>
    <w:basedOn w:val="Normal"/>
    <w:link w:val="ObyajntextChar"/>
    <w:uiPriority w:val="99"/>
    <w:pPr>
      <w:jc w:val="left"/>
    </w:pPr>
    <w:rPr>
      <w:rFonts w:ascii="Courier New" w:hAnsi="Courier New" w:cs="Courier New"/>
      <w:sz w:val="20"/>
      <w:szCs w:val="20"/>
    </w:rPr>
  </w:style>
  <w:style w:type="character" w:customStyle="1" w:styleId="ObyajntextChar">
    <w:name w:val="Obyčajný text Char"/>
    <w:basedOn w:val="DefaultParagraphFont"/>
    <w:link w:val="PlainText"/>
    <w:uiPriority w:val="99"/>
    <w:locked/>
    <w:rPr>
      <w:rFonts w:ascii="Courier New" w:hAnsi="Courier New" w:cs="Courier New"/>
      <w:rtl w:val="0"/>
      <w:cs w:val="0"/>
    </w:rPr>
  </w:style>
  <w:style w:type="paragraph" w:styleId="FootnoteText">
    <w:name w:val="footnote text"/>
    <w:basedOn w:val="Normal"/>
    <w:link w:val="TextpoznmkypodiarouChar"/>
    <w:uiPriority w:val="99"/>
    <w:semiHidden/>
    <w:pPr>
      <w:spacing w:before="40"/>
      <w:jc w:val="both"/>
    </w:pPr>
    <w:rPr>
      <w:sz w:val="20"/>
      <w:szCs w:val="20"/>
    </w:rPr>
  </w:style>
  <w:style w:type="character" w:customStyle="1" w:styleId="TextpoznmkypodiarouChar">
    <w:name w:val="Text poznámky pod čiarou Char"/>
    <w:basedOn w:val="DefaultParagraphFont"/>
    <w:link w:val="FootnoteText"/>
    <w:uiPriority w:val="99"/>
    <w:semiHidden/>
    <w:locked/>
    <w:rsid w:val="002916A2"/>
    <w:rPr>
      <w:rFonts w:cs="Times New Roman"/>
      <w:rtl w:val="0"/>
      <w:cs w:val="0"/>
    </w:rPr>
  </w:style>
  <w:style w:type="paragraph" w:customStyle="1" w:styleId="AONormal">
    <w:name w:val="AONormal"/>
    <w:pPr>
      <w:framePr w:wrap="auto"/>
      <w:widowControl/>
      <w:autoSpaceDE/>
      <w:autoSpaceDN/>
      <w:adjustRightInd/>
      <w:spacing w:line="260" w:lineRule="atLeast"/>
      <w:ind w:left="0" w:right="0"/>
      <w:jc w:val="left"/>
      <w:textAlignment w:val="auto"/>
    </w:pPr>
    <w:rPr>
      <w:rFonts w:cs="Times New Roman"/>
      <w:sz w:val="22"/>
      <w:szCs w:val="20"/>
      <w:rtl w:val="0"/>
      <w:cs w:val="0"/>
      <w:lang w:val="sk-SK" w:eastAsia="sk-SK" w:bidi="ar-SA"/>
    </w:rPr>
  </w:style>
  <w:style w:type="paragraph" w:customStyle="1" w:styleId="AODocTxt">
    <w:name w:val="AODocTxt"/>
    <w:basedOn w:val="Normal"/>
    <w:pPr>
      <w:numPr>
        <w:numId w:val="2"/>
      </w:numPr>
      <w:spacing w:before="240" w:line="260" w:lineRule="atLeast"/>
      <w:ind w:left="720"/>
      <w:jc w:val="both"/>
    </w:pPr>
    <w:rPr>
      <w:sz w:val="22"/>
      <w:szCs w:val="20"/>
    </w:rPr>
  </w:style>
  <w:style w:type="paragraph" w:customStyle="1" w:styleId="AODocTxtL1">
    <w:name w:val="AODocTxtL1"/>
    <w:basedOn w:val="AODocTxt"/>
    <w:pPr>
      <w:numPr>
        <w:ilvl w:val="1"/>
      </w:numPr>
      <w:tabs>
        <w:tab w:val="num" w:pos="1080"/>
      </w:tabs>
      <w:ind w:left="1080" w:hanging="360"/>
      <w:jc w:val="both"/>
    </w:pPr>
  </w:style>
  <w:style w:type="paragraph" w:customStyle="1" w:styleId="AODocTxtL2">
    <w:name w:val="AODocTxtL2"/>
    <w:basedOn w:val="AODocTxt"/>
    <w:pPr>
      <w:numPr>
        <w:ilvl w:val="2"/>
      </w:numPr>
      <w:tabs>
        <w:tab w:val="num" w:pos="1800"/>
      </w:tabs>
      <w:ind w:left="1800" w:hanging="180"/>
      <w:jc w:val="both"/>
    </w:pPr>
  </w:style>
  <w:style w:type="paragraph" w:customStyle="1" w:styleId="AODocTxtL3">
    <w:name w:val="AODocTxtL3"/>
    <w:basedOn w:val="AODocTxt"/>
    <w:pPr>
      <w:numPr>
        <w:ilvl w:val="3"/>
      </w:numPr>
      <w:tabs>
        <w:tab w:val="num" w:pos="2520"/>
      </w:tabs>
      <w:ind w:left="2520" w:hanging="360"/>
      <w:jc w:val="both"/>
    </w:pPr>
  </w:style>
  <w:style w:type="paragraph" w:customStyle="1" w:styleId="AODocTxtL4">
    <w:name w:val="AODocTxtL4"/>
    <w:basedOn w:val="AODocTxt"/>
    <w:pPr>
      <w:numPr>
        <w:ilvl w:val="4"/>
      </w:numPr>
      <w:tabs>
        <w:tab w:val="num" w:pos="3240"/>
      </w:tabs>
      <w:ind w:left="3240" w:hanging="360"/>
      <w:jc w:val="both"/>
    </w:pPr>
  </w:style>
  <w:style w:type="paragraph" w:customStyle="1" w:styleId="AODocTxtL5">
    <w:name w:val="AODocTxtL5"/>
    <w:basedOn w:val="AODocTxt"/>
    <w:pPr>
      <w:numPr>
        <w:ilvl w:val="5"/>
      </w:numPr>
      <w:tabs>
        <w:tab w:val="num" w:pos="3960"/>
      </w:tabs>
      <w:ind w:left="3960" w:hanging="180"/>
      <w:jc w:val="both"/>
    </w:pPr>
  </w:style>
  <w:style w:type="paragraph" w:customStyle="1" w:styleId="AODocTxtL6">
    <w:name w:val="AODocTxtL6"/>
    <w:basedOn w:val="AODocTxt"/>
    <w:pPr>
      <w:numPr>
        <w:ilvl w:val="6"/>
      </w:numPr>
      <w:tabs>
        <w:tab w:val="num" w:pos="4680"/>
      </w:tabs>
      <w:ind w:left="4680" w:hanging="360"/>
      <w:jc w:val="both"/>
    </w:pPr>
  </w:style>
  <w:style w:type="paragraph" w:customStyle="1" w:styleId="AODocTxtL7">
    <w:name w:val="AODocTxtL7"/>
    <w:basedOn w:val="AODocTxt"/>
    <w:pPr>
      <w:numPr>
        <w:ilvl w:val="7"/>
      </w:numPr>
      <w:tabs>
        <w:tab w:val="num" w:pos="5400"/>
      </w:tabs>
      <w:ind w:left="5400" w:hanging="360"/>
      <w:jc w:val="both"/>
    </w:pPr>
  </w:style>
  <w:style w:type="paragraph" w:customStyle="1" w:styleId="AODocTxtL8">
    <w:name w:val="AODocTxtL8"/>
    <w:basedOn w:val="AODocTxt"/>
    <w:pPr>
      <w:numPr>
        <w:ilvl w:val="8"/>
      </w:numPr>
      <w:tabs>
        <w:tab w:val="num" w:pos="6120"/>
      </w:tabs>
      <w:ind w:left="6120" w:hanging="180"/>
      <w:jc w:val="both"/>
    </w:pPr>
  </w:style>
  <w:style w:type="character" w:styleId="Strong">
    <w:name w:val="Strong"/>
    <w:basedOn w:val="DefaultParagraphFont"/>
    <w:uiPriority w:val="22"/>
    <w:qFormat/>
    <w:rPr>
      <w:rFonts w:cs="Times New Roman"/>
      <w:b/>
      <w:rtl w:val="0"/>
      <w:cs w:val="0"/>
    </w:rPr>
  </w:style>
  <w:style w:type="character" w:styleId="CommentReference">
    <w:name w:val="annotation reference"/>
    <w:basedOn w:val="DefaultParagraphFont"/>
    <w:uiPriority w:val="99"/>
    <w:semiHidden/>
    <w:rPr>
      <w:rFonts w:cs="Times New Roman"/>
      <w:sz w:val="16"/>
      <w:rtl w:val="0"/>
      <w:cs w:val="0"/>
    </w:rPr>
  </w:style>
  <w:style w:type="paragraph" w:styleId="CommentText">
    <w:name w:val="annotation text"/>
    <w:basedOn w:val="Normal"/>
    <w:link w:val="TextkomentraChar"/>
    <w:uiPriority w:val="99"/>
    <w:pPr>
      <w:jc w:val="left"/>
    </w:pPr>
    <w:rPr>
      <w:sz w:val="20"/>
      <w:szCs w:val="20"/>
    </w:rPr>
  </w:style>
  <w:style w:type="character" w:customStyle="1" w:styleId="TextkomentraChar">
    <w:name w:val="Text komentára Char"/>
    <w:basedOn w:val="DefaultParagraphFont"/>
    <w:link w:val="CommentText"/>
    <w:uiPriority w:val="99"/>
    <w:locked/>
    <w:rPr>
      <w:rFonts w:cs="Times New Roman"/>
      <w:rtl w:val="0"/>
      <w:cs w:val="0"/>
    </w:rPr>
  </w:style>
  <w:style w:type="character" w:styleId="FootnoteReference">
    <w:name w:val="footnote reference"/>
    <w:basedOn w:val="DefaultParagraphFont"/>
    <w:uiPriority w:val="99"/>
    <w:semiHidden/>
    <w:rPr>
      <w:rFonts w:cs="Times New Roman"/>
      <w:vertAlign w:val="superscript"/>
      <w:rtl w:val="0"/>
      <w:cs w:val="0"/>
    </w:rPr>
  </w:style>
  <w:style w:type="paragraph" w:styleId="Footer">
    <w:name w:val="footer"/>
    <w:basedOn w:val="Normal"/>
    <w:link w:val="PtaChar"/>
    <w:uiPriority w:val="99"/>
    <w:rsid w:val="00487B16"/>
    <w:pPr>
      <w:tabs>
        <w:tab w:val="center" w:pos="4536"/>
        <w:tab w:val="right" w:pos="9072"/>
      </w:tabs>
      <w:jc w:val="left"/>
    </w:pPr>
    <w:rPr>
      <w:lang w:eastAsia="cs-CZ"/>
    </w:rPr>
  </w:style>
  <w:style w:type="character" w:customStyle="1" w:styleId="PtaChar">
    <w:name w:val="Päta Char"/>
    <w:basedOn w:val="DefaultParagraphFont"/>
    <w:link w:val="Footer"/>
    <w:uiPriority w:val="99"/>
    <w:locked/>
    <w:rPr>
      <w:rFonts w:cs="Times New Roman"/>
      <w:sz w:val="24"/>
      <w:szCs w:val="24"/>
      <w:rtl w:val="0"/>
      <w:cs w:val="0"/>
    </w:rPr>
  </w:style>
  <w:style w:type="paragraph" w:styleId="NormalWeb">
    <w:name w:val="Normal (Web)"/>
    <w:basedOn w:val="Normal"/>
    <w:uiPriority w:val="99"/>
    <w:rsid w:val="00106191"/>
    <w:pPr>
      <w:spacing w:before="100" w:beforeAutospacing="1" w:after="100" w:afterAutospacing="1"/>
      <w:jc w:val="left"/>
    </w:pPr>
  </w:style>
  <w:style w:type="character" w:customStyle="1" w:styleId="tw4winMark">
    <w:name w:val="tw4winMark"/>
    <w:rsid w:val="00487B16"/>
    <w:rPr>
      <w:rFonts w:ascii="Courier New" w:hAnsi="Courier New" w:cs="Courier New"/>
      <w:vanish/>
      <w:color w:val="800080"/>
      <w:sz w:val="24"/>
      <w:vertAlign w:val="subscript"/>
    </w:rPr>
  </w:style>
  <w:style w:type="character" w:styleId="LineNumber">
    <w:name w:val="line number"/>
    <w:basedOn w:val="DefaultParagraphFont"/>
    <w:uiPriority w:val="99"/>
    <w:rsid w:val="005D46AC"/>
    <w:rPr>
      <w:rFonts w:cs="Times New Roman"/>
      <w:rtl w:val="0"/>
      <w:cs w:val="0"/>
    </w:rPr>
  </w:style>
  <w:style w:type="paragraph" w:styleId="ListParagraph">
    <w:name w:val="List Paragraph"/>
    <w:basedOn w:val="Normal"/>
    <w:uiPriority w:val="34"/>
    <w:qFormat/>
    <w:rsid w:val="00E92076"/>
    <w:pPr>
      <w:ind w:left="708"/>
      <w:jc w:val="left"/>
    </w:pPr>
    <w:rPr>
      <w:noProof/>
    </w:rPr>
  </w:style>
  <w:style w:type="paragraph" w:styleId="BalloonText">
    <w:name w:val="Balloon Text"/>
    <w:basedOn w:val="Normal"/>
    <w:link w:val="TextbublinyChar"/>
    <w:uiPriority w:val="99"/>
    <w:semiHidden/>
    <w:rsid w:val="000955A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rPr>
  </w:style>
  <w:style w:type="character" w:styleId="PlaceholderText">
    <w:name w:val="Placeholder Text"/>
    <w:basedOn w:val="DefaultParagraphFont"/>
    <w:uiPriority w:val="99"/>
    <w:semiHidden/>
    <w:rsid w:val="004B72E6"/>
    <w:rPr>
      <w:rFonts w:ascii="Times New Roman" w:hAnsi="Times New Roman" w:cs="Times New Roman"/>
      <w:color w:val="808080"/>
      <w:rtl w:val="0"/>
      <w:cs w:val="0"/>
    </w:rPr>
  </w:style>
  <w:style w:type="paragraph" w:customStyle="1" w:styleId="msolistparagraph">
    <w:name w:val="msolistparagraph"/>
    <w:basedOn w:val="Normal"/>
    <w:rsid w:val="00AD6BE7"/>
    <w:pPr>
      <w:ind w:left="720"/>
      <w:jc w:val="left"/>
    </w:pPr>
    <w:rPr>
      <w:rFonts w:ascii="Calibri" w:hAnsi="Calibri"/>
      <w:sz w:val="22"/>
      <w:szCs w:val="22"/>
    </w:rPr>
  </w:style>
  <w:style w:type="paragraph" w:customStyle="1" w:styleId="Default">
    <w:name w:val="Default"/>
    <w:rsid w:val="00A36A70"/>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sk-SK" w:bidi="ar-SA"/>
    </w:rPr>
  </w:style>
  <w:style w:type="character" w:styleId="Emphasis">
    <w:name w:val="Emphasis"/>
    <w:basedOn w:val="DefaultParagraphFont"/>
    <w:uiPriority w:val="20"/>
    <w:qFormat/>
    <w:rsid w:val="004C39AC"/>
    <w:rPr>
      <w:rFonts w:cs="Times New Roman"/>
      <w:i/>
      <w:rtl w:val="0"/>
      <w:cs w:val="0"/>
    </w:rPr>
  </w:style>
  <w:style w:type="character" w:styleId="PageNumber">
    <w:name w:val="page number"/>
    <w:basedOn w:val="DefaultParagraphFont"/>
    <w:uiPriority w:val="99"/>
    <w:rsid w:val="00B12DA5"/>
    <w:rPr>
      <w:rFonts w:cs="Times New Roman"/>
      <w:rtl w:val="0"/>
      <w:cs w:val="0"/>
    </w:rPr>
  </w:style>
  <w:style w:type="paragraph" w:customStyle="1" w:styleId="odsek">
    <w:name w:val="odsek"/>
    <w:basedOn w:val="Normal"/>
    <w:rsid w:val="003F758D"/>
    <w:pPr>
      <w:keepNext/>
      <w:spacing w:before="60" w:after="60"/>
      <w:ind w:firstLine="709"/>
      <w:jc w:val="both"/>
    </w:pPr>
    <w:rPr>
      <w:lang w:eastAsia="en-US"/>
    </w:rPr>
  </w:style>
  <w:style w:type="character" w:customStyle="1" w:styleId="ppp-input-value1">
    <w:name w:val="ppp-input-value1"/>
    <w:rsid w:val="001251A5"/>
    <w:rPr>
      <w:rFonts w:ascii="Tahoma" w:hAnsi="Tahoma" w:cs="Tahoma"/>
      <w:color w:val="837A73"/>
      <w:sz w:val="16"/>
    </w:rPr>
  </w:style>
  <w:style w:type="paragraph" w:styleId="NoSpacing">
    <w:name w:val="No Spacing"/>
    <w:uiPriority w:val="1"/>
    <w:qFormat/>
    <w:rsid w:val="004162A1"/>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character" w:customStyle="1" w:styleId="spanr">
    <w:name w:val="span_r"/>
    <w:rsid w:val="006D4A09"/>
  </w:style>
  <w:style w:type="paragraph" w:styleId="Title">
    <w:name w:val="Title"/>
    <w:basedOn w:val="Normal"/>
    <w:next w:val="Normal"/>
    <w:link w:val="NzovChar"/>
    <w:uiPriority w:val="10"/>
    <w:qFormat/>
    <w:rsid w:val="003E64FC"/>
    <w:pPr>
      <w:pBdr>
        <w:bottom w:val="single" w:sz="8" w:space="4" w:color="4F81BD"/>
      </w:pBdr>
      <w:spacing w:after="300"/>
      <w:contextualSpacing/>
      <w:jc w:val="left"/>
    </w:pPr>
    <w:rPr>
      <w:rFonts w:ascii="Cambria" w:eastAsia="MS Gothic" w:hAnsi="Cambria"/>
      <w:color w:val="17365D"/>
      <w:spacing w:val="5"/>
      <w:kern w:val="28"/>
      <w:sz w:val="52"/>
      <w:szCs w:val="52"/>
    </w:rPr>
  </w:style>
  <w:style w:type="character" w:customStyle="1" w:styleId="NzovChar">
    <w:name w:val="Názov Char"/>
    <w:basedOn w:val="DefaultParagraphFont"/>
    <w:link w:val="Title"/>
    <w:uiPriority w:val="10"/>
    <w:locked/>
    <w:rsid w:val="003E64FC"/>
    <w:rPr>
      <w:rFonts w:ascii="Cambria" w:eastAsia="MS Gothic" w:hAnsi="Cambria" w:cs="Times New Roman"/>
      <w:color w:val="17365D"/>
      <w:spacing w:val="5"/>
      <w:kern w:val="28"/>
      <w:sz w:val="52"/>
      <w:szCs w:val="52"/>
      <w:rtl w:val="0"/>
      <w:cs w:val="0"/>
    </w:rPr>
  </w:style>
  <w:style w:type="paragraph" w:styleId="Subtitle">
    <w:name w:val="Subtitle"/>
    <w:basedOn w:val="Normal"/>
    <w:next w:val="Normal"/>
    <w:link w:val="PodtitulChar"/>
    <w:uiPriority w:val="11"/>
    <w:qFormat/>
    <w:rsid w:val="003E64FC"/>
    <w:pPr>
      <w:numPr>
        <w:ilvl w:val="1"/>
      </w:numPr>
      <w:jc w:val="left"/>
    </w:pPr>
    <w:rPr>
      <w:rFonts w:ascii="Cambria" w:eastAsia="MS Gothic" w:hAnsi="Cambria"/>
      <w:i/>
      <w:iCs/>
      <w:color w:val="4F81BD"/>
      <w:spacing w:val="15"/>
    </w:rPr>
  </w:style>
  <w:style w:type="character" w:customStyle="1" w:styleId="PodtitulChar">
    <w:name w:val="Podtitul Char"/>
    <w:basedOn w:val="DefaultParagraphFont"/>
    <w:link w:val="Subtitle"/>
    <w:uiPriority w:val="11"/>
    <w:locked/>
    <w:rsid w:val="003E64FC"/>
    <w:rPr>
      <w:rFonts w:ascii="Cambria" w:eastAsia="MS Gothic" w:hAnsi="Cambria" w:cs="Times New Roman"/>
      <w:i/>
      <w:iCs/>
      <w:color w:val="4F81BD"/>
      <w:spacing w:val="15"/>
      <w:sz w:val="24"/>
      <w:szCs w:val="24"/>
      <w:rtl w:val="0"/>
      <w:cs w:val="0"/>
    </w:rPr>
  </w:style>
  <w:style w:type="paragraph" w:styleId="Quote">
    <w:name w:val="Quote"/>
    <w:basedOn w:val="Normal"/>
    <w:next w:val="Normal"/>
    <w:link w:val="CitciaChar"/>
    <w:uiPriority w:val="29"/>
    <w:qFormat/>
    <w:rsid w:val="003E64FC"/>
    <w:pPr>
      <w:jc w:val="left"/>
    </w:pPr>
    <w:rPr>
      <w:rFonts w:cs="Helvetica"/>
      <w:i/>
      <w:iCs/>
      <w:color w:val="000000"/>
    </w:rPr>
  </w:style>
  <w:style w:type="character" w:customStyle="1" w:styleId="CitciaChar">
    <w:name w:val="Citácia Char"/>
    <w:basedOn w:val="DefaultParagraphFont"/>
    <w:link w:val="Quote"/>
    <w:uiPriority w:val="29"/>
    <w:locked/>
    <w:rsid w:val="003E64FC"/>
    <w:rPr>
      <w:rFonts w:cs="Helvetica"/>
      <w:i/>
      <w:iCs/>
      <w:color w:val="000000"/>
      <w:sz w:val="24"/>
      <w:szCs w:val="24"/>
      <w:rtl w:val="0"/>
      <w:cs w:val="0"/>
    </w:rPr>
  </w:style>
  <w:style w:type="paragraph" w:styleId="IntenseQuote">
    <w:name w:val="Intense Quote"/>
    <w:basedOn w:val="Normal"/>
    <w:next w:val="Normal"/>
    <w:link w:val="ZvraznencitciaChar"/>
    <w:uiPriority w:val="30"/>
    <w:qFormat/>
    <w:rsid w:val="003E64FC"/>
    <w:pPr>
      <w:pBdr>
        <w:bottom w:val="single" w:sz="4" w:space="4" w:color="4F81BD"/>
      </w:pBdr>
      <w:spacing w:before="200" w:after="280"/>
      <w:ind w:left="936" w:right="936"/>
      <w:jc w:val="left"/>
    </w:pPr>
    <w:rPr>
      <w:rFonts w:cs="Helvetica"/>
      <w:b/>
      <w:bCs/>
      <w:i/>
      <w:iCs/>
      <w:color w:val="4F81BD"/>
    </w:rPr>
  </w:style>
  <w:style w:type="character" w:customStyle="1" w:styleId="ZvraznencitciaChar">
    <w:name w:val="Zvýraznená citácia Char"/>
    <w:basedOn w:val="DefaultParagraphFont"/>
    <w:link w:val="IntenseQuote"/>
    <w:uiPriority w:val="30"/>
    <w:locked/>
    <w:rsid w:val="003E64FC"/>
    <w:rPr>
      <w:rFonts w:cs="Helvetica"/>
      <w:b/>
      <w:bCs/>
      <w:i/>
      <w:iCs/>
      <w:color w:val="4F81BD"/>
      <w:sz w:val="24"/>
      <w:szCs w:val="24"/>
      <w:rtl w:val="0"/>
      <w:cs w:val="0"/>
    </w:rPr>
  </w:style>
  <w:style w:type="character" w:styleId="SubtleEmphasis">
    <w:name w:val="Subtle Emphasis"/>
    <w:basedOn w:val="DefaultParagraphFont"/>
    <w:uiPriority w:val="19"/>
    <w:qFormat/>
    <w:rsid w:val="003E64FC"/>
    <w:rPr>
      <w:rFonts w:cs="Times New Roman"/>
      <w:i/>
      <w:color w:val="808080"/>
      <w:rtl w:val="0"/>
      <w:cs w:val="0"/>
    </w:rPr>
  </w:style>
  <w:style w:type="character" w:styleId="IntenseEmphasis">
    <w:name w:val="Intense Emphasis"/>
    <w:basedOn w:val="DefaultParagraphFont"/>
    <w:uiPriority w:val="21"/>
    <w:qFormat/>
    <w:rsid w:val="003E64FC"/>
    <w:rPr>
      <w:rFonts w:cs="Times New Roman"/>
      <w:b/>
      <w:i/>
      <w:color w:val="4F81BD"/>
      <w:rtl w:val="0"/>
      <w:cs w:val="0"/>
    </w:rPr>
  </w:style>
  <w:style w:type="character" w:styleId="SubtleReference">
    <w:name w:val="Subtle Reference"/>
    <w:basedOn w:val="DefaultParagraphFont"/>
    <w:uiPriority w:val="31"/>
    <w:qFormat/>
    <w:rsid w:val="003E64FC"/>
    <w:rPr>
      <w:rFonts w:cs="Times New Roman"/>
      <w:smallCaps/>
      <w:color w:val="C0504D"/>
      <w:u w:val="single"/>
      <w:rtl w:val="0"/>
      <w:cs w:val="0"/>
    </w:rPr>
  </w:style>
  <w:style w:type="character" w:styleId="IntenseReference">
    <w:name w:val="Intense Reference"/>
    <w:basedOn w:val="DefaultParagraphFont"/>
    <w:uiPriority w:val="32"/>
    <w:qFormat/>
    <w:rsid w:val="003E64FC"/>
    <w:rPr>
      <w:rFonts w:cs="Times New Roman"/>
      <w:b/>
      <w:smallCaps/>
      <w:color w:val="C0504D"/>
      <w:spacing w:val="5"/>
      <w:u w:val="single"/>
      <w:rtl w:val="0"/>
      <w:cs w:val="0"/>
    </w:rPr>
  </w:style>
  <w:style w:type="character" w:styleId="BookTitle">
    <w:name w:val="Book Title"/>
    <w:basedOn w:val="DefaultParagraphFont"/>
    <w:uiPriority w:val="33"/>
    <w:qFormat/>
    <w:rsid w:val="003E64FC"/>
    <w:rPr>
      <w:rFonts w:cs="Times New Roman"/>
      <w:b/>
      <w:smallCaps/>
      <w:spacing w:val="5"/>
      <w:rtl w:val="0"/>
      <w:cs w:val="0"/>
    </w:rPr>
  </w:style>
  <w:style w:type="paragraph" w:styleId="CommentSubject">
    <w:name w:val="annotation subject"/>
    <w:basedOn w:val="CommentText"/>
    <w:next w:val="CommentText"/>
    <w:link w:val="PredmetkomentraChar"/>
    <w:uiPriority w:val="99"/>
    <w:unhideWhenUsed/>
    <w:rsid w:val="003E64FC"/>
    <w:pPr>
      <w:jc w:val="left"/>
    </w:pPr>
    <w:rPr>
      <w:rFonts w:cs="Helvetica"/>
      <w:b/>
      <w:bCs/>
    </w:rPr>
  </w:style>
  <w:style w:type="character" w:customStyle="1" w:styleId="PredmetkomentraChar">
    <w:name w:val="Predmet komentára Char"/>
    <w:basedOn w:val="TextkomentraChar"/>
    <w:link w:val="CommentSubject"/>
    <w:uiPriority w:val="99"/>
    <w:locked/>
    <w:rsid w:val="003E64FC"/>
    <w:rPr>
      <w:rFonts w:cs="Helvetica"/>
      <w:b/>
      <w:bCs/>
    </w:rPr>
  </w:style>
  <w:style w:type="paragraph" w:customStyle="1" w:styleId="Normlny1">
    <w:name w:val="Normálny1"/>
    <w:rsid w:val="00FE7480"/>
    <w:pPr>
      <w:framePr w:wrap="auto"/>
      <w:widowControl/>
      <w:autoSpaceDE/>
      <w:autoSpaceDN/>
      <w:adjustRightInd/>
      <w:spacing w:after="200" w:line="276" w:lineRule="auto"/>
      <w:ind w:left="0" w:right="0"/>
      <w:jc w:val="left"/>
      <w:textAlignment w:val="auto"/>
    </w:pPr>
    <w:rPr>
      <w:rFonts w:ascii="Lucida Grande" w:hAnsi="Lucida Grande" w:cs="Times New Roman"/>
      <w:color w:val="000F68"/>
      <w:sz w:val="22"/>
      <w:szCs w:val="20"/>
      <w:rtl w:val="0"/>
      <w:cs w:val="0"/>
      <w:lang w:val="sk-SK" w:eastAsia="sk-SK" w:bidi="ar-SA"/>
    </w:rPr>
  </w:style>
  <w:style w:type="paragraph" w:styleId="Header">
    <w:name w:val="header"/>
    <w:basedOn w:val="Normal"/>
    <w:link w:val="HlavikaChar"/>
    <w:uiPriority w:val="99"/>
    <w:rsid w:val="005C04B9"/>
    <w:pPr>
      <w:tabs>
        <w:tab w:val="center" w:pos="4536"/>
        <w:tab w:val="right" w:pos="9072"/>
      </w:tabs>
      <w:jc w:val="left"/>
    </w:pPr>
  </w:style>
  <w:style w:type="character" w:customStyle="1" w:styleId="HlavikaChar">
    <w:name w:val="Hlavička Char"/>
    <w:basedOn w:val="DefaultParagraphFont"/>
    <w:link w:val="Header"/>
    <w:uiPriority w:val="99"/>
    <w:locked/>
    <w:rsid w:val="005C04B9"/>
    <w:rPr>
      <w:rFonts w:cs="Times New Roman"/>
      <w:sz w:val="24"/>
      <w:szCs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FD467-5730-4947-A466-4FA023777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249</TotalTime>
  <Pages>5</Pages>
  <Words>1297</Words>
  <Characters>7398</Characters>
  <Application>Microsoft Office Word</Application>
  <DocSecurity>0</DocSecurity>
  <Lines>0</Lines>
  <Paragraphs>0</Paragraphs>
  <ScaleCrop>false</ScaleCrop>
  <Company>Kancelaria NR SR</Company>
  <LinksUpToDate>false</LinksUpToDate>
  <CharactersWithSpaces>8678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dc:title>
  <dc:creator>Veronika Hargašová</dc:creator>
  <cp:lastModifiedBy>Kičinová, Eva, JUDr.</cp:lastModifiedBy>
  <cp:revision>18</cp:revision>
  <cp:lastPrinted>2013-03-12T11:41:00Z</cp:lastPrinted>
  <dcterms:created xsi:type="dcterms:W3CDTF">2013-02-15T11:53:00Z</dcterms:created>
  <dcterms:modified xsi:type="dcterms:W3CDTF">2014-03-18T15:17:00Z</dcterms:modified>
</cp:coreProperties>
</file>