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4C6" w:rsidRPr="001D26D9" w:rsidP="005064C6">
      <w:pPr>
        <w:pStyle w:val="Heading1"/>
        <w:bidi w:val="0"/>
        <w:spacing w:before="240"/>
      </w:pPr>
      <w:r w:rsidRPr="001D26D9">
        <w:t>NÁRODNÁ RADA SLOVENSKEJ REPUBLIKY</w:t>
      </w:r>
    </w:p>
    <w:p w:rsidR="005064C6" w:rsidRPr="001D26D9" w:rsidP="005064C6">
      <w:pPr>
        <w:pStyle w:val="Heading1"/>
        <w:bidi w:val="0"/>
        <w:rPr>
          <w:sz w:val="28"/>
          <w:szCs w:val="28"/>
        </w:rPr>
      </w:pPr>
      <w:r w:rsidRPr="001D26D9">
        <w:rPr>
          <w:sz w:val="28"/>
          <w:szCs w:val="28"/>
        </w:rPr>
        <w:t>VI. volebné obdobie</w:t>
      </w:r>
    </w:p>
    <w:p w:rsidR="00D036E0" w:rsidRPr="001D26D9" w:rsidP="005064C6">
      <w:pPr>
        <w:pStyle w:val="Protokoln"/>
        <w:bidi w:val="0"/>
        <w:rPr>
          <w:sz w:val="18"/>
          <w:szCs w:val="18"/>
        </w:rPr>
      </w:pPr>
    </w:p>
    <w:p w:rsidR="005064C6" w:rsidRPr="001D26D9" w:rsidP="005064C6">
      <w:pPr>
        <w:pStyle w:val="Protokoln"/>
        <w:bidi w:val="0"/>
        <w:rPr>
          <w:sz w:val="18"/>
          <w:szCs w:val="18"/>
        </w:rPr>
      </w:pPr>
      <w:r w:rsidRPr="001D26D9" w:rsidR="00D036E0">
        <w:rPr>
          <w:sz w:val="18"/>
          <w:szCs w:val="18"/>
        </w:rPr>
        <w:t>Číslo: CRD-548/2014</w:t>
      </w:r>
    </w:p>
    <w:p w:rsidR="005064C6" w:rsidRPr="001D26D9" w:rsidP="005064C6">
      <w:pPr>
        <w:bidi w:val="0"/>
        <w:rPr>
          <w:b/>
          <w:spacing w:val="20"/>
          <w:sz w:val="28"/>
        </w:rPr>
      </w:pPr>
    </w:p>
    <w:p w:rsidR="002373A1" w:rsidRPr="001D26D9" w:rsidP="005064C6">
      <w:pPr>
        <w:pStyle w:val="uznesenia"/>
        <w:bidi w:val="0"/>
      </w:pPr>
    </w:p>
    <w:p w:rsidR="005064C6" w:rsidRPr="001D26D9" w:rsidP="005064C6">
      <w:pPr>
        <w:pStyle w:val="uznesenia"/>
        <w:bidi w:val="0"/>
      </w:pPr>
      <w:r w:rsidRPr="001D26D9" w:rsidR="002373A1">
        <w:t>950</w:t>
      </w:r>
    </w:p>
    <w:p w:rsidR="002373A1" w:rsidRPr="001D26D9" w:rsidP="005064C6">
      <w:pPr>
        <w:pStyle w:val="uznesenia"/>
        <w:bidi w:val="0"/>
      </w:pPr>
    </w:p>
    <w:p w:rsidR="005064C6" w:rsidRPr="001D26D9" w:rsidP="005064C6">
      <w:pPr>
        <w:pStyle w:val="uznesenia"/>
        <w:bidi w:val="0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N Á V</w:t>
      </w:r>
      <w:r w:rsidRPr="001D26D9" w:rsidR="00D036E0">
        <w:rPr>
          <w:b w:val="0"/>
          <w:sz w:val="24"/>
          <w:szCs w:val="24"/>
        </w:rPr>
        <w:t xml:space="preserve"> </w:t>
      </w:r>
      <w:r w:rsidRPr="001D26D9">
        <w:rPr>
          <w:b w:val="0"/>
          <w:sz w:val="24"/>
          <w:szCs w:val="24"/>
        </w:rPr>
        <w:t>R H</w:t>
      </w:r>
    </w:p>
    <w:p w:rsidR="005064C6" w:rsidRPr="001D26D9" w:rsidP="005064C6">
      <w:pPr>
        <w:pStyle w:val="uznesenia"/>
        <w:bidi w:val="0"/>
      </w:pPr>
    </w:p>
    <w:p w:rsidR="005064C6" w:rsidRPr="001D26D9" w:rsidP="005064C6">
      <w:pPr>
        <w:pStyle w:val="Heading1"/>
        <w:bidi w:val="0"/>
      </w:pPr>
      <w:r w:rsidRPr="001D26D9">
        <w:t>UZNESENIE</w:t>
      </w:r>
    </w:p>
    <w:p w:rsidR="005064C6" w:rsidRPr="001D26D9" w:rsidP="005064C6">
      <w:pPr>
        <w:pStyle w:val="Heading1"/>
        <w:bidi w:val="0"/>
      </w:pPr>
      <w:r w:rsidRPr="001D26D9">
        <w:t>NÁRODNEJ RADY SLOVENSKEJ REPUBLIKY</w:t>
      </w:r>
    </w:p>
    <w:p w:rsidR="005064C6" w:rsidRPr="001D26D9" w:rsidP="005064C6">
      <w:pPr>
        <w:bidi w:val="0"/>
        <w:outlineLvl w:val="0"/>
      </w:pPr>
    </w:p>
    <w:p w:rsidR="005064C6" w:rsidRPr="001D26D9" w:rsidP="005064C6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  <w:r w:rsidRPr="001D26D9">
        <w:rPr>
          <w:rFonts w:cs="Arial"/>
          <w:sz w:val="22"/>
          <w:szCs w:val="22"/>
        </w:rPr>
        <w:t>z ....  marca 2014</w:t>
      </w:r>
    </w:p>
    <w:p w:rsidR="005064C6" w:rsidRPr="001D26D9" w:rsidP="005064C6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</w:p>
    <w:p w:rsidR="005064C6" w:rsidRPr="001D26D9" w:rsidP="005064C6">
      <w:pPr>
        <w:bidi w:val="0"/>
      </w:pPr>
    </w:p>
    <w:p w:rsidR="005064C6" w:rsidRPr="001D26D9" w:rsidP="002373A1">
      <w:pPr>
        <w:bidi w:val="0"/>
        <w:rPr>
          <w:rFonts w:cs="Arial"/>
          <w:sz w:val="22"/>
          <w:szCs w:val="22"/>
        </w:rPr>
      </w:pPr>
      <w:r w:rsidRPr="001D26D9">
        <w:rPr>
          <w:rFonts w:cs="Arial"/>
          <w:sz w:val="22"/>
          <w:szCs w:val="22"/>
        </w:rPr>
        <w:t>k</w:t>
      </w:r>
      <w:r w:rsidRPr="001D26D9" w:rsidR="00A86658">
        <w:rPr>
          <w:rFonts w:cs="Arial"/>
          <w:sz w:val="22"/>
          <w:szCs w:val="22"/>
        </w:rPr>
        <w:t xml:space="preserve"> </w:t>
      </w:r>
      <w:r w:rsidRPr="001D26D9">
        <w:rPr>
          <w:rFonts w:cs="Arial"/>
          <w:sz w:val="22"/>
          <w:szCs w:val="22"/>
        </w:rPr>
        <w:t>Vyhláseni</w:t>
      </w:r>
      <w:r w:rsidRPr="001D26D9" w:rsidR="00A86658">
        <w:rPr>
          <w:rFonts w:cs="Arial"/>
          <w:sz w:val="22"/>
          <w:szCs w:val="22"/>
        </w:rPr>
        <w:t>u</w:t>
      </w:r>
      <w:r w:rsidRPr="001D26D9">
        <w:rPr>
          <w:rFonts w:cs="Arial"/>
          <w:sz w:val="22"/>
          <w:szCs w:val="22"/>
        </w:rPr>
        <w:t xml:space="preserve"> Národnej rady Slovenskej republiky </w:t>
      </w:r>
      <w:r w:rsidRPr="001D26D9">
        <w:rPr>
          <w:rFonts w:cs="Arial"/>
          <w:noProof/>
          <w:sz w:val="22"/>
          <w:szCs w:val="22"/>
        </w:rPr>
        <w:t>k situácii na Ukrajine</w:t>
      </w:r>
    </w:p>
    <w:p w:rsidR="005064C6" w:rsidRPr="001D26D9" w:rsidP="005064C6">
      <w:pPr>
        <w:bidi w:val="0"/>
        <w:rPr>
          <w:rFonts w:cs="Arial"/>
          <w:sz w:val="22"/>
          <w:szCs w:val="22"/>
        </w:rPr>
      </w:pPr>
    </w:p>
    <w:p w:rsidR="005064C6" w:rsidRPr="001D26D9" w:rsidP="005064C6">
      <w:pPr>
        <w:bidi w:val="0"/>
        <w:rPr>
          <w:rFonts w:cs="Arial"/>
          <w:sz w:val="22"/>
          <w:szCs w:val="22"/>
        </w:rPr>
      </w:pPr>
    </w:p>
    <w:p w:rsidR="005064C6" w:rsidRPr="001D26D9" w:rsidP="005064C6">
      <w:pPr>
        <w:bidi w:val="0"/>
        <w:jc w:val="left"/>
        <w:rPr>
          <w:rFonts w:cs="Arial"/>
          <w:b/>
          <w:sz w:val="28"/>
          <w:szCs w:val="28"/>
        </w:rPr>
      </w:pPr>
      <w:r w:rsidRPr="001D26D9">
        <w:rPr>
          <w:rFonts w:cs="Arial"/>
          <w:sz w:val="28"/>
          <w:szCs w:val="28"/>
        </w:rPr>
        <w:tab/>
      </w:r>
      <w:r w:rsidRPr="001D26D9">
        <w:rPr>
          <w:rFonts w:cs="Arial"/>
          <w:b/>
          <w:sz w:val="28"/>
          <w:szCs w:val="28"/>
        </w:rPr>
        <w:t>Národná rada Slovenskej republiky</w:t>
      </w:r>
    </w:p>
    <w:p w:rsidR="005064C6" w:rsidRPr="001D26D9" w:rsidP="005064C6">
      <w:pPr>
        <w:bidi w:val="0"/>
        <w:jc w:val="left"/>
        <w:rPr>
          <w:rFonts w:cs="Arial"/>
          <w:b/>
          <w:sz w:val="28"/>
          <w:szCs w:val="28"/>
        </w:rPr>
      </w:pPr>
    </w:p>
    <w:p w:rsidR="005064C6" w:rsidRPr="001D26D9" w:rsidP="005064C6">
      <w:pPr>
        <w:bidi w:val="0"/>
        <w:jc w:val="left"/>
        <w:rPr>
          <w:rFonts w:cs="Arial"/>
          <w:b/>
          <w:sz w:val="28"/>
          <w:szCs w:val="28"/>
        </w:rPr>
      </w:pPr>
      <w:r w:rsidRPr="001D26D9">
        <w:rPr>
          <w:rFonts w:cs="Arial"/>
          <w:b/>
          <w:sz w:val="28"/>
          <w:szCs w:val="28"/>
        </w:rPr>
        <w:tab/>
        <w:t>s c h v a ľ u j e</w:t>
      </w:r>
    </w:p>
    <w:p w:rsidR="005064C6" w:rsidRPr="001D26D9" w:rsidP="005064C6">
      <w:pPr>
        <w:bidi w:val="0"/>
        <w:rPr>
          <w:rFonts w:cs="Arial"/>
        </w:rPr>
      </w:pPr>
    </w:p>
    <w:p w:rsidR="005064C6" w:rsidRPr="001D26D9" w:rsidP="005064C6">
      <w:pPr>
        <w:tabs>
          <w:tab w:val="left" w:pos="720"/>
        </w:tabs>
        <w:bidi w:val="0"/>
        <w:ind w:firstLine="708"/>
        <w:jc w:val="both"/>
        <w:rPr>
          <w:rFonts w:cs="Arial"/>
          <w:sz w:val="22"/>
          <w:szCs w:val="22"/>
        </w:rPr>
      </w:pPr>
      <w:r w:rsidRPr="001D26D9" w:rsidR="00A86658">
        <w:rPr>
          <w:rFonts w:cs="Arial"/>
          <w:sz w:val="22"/>
          <w:szCs w:val="22"/>
        </w:rPr>
        <w:t>Vyhlásenie</w:t>
      </w:r>
      <w:r w:rsidRPr="001D26D9">
        <w:rPr>
          <w:rFonts w:cs="Arial"/>
          <w:sz w:val="22"/>
          <w:szCs w:val="22"/>
        </w:rPr>
        <w:t xml:space="preserve"> Národnej rady Slovenskej republiky</w:t>
      </w:r>
      <w:r w:rsidRPr="001D26D9">
        <w:rPr>
          <w:rFonts w:cs="Arial"/>
          <w:noProof/>
          <w:sz w:val="22"/>
          <w:szCs w:val="22"/>
        </w:rPr>
        <w:t xml:space="preserve"> k situácii na Ukrajine</w:t>
      </w:r>
      <w:r w:rsidRPr="001D26D9">
        <w:rPr>
          <w:rFonts w:cs="Arial"/>
          <w:sz w:val="22"/>
          <w:szCs w:val="22"/>
        </w:rPr>
        <w:t>, ako je uvedené v</w:t>
      </w:r>
      <w:r w:rsidRPr="001D26D9" w:rsidR="00A86658">
        <w:rPr>
          <w:rFonts w:cs="Arial"/>
          <w:sz w:val="22"/>
          <w:szCs w:val="22"/>
        </w:rPr>
        <w:t xml:space="preserve"> </w:t>
      </w:r>
      <w:r w:rsidRPr="001D26D9">
        <w:rPr>
          <w:rFonts w:cs="Arial"/>
          <w:sz w:val="22"/>
          <w:szCs w:val="22"/>
        </w:rPr>
        <w:t>prílohe tohto uznesenia.</w:t>
      </w: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4669B7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4669B7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B63E03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  <w:r w:rsidRPr="001D26D9">
        <w:rPr>
          <w:rFonts w:cs="Arial"/>
          <w:sz w:val="22"/>
          <w:szCs w:val="22"/>
        </w:rPr>
        <w:t>Bratislava marec 2014</w:t>
      </w:r>
    </w:p>
    <w:p w:rsidR="005064C6" w:rsidRPr="001D26D9" w:rsidP="005064C6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AA705F" w:rsidP="00AA705F">
      <w:pPr>
        <w:bidi w:val="0"/>
        <w:ind w:left="5664" w:firstLine="709"/>
        <w:jc w:val="both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>Príloha k uzneseniu NR SR</w:t>
      </w:r>
    </w:p>
    <w:p w:rsidR="00AA705F" w:rsidP="00AA705F">
      <w:pPr>
        <w:bidi w:val="0"/>
        <w:ind w:left="5664" w:firstLine="709"/>
        <w:jc w:val="both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>z ... marca 2014 č. ...</w:t>
      </w: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bidi w:val="0"/>
        <w:spacing w:after="200" w:line="276" w:lineRule="auto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 xml:space="preserve">V y h l á s e n i e </w:t>
      </w:r>
    </w:p>
    <w:p w:rsidR="00AA705F" w:rsidP="00AA705F">
      <w:pPr>
        <w:bidi w:val="0"/>
        <w:spacing w:after="200" w:line="276" w:lineRule="auto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Národnej rady Slovenskej republiky k situácii na Ukrajine</w:t>
      </w:r>
    </w:p>
    <w:p w:rsidR="00AA705F" w:rsidP="00AA705F">
      <w:pPr>
        <w:suppressAutoHyphens/>
        <w:bidi w:val="0"/>
        <w:spacing w:line="360" w:lineRule="auto"/>
        <w:jc w:val="both"/>
        <w:rPr>
          <w:lang w:eastAsia="ar-SA"/>
        </w:rPr>
      </w:pPr>
    </w:p>
    <w:p w:rsidR="00AA705F" w:rsidP="00AA705F">
      <w:pPr>
        <w:suppressAutoHyphens/>
        <w:bidi w:val="0"/>
        <w:spacing w:line="360" w:lineRule="auto"/>
        <w:ind w:firstLine="705"/>
        <w:jc w:val="both"/>
        <w:rPr>
          <w:b/>
          <w:lang w:eastAsia="ar-SA"/>
        </w:rPr>
      </w:pPr>
      <w:r>
        <w:rPr>
          <w:b/>
          <w:lang w:eastAsia="ar-SA"/>
        </w:rPr>
        <w:t>Národná rada Slovenskej republiky</w:t>
      </w:r>
    </w:p>
    <w:p w:rsidR="00AA705F" w:rsidP="00AA705F">
      <w:pPr>
        <w:suppressAutoHyphens/>
        <w:bidi w:val="0"/>
        <w:spacing w:line="360" w:lineRule="auto"/>
        <w:jc w:val="both"/>
        <w:rPr>
          <w:lang w:eastAsia="ar-SA"/>
        </w:rPr>
      </w:pPr>
    </w:p>
    <w:p w:rsidR="00AA705F" w:rsidP="00AA705F">
      <w:pPr>
        <w:pStyle w:val="BodyText"/>
        <w:keepNext w:val="0"/>
        <w:keepLines w:val="0"/>
        <w:numPr>
          <w:numId w:val="7"/>
        </w:numPr>
        <w:tabs>
          <w:tab w:val="left" w:pos="540"/>
        </w:tabs>
        <w:bidi w:val="0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podporuje </w:t>
      </w:r>
      <w:r>
        <w:rPr>
          <w:sz w:val="22"/>
          <w:szCs w:val="22"/>
        </w:rPr>
        <w:t>suverenitu a územnú celistvosť Ukrajiny;</w:t>
      </w:r>
    </w:p>
    <w:p w:rsidR="00AA705F" w:rsidP="00AA705F">
      <w:pPr>
        <w:pStyle w:val="BodyText"/>
        <w:tabs>
          <w:tab w:val="left" w:pos="567"/>
        </w:tabs>
        <w:bidi w:val="0"/>
        <w:rPr>
          <w:b/>
          <w:iCs/>
          <w:sz w:val="22"/>
          <w:szCs w:val="22"/>
        </w:rPr>
      </w:pP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rPr>
          <w:sz w:val="22"/>
          <w:szCs w:val="22"/>
        </w:rPr>
      </w:pPr>
      <w:r>
        <w:rPr>
          <w:sz w:val="22"/>
          <w:szCs w:val="22"/>
        </w:rPr>
        <w:t>vyjadruje solidaritu s ľudom a vládou Ukrajiny;</w:t>
      </w:r>
    </w:p>
    <w:p w:rsidR="00AA705F" w:rsidP="00AA705F">
      <w:pPr>
        <w:pStyle w:val="BodyText"/>
        <w:bidi w:val="0"/>
        <w:rPr>
          <w:b/>
          <w:iCs/>
          <w:sz w:val="22"/>
          <w:szCs w:val="22"/>
        </w:rPr>
      </w:pP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odsudzuje porušovanie medzinárodného práva zo strany Ruskej federácie voči územnej celistvosti a nezávislosti Ukrajiny, predovšetkým Charty OSN, Helsinského záverečného aktu OBSE, </w:t>
      </w:r>
      <w:r>
        <w:rPr>
          <w:spacing w:val="4"/>
          <w:sz w:val="22"/>
          <w:szCs w:val="22"/>
        </w:rPr>
        <w:t>Zmluvy o priateľstve, spolupráci</w:t>
        <w:br/>
        <w:t>a partnerstve medzi Ukrajinou a Ruskou federáciou z roku 1997,</w:t>
      </w:r>
      <w:r>
        <w:rPr>
          <w:sz w:val="22"/>
          <w:szCs w:val="22"/>
        </w:rPr>
        <w:t xml:space="preserve"> ako aj záväzkov Ruskej federácie vyplývajúcich z Memoranda o zárukách bezpečnosti</w:t>
        <w:br/>
        <w:t>v súvislosti s pristúpením Ukrajiny k Zmluve o nešírení jadrových zbraní z r. 1994;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odporúča v súlade so závermi Európskej rady, aby </w:t>
      </w:r>
      <w:r>
        <w:rPr>
          <w:rStyle w:val="hps"/>
          <w:color w:val="222222"/>
          <w:sz w:val="22"/>
          <w:szCs w:val="22"/>
        </w:rPr>
        <w:t>ukrajinské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orgány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prostredníctvom všeobecného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procesu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pokračovali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vo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svojom úsilí</w:t>
      </w:r>
      <w:r>
        <w:rPr>
          <w:color w:val="222222"/>
          <w:sz w:val="22"/>
          <w:szCs w:val="22"/>
        </w:rPr>
        <w:t xml:space="preserve"> </w:t>
      </w:r>
      <w:r>
        <w:rPr>
          <w:rStyle w:val="hps"/>
          <w:color w:val="222222"/>
          <w:sz w:val="22"/>
          <w:szCs w:val="22"/>
        </w:rPr>
        <w:t>zabezpečiť slobodné a spravodlivé prezidentské a parlamentné voľby, pokročiť v ústavnej reforme a vyšetriť všetky akty násilia a očakáva od všetkých ukrajinských orgánov zabezpečenie úplnej ochrany práv všetkých občanov, vrátane osôb patriacich k národnostným, etnickým a jazykovým menšinám, s využitím odbornej expertízy Rady Európy a OBSE;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>oceňuje zdržanlivý postoj a úsilie ukrajinskej vlády o stabilizáciu situácie v krajine;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>podporuje vyslanie medzinárodnej pozorovateľskej misie na Krym a na východnú Ukrajinu a víta snahu medzinárodného spoločenstva o sprostredkovanie priamych rokovaní medzi vládami Ruskej federácie a Ukrajiny;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>podporuje demokratické premeny a európske smerovanie Ukrajiny odrážajúce suverénnu vôľu jej obyvateľov;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>podporuje politické pridružovanie a ekonomickú integráciu EÚ a Ukrajiny, ako aj úsilie EÚ o stabilizáciu Ukrajiny, ktorého výrazom je aj navrhovaný komplexný balíček investičnej a finančnej pomoci Ukrajine, ako aj aktívnu úlohu EÚ pri rokovaní s medzinárodnými inštitúciami o pomoci Ukrajine;</w:t>
      </w:r>
    </w:p>
    <w:p w:rsidR="00AA705F" w:rsidP="00AA705F">
      <w:pPr>
        <w:pStyle w:val="BodyText"/>
        <w:keepNext w:val="0"/>
        <w:keepLines w:val="0"/>
        <w:numPr>
          <w:numId w:val="7"/>
        </w:numPr>
        <w:bidi w:val="0"/>
        <w:spacing w:after="120"/>
        <w:rPr>
          <w:sz w:val="22"/>
          <w:szCs w:val="22"/>
        </w:rPr>
      </w:pPr>
      <w:r>
        <w:rPr>
          <w:sz w:val="22"/>
          <w:szCs w:val="22"/>
        </w:rPr>
        <w:t>neuznáva referendum o pričlenení Krymu k Ruskej federácii, pretože sa uskutočnilo v rozpore s Ústavou Ukrajiny. Slovenská republika považuje toto referendum za neplatné.</w:t>
      </w: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AA705F" w:rsidP="00AA705F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Bratislava marec 2014</w:t>
      </w:r>
    </w:p>
    <w:sectPr w:rsidSect="000E2E9E">
      <w:footerReference w:type="even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CF" w:rsidP="00BB2A0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3FC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3">
    <w:nsid w:val="2FC67FD1"/>
    <w:multiLevelType w:val="hybridMultilevel"/>
    <w:tmpl w:val="0B7AA082"/>
    <w:lvl w:ilvl="0">
      <w:start w:val="4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/>
  <w:rsids>
    <w:rsidRoot w:val="009C2E2F"/>
    <w:rsid w:val="0001400E"/>
    <w:rsid w:val="0002344B"/>
    <w:rsid w:val="000578E8"/>
    <w:rsid w:val="000661FB"/>
    <w:rsid w:val="00073A7B"/>
    <w:rsid w:val="0008341F"/>
    <w:rsid w:val="000A3FCF"/>
    <w:rsid w:val="000D4963"/>
    <w:rsid w:val="000E2E9E"/>
    <w:rsid w:val="00120F45"/>
    <w:rsid w:val="00141826"/>
    <w:rsid w:val="001D26D9"/>
    <w:rsid w:val="001F474B"/>
    <w:rsid w:val="00204700"/>
    <w:rsid w:val="00210FE2"/>
    <w:rsid w:val="00217630"/>
    <w:rsid w:val="00236A71"/>
    <w:rsid w:val="002373A1"/>
    <w:rsid w:val="00266FB8"/>
    <w:rsid w:val="002C5F4D"/>
    <w:rsid w:val="002E014E"/>
    <w:rsid w:val="002F28C7"/>
    <w:rsid w:val="00305A44"/>
    <w:rsid w:val="0032483E"/>
    <w:rsid w:val="003277C5"/>
    <w:rsid w:val="003373D0"/>
    <w:rsid w:val="00345D31"/>
    <w:rsid w:val="003D009D"/>
    <w:rsid w:val="004428DE"/>
    <w:rsid w:val="004669B7"/>
    <w:rsid w:val="00472298"/>
    <w:rsid w:val="0047729A"/>
    <w:rsid w:val="004A0A7E"/>
    <w:rsid w:val="00504323"/>
    <w:rsid w:val="005064C6"/>
    <w:rsid w:val="00523613"/>
    <w:rsid w:val="005271CA"/>
    <w:rsid w:val="00555C1C"/>
    <w:rsid w:val="005579B3"/>
    <w:rsid w:val="005C6C5E"/>
    <w:rsid w:val="006129BD"/>
    <w:rsid w:val="0061603A"/>
    <w:rsid w:val="00625278"/>
    <w:rsid w:val="00661910"/>
    <w:rsid w:val="00670D92"/>
    <w:rsid w:val="006C7E41"/>
    <w:rsid w:val="00786BE3"/>
    <w:rsid w:val="007B0B6C"/>
    <w:rsid w:val="007E3A6B"/>
    <w:rsid w:val="008065CB"/>
    <w:rsid w:val="00811732"/>
    <w:rsid w:val="00846D91"/>
    <w:rsid w:val="00881443"/>
    <w:rsid w:val="00882E0F"/>
    <w:rsid w:val="008A377F"/>
    <w:rsid w:val="008F0BD7"/>
    <w:rsid w:val="0091540A"/>
    <w:rsid w:val="00933BA9"/>
    <w:rsid w:val="00961DD1"/>
    <w:rsid w:val="00985CF4"/>
    <w:rsid w:val="009C2E2F"/>
    <w:rsid w:val="00A04BC1"/>
    <w:rsid w:val="00A32247"/>
    <w:rsid w:val="00A512CA"/>
    <w:rsid w:val="00A86658"/>
    <w:rsid w:val="00A968DB"/>
    <w:rsid w:val="00AA56AA"/>
    <w:rsid w:val="00AA705F"/>
    <w:rsid w:val="00AE2CFB"/>
    <w:rsid w:val="00B05551"/>
    <w:rsid w:val="00B14A5B"/>
    <w:rsid w:val="00B15126"/>
    <w:rsid w:val="00B5052F"/>
    <w:rsid w:val="00B52693"/>
    <w:rsid w:val="00B53D58"/>
    <w:rsid w:val="00B63E03"/>
    <w:rsid w:val="00B67415"/>
    <w:rsid w:val="00B728C6"/>
    <w:rsid w:val="00B7658B"/>
    <w:rsid w:val="00B930C8"/>
    <w:rsid w:val="00BB2A0D"/>
    <w:rsid w:val="00BB3E58"/>
    <w:rsid w:val="00C35978"/>
    <w:rsid w:val="00C54F0F"/>
    <w:rsid w:val="00C72F94"/>
    <w:rsid w:val="00C86490"/>
    <w:rsid w:val="00D036E0"/>
    <w:rsid w:val="00D4076A"/>
    <w:rsid w:val="00D708BF"/>
    <w:rsid w:val="00DC51EF"/>
    <w:rsid w:val="00E047D5"/>
    <w:rsid w:val="00E64F85"/>
    <w:rsid w:val="00E73941"/>
    <w:rsid w:val="00EB3CAF"/>
    <w:rsid w:val="00EC04D0"/>
    <w:rsid w:val="00ED30EF"/>
    <w:rsid w:val="00ED59DF"/>
    <w:rsid w:val="00EE5393"/>
    <w:rsid w:val="00EE661D"/>
    <w:rsid w:val="00EF7730"/>
    <w:rsid w:val="00F1348B"/>
    <w:rsid w:val="00F139B2"/>
    <w:rsid w:val="00F30022"/>
    <w:rsid w:val="00FC058E"/>
    <w:rsid w:val="00FE44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0E2E9E"/>
    <w:rPr>
      <w:rFonts w:cs="Times New Roman"/>
      <w:rtl w:val="0"/>
      <w:cs w:val="0"/>
    </w:rPr>
  </w:style>
  <w:style w:type="paragraph" w:styleId="Header">
    <w:name w:val="header"/>
    <w:basedOn w:val="Normal"/>
    <w:rsid w:val="000E2E9E"/>
    <w:pPr>
      <w:tabs>
        <w:tab w:val="center" w:pos="4536"/>
        <w:tab w:val="right" w:pos="9072"/>
      </w:tabs>
      <w:jc w:val="center"/>
    </w:pPr>
  </w:style>
  <w:style w:type="paragraph" w:styleId="BodyTextIndent2">
    <w:name w:val="Body Text Indent 2"/>
    <w:basedOn w:val="Normal"/>
    <w:link w:val="BodyTextIndent2Char"/>
    <w:rsid w:val="00555C1C"/>
    <w:pPr>
      <w:spacing w:after="120" w:line="480" w:lineRule="auto"/>
      <w:ind w:left="283"/>
      <w:jc w:val="center"/>
    </w:pPr>
  </w:style>
  <w:style w:type="character" w:customStyle="1" w:styleId="BodyTextIndent2Char">
    <w:name w:val="Body Text Indent 2 Char"/>
    <w:basedOn w:val="DefaultParagraphFont"/>
    <w:link w:val="BodyTextIndent2"/>
    <w:locked/>
    <w:rsid w:val="00555C1C"/>
    <w:rPr>
      <w:rFonts w:ascii="Arial" w:hAnsi="Arial" w:cs="Times New Roman"/>
      <w:sz w:val="24"/>
      <w:rtl w:val="0"/>
      <w:cs w:val="0"/>
    </w:rPr>
  </w:style>
  <w:style w:type="character" w:customStyle="1" w:styleId="hps">
    <w:name w:val="hps"/>
    <w:basedOn w:val="DefaultParagraphFont"/>
    <w:rsid w:val="00555C1C"/>
    <w:rPr>
      <w:rFonts w:cs="Times New Roman"/>
      <w:rtl w:val="0"/>
      <w:cs w:val="0"/>
    </w:rPr>
  </w:style>
  <w:style w:type="character" w:customStyle="1" w:styleId="BodyTextChar">
    <w:name w:val="Body Text Char"/>
    <w:basedOn w:val="DefaultParagraphFont"/>
    <w:link w:val="BodyText"/>
    <w:locked/>
    <w:rsid w:val="00AA705F"/>
    <w:rPr>
      <w:rFonts w:ascii="Arial" w:hAnsi="Arial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4DEC-52FF-4A88-8106-5BD956CE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374</Words>
  <Characters>2138</Characters>
  <Application>Microsoft Office Word</Application>
  <DocSecurity>0</DocSecurity>
  <Lines>0</Lines>
  <Paragraphs>0</Paragraphs>
  <ScaleCrop>false</ScaleCrop>
  <Company>Kancelaria NR SR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Gašparíková, Jarmila</cp:lastModifiedBy>
  <cp:revision>2</cp:revision>
  <cp:lastPrinted>2014-03-18T12:27:00Z</cp:lastPrinted>
  <dcterms:created xsi:type="dcterms:W3CDTF">2014-03-18T12:48:00Z</dcterms:created>
  <dcterms:modified xsi:type="dcterms:W3CDTF">2014-03-18T12:48:00Z</dcterms:modified>
</cp:coreProperties>
</file>