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8B61BF">
        <w:rPr>
          <w:sz w:val="22"/>
          <w:szCs w:val="22"/>
        </w:rPr>
        <w:t>481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8B61BF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8B61BF">
        <w:t>941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B61BF">
        <w:rPr>
          <w:rFonts w:ascii="Arial" w:hAnsi="Arial" w:cs="Arial"/>
          <w:sz w:val="22"/>
          <w:szCs w:val="22"/>
        </w:rPr>
        <w:t> 3.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8B61BF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8B61BF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8B61BF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8B61BF">
        <w:rPr>
          <w:rFonts w:cs="Arial"/>
          <w:szCs w:val="22"/>
        </w:rPr>
        <w:t>zákon č. 5/2004 Z. z. o službách zamestnanosti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B61BF">
        <w:rPr>
          <w:rFonts w:cs="Arial"/>
          <w:szCs w:val="22"/>
        </w:rPr>
        <w:t>925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B61BF">
        <w:rPr>
          <w:rFonts w:cs="Arial"/>
          <w:szCs w:val="22"/>
        </w:rPr>
        <w:t>28.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8B61BF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8B61BF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B61BF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8B61BF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45E19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8B61BF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B7B3E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167</Words>
  <Characters>952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2014-03-04T08:49:00Z</cp:lastPrinted>
  <dcterms:created xsi:type="dcterms:W3CDTF">2014-03-06T07:08:00Z</dcterms:created>
  <dcterms:modified xsi:type="dcterms:W3CDTF">2014-03-06T07:08:00Z</dcterms:modified>
</cp:coreProperties>
</file>