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F83E9A">
        <w:rPr>
          <w:sz w:val="22"/>
          <w:szCs w:val="22"/>
        </w:rPr>
        <w:t>499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F83E9A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F83E9A">
        <w:t>936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83E9A">
        <w:rPr>
          <w:rFonts w:ascii="Arial" w:hAnsi="Arial" w:cs="Arial"/>
          <w:sz w:val="22"/>
          <w:szCs w:val="22"/>
        </w:rPr>
        <w:t> 3. marca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F83E9A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F83E9A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F83E9A">
        <w:rPr>
          <w:rFonts w:cs="Arial"/>
          <w:szCs w:val="22"/>
        </w:rPr>
        <w:t>Alojza HLINU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dopĺňa </w:t>
      </w:r>
      <w:r w:rsidR="00F83E9A">
        <w:rPr>
          <w:rFonts w:cs="Arial"/>
          <w:szCs w:val="22"/>
        </w:rPr>
        <w:t>zákon č. 483/2001 Z. z. o bankách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F83E9A">
        <w:rPr>
          <w:rFonts w:cs="Arial"/>
          <w:szCs w:val="22"/>
        </w:rPr>
        <w:t>941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83E9A">
        <w:rPr>
          <w:rFonts w:cs="Arial"/>
          <w:szCs w:val="22"/>
        </w:rPr>
        <w:t>28. februára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F83E9A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F83E9A">
        <w:rPr>
          <w:rFonts w:ascii="Arial" w:hAnsi="Arial" w:cs="Arial"/>
          <w:sz w:val="22"/>
          <w:szCs w:val="22"/>
        </w:rPr>
        <w:t>financie a rozpočet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F83E9A">
        <w:rPr>
          <w:rFonts w:ascii="Arial" w:hAnsi="Arial" w:cs="Arial"/>
          <w:sz w:val="22"/>
          <w:szCs w:val="22"/>
        </w:rPr>
        <w:t>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F83E9A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04725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51B05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83E9A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165</Words>
  <Characters>941</Characters>
  <Application>Microsoft Office Word</Application>
  <DocSecurity>0</DocSecurity>
  <Lines>0</Lines>
  <Paragraphs>0</Paragraphs>
  <ScaleCrop>false</ScaleCrop>
  <Company>Kancelária NR SR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2014-03-03T16:33:00Z</cp:lastPrinted>
  <dcterms:created xsi:type="dcterms:W3CDTF">2014-03-06T07:07:00Z</dcterms:created>
  <dcterms:modified xsi:type="dcterms:W3CDTF">2014-03-06T07:07:00Z</dcterms:modified>
</cp:coreProperties>
</file>