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FA4" w:rsidRPr="009F0FE6" w:rsidP="00301240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9F0FE6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9F0FE6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9F0FE6">
        <w:rPr>
          <w:rFonts w:ascii="Book Antiqua" w:hAnsi="Book Antiqua"/>
          <w:b/>
          <w:spacing w:val="30"/>
          <w:sz w:val="22"/>
          <w:szCs w:val="22"/>
        </w:rPr>
        <w:t xml:space="preserve">Návrh </w:t>
      </w: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9F0FE6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9F0FE6">
        <w:rPr>
          <w:rFonts w:ascii="Book Antiqua" w:hAnsi="Book Antiqua"/>
          <w:sz w:val="22"/>
          <w:szCs w:val="22"/>
        </w:rPr>
        <w:t>z ... 2014,</w:t>
      </w: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72FA4" w:rsidRPr="009F0FE6" w:rsidP="0030124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F0FE6">
        <w:rPr>
          <w:rFonts w:ascii="Book Antiqua" w:hAnsi="Book Antiqua"/>
          <w:b/>
          <w:sz w:val="22"/>
          <w:szCs w:val="22"/>
        </w:rPr>
        <w:t xml:space="preserve">ktorým sa </w:t>
      </w:r>
      <w:r w:rsidRPr="009F0FE6" w:rsidR="00A35317">
        <w:rPr>
          <w:rFonts w:ascii="Book Antiqua" w:hAnsi="Book Antiqua"/>
          <w:b/>
          <w:sz w:val="22"/>
          <w:szCs w:val="22"/>
        </w:rPr>
        <w:t xml:space="preserve">mení a </w:t>
      </w:r>
      <w:r w:rsidRPr="009F0FE6">
        <w:rPr>
          <w:rFonts w:ascii="Book Antiqua" w:hAnsi="Book Antiqua"/>
          <w:b/>
          <w:sz w:val="22"/>
          <w:szCs w:val="22"/>
        </w:rPr>
        <w:t xml:space="preserve">dopĺňa zákon č. 171/2005 Z.z. </w:t>
      </w:r>
      <w:r w:rsidRPr="009F0FE6">
        <w:rPr>
          <w:rFonts w:ascii="Book Antiqua" w:hAnsi="Book Antiqua"/>
          <w:b/>
          <w:color w:val="000000"/>
          <w:sz w:val="22"/>
          <w:szCs w:val="22"/>
          <w:lang w:eastAsia="cs-CZ"/>
        </w:rPr>
        <w:t>o hazardných hrách a o zmene a doplnení niektorých zákonov</w:t>
      </w:r>
      <w:r w:rsidRPr="009F0FE6">
        <w:rPr>
          <w:rFonts w:ascii="Book Antiqua" w:hAnsi="Book Antiqua"/>
          <w:b/>
          <w:sz w:val="22"/>
          <w:szCs w:val="22"/>
        </w:rPr>
        <w:t xml:space="preserve"> v znení neskorších predpisov a ktorým sa dopĺňajú niektoré zákony</w:t>
      </w:r>
    </w:p>
    <w:p w:rsidR="00472FA4" w:rsidRPr="009F0FE6" w:rsidP="0030124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72FA4" w:rsidRPr="009F0FE6" w:rsidP="0030124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F0FE6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472FA4" w:rsidRPr="009F0FE6" w:rsidP="00301240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sz w:val="22"/>
          <w:szCs w:val="22"/>
        </w:rPr>
      </w:pPr>
      <w:r w:rsidRPr="009F0FE6">
        <w:rPr>
          <w:rFonts w:ascii="Book Antiqua" w:hAnsi="Book Antiqua"/>
          <w:b/>
          <w:sz w:val="22"/>
          <w:szCs w:val="22"/>
        </w:rPr>
        <w:t>Čl. I</w:t>
      </w:r>
    </w:p>
    <w:p w:rsidR="00472FA4" w:rsidRPr="009F0FE6" w:rsidP="00A35317">
      <w:pPr>
        <w:bidi w:val="0"/>
        <w:spacing w:before="120" w:line="276" w:lineRule="auto"/>
        <w:ind w:firstLine="426"/>
        <w:jc w:val="both"/>
        <w:rPr>
          <w:rFonts w:ascii="Book Antiqua" w:hAnsi="Book Antiqua"/>
          <w:sz w:val="22"/>
          <w:szCs w:val="22"/>
        </w:rPr>
      </w:pPr>
      <w:r w:rsidRPr="009F0FE6">
        <w:rPr>
          <w:rFonts w:ascii="Book Antiqua" w:hAnsi="Book Antiqua"/>
          <w:sz w:val="22"/>
          <w:szCs w:val="22"/>
        </w:rPr>
        <w:t>Zákon č. 171/2005 Z.</w:t>
      </w:r>
      <w:r w:rsidRPr="009F0FE6" w:rsidR="00A35317">
        <w:rPr>
          <w:rFonts w:ascii="Book Antiqua" w:hAnsi="Book Antiqua"/>
          <w:sz w:val="22"/>
          <w:szCs w:val="22"/>
        </w:rPr>
        <w:t xml:space="preserve"> </w:t>
      </w:r>
      <w:r w:rsidRPr="009F0FE6">
        <w:rPr>
          <w:rFonts w:ascii="Book Antiqua" w:hAnsi="Book Antiqua"/>
          <w:sz w:val="22"/>
          <w:szCs w:val="22"/>
        </w:rPr>
        <w:t>z. o hazardných hrách a o zmene a doplnení niektorých zákonov v znení zákona číslo 659/2007 Z.</w:t>
      </w:r>
      <w:r w:rsidRPr="009F0FE6" w:rsidR="00A35317">
        <w:rPr>
          <w:rFonts w:ascii="Book Antiqua" w:hAnsi="Book Antiqua"/>
          <w:sz w:val="22"/>
          <w:szCs w:val="22"/>
        </w:rPr>
        <w:t xml:space="preserve"> </w:t>
      </w:r>
      <w:r w:rsidRPr="009F0FE6">
        <w:rPr>
          <w:rFonts w:ascii="Book Antiqua" w:hAnsi="Book Antiqua"/>
          <w:sz w:val="22"/>
          <w:szCs w:val="22"/>
        </w:rPr>
        <w:t>z., zákona č. 70/2008 Z.</w:t>
      </w:r>
      <w:r w:rsidRPr="009F0FE6" w:rsidR="00A35317">
        <w:rPr>
          <w:rFonts w:ascii="Book Antiqua" w:hAnsi="Book Antiqua"/>
          <w:sz w:val="22"/>
          <w:szCs w:val="22"/>
        </w:rPr>
        <w:t xml:space="preserve"> </w:t>
      </w:r>
      <w:r w:rsidRPr="009F0FE6">
        <w:rPr>
          <w:rFonts w:ascii="Book Antiqua" w:hAnsi="Book Antiqua"/>
          <w:sz w:val="22"/>
          <w:szCs w:val="22"/>
        </w:rPr>
        <w:t>z., zákona č. 478/2009 Z.</w:t>
      </w:r>
      <w:r w:rsidRPr="009F0FE6" w:rsidR="00A35317">
        <w:rPr>
          <w:rFonts w:ascii="Book Antiqua" w:hAnsi="Book Antiqua"/>
          <w:sz w:val="22"/>
          <w:szCs w:val="22"/>
        </w:rPr>
        <w:t xml:space="preserve"> </w:t>
      </w:r>
      <w:r w:rsidRPr="009F0FE6">
        <w:rPr>
          <w:rFonts w:ascii="Book Antiqua" w:hAnsi="Book Antiqua"/>
          <w:sz w:val="22"/>
          <w:szCs w:val="22"/>
        </w:rPr>
        <w:t xml:space="preserve">z., zákona </w:t>
      </w:r>
      <w:r w:rsidRPr="009F0FE6" w:rsidR="00301240">
        <w:rPr>
          <w:rFonts w:ascii="Book Antiqua" w:hAnsi="Book Antiqua"/>
          <w:sz w:val="22"/>
          <w:szCs w:val="22"/>
        </w:rPr>
        <w:t xml:space="preserve"> </w:t>
      </w:r>
      <w:r w:rsidRPr="009F0FE6" w:rsidR="00A35317">
        <w:rPr>
          <w:rFonts w:ascii="Book Antiqua" w:hAnsi="Book Antiqua"/>
          <w:sz w:val="22"/>
          <w:szCs w:val="22"/>
        </w:rPr>
        <w:t xml:space="preserve">    </w:t>
      </w:r>
      <w:r w:rsidRPr="009F0FE6">
        <w:rPr>
          <w:rFonts w:ascii="Book Antiqua" w:hAnsi="Book Antiqua"/>
          <w:sz w:val="22"/>
          <w:szCs w:val="22"/>
        </w:rPr>
        <w:t>č. 479/2009 Z.</w:t>
      </w:r>
      <w:r w:rsidRPr="009F0FE6" w:rsidR="00A35317">
        <w:rPr>
          <w:rFonts w:ascii="Book Antiqua" w:hAnsi="Book Antiqua"/>
          <w:sz w:val="22"/>
          <w:szCs w:val="22"/>
        </w:rPr>
        <w:t xml:space="preserve"> </w:t>
      </w:r>
      <w:r w:rsidRPr="009F0FE6">
        <w:rPr>
          <w:rFonts w:ascii="Book Antiqua" w:hAnsi="Book Antiqua"/>
          <w:sz w:val="22"/>
          <w:szCs w:val="22"/>
        </w:rPr>
        <w:t>z., zákona č. 84/2010 Z.</w:t>
      </w:r>
      <w:r w:rsidRPr="009F0FE6" w:rsidR="00A35317">
        <w:rPr>
          <w:rFonts w:ascii="Book Antiqua" w:hAnsi="Book Antiqua"/>
          <w:sz w:val="22"/>
          <w:szCs w:val="22"/>
        </w:rPr>
        <w:t xml:space="preserve"> </w:t>
      </w:r>
      <w:r w:rsidRPr="009F0FE6">
        <w:rPr>
          <w:rFonts w:ascii="Book Antiqua" w:hAnsi="Book Antiqua"/>
          <w:sz w:val="22"/>
          <w:szCs w:val="22"/>
        </w:rPr>
        <w:t>z., zákona č. 374/2010 Z.</w:t>
      </w:r>
      <w:r w:rsidRPr="009F0FE6" w:rsidR="00A35317">
        <w:rPr>
          <w:rFonts w:ascii="Book Antiqua" w:hAnsi="Book Antiqua"/>
          <w:sz w:val="22"/>
          <w:szCs w:val="22"/>
        </w:rPr>
        <w:t xml:space="preserve"> </w:t>
      </w:r>
      <w:r w:rsidRPr="009F0FE6">
        <w:rPr>
          <w:rFonts w:ascii="Book Antiqua" w:hAnsi="Book Antiqua"/>
          <w:sz w:val="22"/>
          <w:szCs w:val="22"/>
        </w:rPr>
        <w:t>z, zákona č. 514/2010 Z.</w:t>
      </w:r>
      <w:r w:rsidRPr="009F0FE6" w:rsidR="00A35317">
        <w:rPr>
          <w:rFonts w:ascii="Book Antiqua" w:hAnsi="Book Antiqua"/>
          <w:sz w:val="22"/>
          <w:szCs w:val="22"/>
        </w:rPr>
        <w:t xml:space="preserve"> </w:t>
      </w:r>
      <w:r w:rsidRPr="009F0FE6">
        <w:rPr>
          <w:rFonts w:ascii="Book Antiqua" w:hAnsi="Book Antiqua"/>
          <w:sz w:val="22"/>
          <w:szCs w:val="22"/>
        </w:rPr>
        <w:t>z., zákona č. 227/2011 Z.</w:t>
      </w:r>
      <w:r w:rsidRPr="009F0FE6" w:rsidR="00A35317">
        <w:rPr>
          <w:rFonts w:ascii="Book Antiqua" w:hAnsi="Book Antiqua"/>
          <w:sz w:val="22"/>
          <w:szCs w:val="22"/>
        </w:rPr>
        <w:t xml:space="preserve"> </w:t>
      </w:r>
      <w:r w:rsidRPr="009F0FE6">
        <w:rPr>
          <w:rFonts w:ascii="Book Antiqua" w:hAnsi="Book Antiqua"/>
          <w:sz w:val="22"/>
          <w:szCs w:val="22"/>
        </w:rPr>
        <w:t>z., zákona č. 228/2011 Z.</w:t>
      </w:r>
      <w:r w:rsidRPr="009F0FE6" w:rsidR="00A35317">
        <w:rPr>
          <w:rFonts w:ascii="Book Antiqua" w:hAnsi="Book Antiqua"/>
          <w:sz w:val="22"/>
          <w:szCs w:val="22"/>
        </w:rPr>
        <w:t xml:space="preserve"> </w:t>
      </w:r>
      <w:r w:rsidRPr="009F0FE6">
        <w:rPr>
          <w:rFonts w:ascii="Book Antiqua" w:hAnsi="Book Antiqua"/>
          <w:sz w:val="22"/>
          <w:szCs w:val="22"/>
        </w:rPr>
        <w:t>z., zákona č. 547/2011 Z.</w:t>
      </w:r>
      <w:r w:rsidRPr="009F0FE6" w:rsidR="00A35317">
        <w:rPr>
          <w:rFonts w:ascii="Book Antiqua" w:hAnsi="Book Antiqua"/>
          <w:sz w:val="22"/>
          <w:szCs w:val="22"/>
        </w:rPr>
        <w:t xml:space="preserve"> </w:t>
      </w:r>
      <w:r w:rsidRPr="009F0FE6">
        <w:rPr>
          <w:rFonts w:ascii="Book Antiqua" w:hAnsi="Book Antiqua"/>
          <w:sz w:val="22"/>
          <w:szCs w:val="22"/>
        </w:rPr>
        <w:t xml:space="preserve">z., zákona </w:t>
      </w:r>
      <w:r w:rsidRPr="009F0FE6" w:rsidR="00A35317">
        <w:rPr>
          <w:rFonts w:ascii="Book Antiqua" w:hAnsi="Book Antiqua"/>
          <w:sz w:val="22"/>
          <w:szCs w:val="22"/>
        </w:rPr>
        <w:t xml:space="preserve">               </w:t>
      </w:r>
      <w:r w:rsidRPr="009F0FE6">
        <w:rPr>
          <w:rFonts w:ascii="Book Antiqua" w:hAnsi="Book Antiqua"/>
          <w:sz w:val="22"/>
          <w:szCs w:val="22"/>
        </w:rPr>
        <w:t>č. 286/2012 Z.</w:t>
      </w:r>
      <w:r w:rsidRPr="009F0FE6" w:rsidR="00A35317">
        <w:rPr>
          <w:rFonts w:ascii="Book Antiqua" w:hAnsi="Book Antiqua"/>
          <w:sz w:val="22"/>
          <w:szCs w:val="22"/>
        </w:rPr>
        <w:t xml:space="preserve"> </w:t>
      </w:r>
      <w:r w:rsidRPr="009F0FE6">
        <w:rPr>
          <w:rFonts w:ascii="Book Antiqua" w:hAnsi="Book Antiqua"/>
          <w:sz w:val="22"/>
          <w:szCs w:val="22"/>
        </w:rPr>
        <w:t>z., zákona č. 439/2012 Z.</w:t>
      </w:r>
      <w:r w:rsidRPr="009F0FE6" w:rsidR="00A35317">
        <w:rPr>
          <w:rFonts w:ascii="Book Antiqua" w:hAnsi="Book Antiqua"/>
          <w:sz w:val="22"/>
          <w:szCs w:val="22"/>
        </w:rPr>
        <w:t xml:space="preserve"> </w:t>
      </w:r>
      <w:r w:rsidRPr="009F0FE6">
        <w:rPr>
          <w:rFonts w:ascii="Book Antiqua" w:hAnsi="Book Antiqua"/>
          <w:sz w:val="22"/>
          <w:szCs w:val="22"/>
        </w:rPr>
        <w:t>z. a zákona č. 135/2013 Z.</w:t>
      </w:r>
      <w:r w:rsidRPr="009F0FE6" w:rsidR="00A35317">
        <w:rPr>
          <w:rFonts w:ascii="Book Antiqua" w:hAnsi="Book Antiqua"/>
          <w:sz w:val="22"/>
          <w:szCs w:val="22"/>
        </w:rPr>
        <w:t xml:space="preserve"> </w:t>
      </w:r>
      <w:r w:rsidRPr="009F0FE6">
        <w:rPr>
          <w:rFonts w:ascii="Book Antiqua" w:hAnsi="Book Antiqua"/>
          <w:sz w:val="22"/>
          <w:szCs w:val="22"/>
        </w:rPr>
        <w:t xml:space="preserve">z. sa </w:t>
      </w:r>
      <w:r w:rsidRPr="009F0FE6" w:rsidR="00A35317">
        <w:rPr>
          <w:rFonts w:ascii="Book Antiqua" w:hAnsi="Book Antiqua"/>
          <w:sz w:val="22"/>
          <w:szCs w:val="22"/>
        </w:rPr>
        <w:t xml:space="preserve">mení a </w:t>
      </w:r>
      <w:r w:rsidRPr="009F0FE6">
        <w:rPr>
          <w:rFonts w:ascii="Book Antiqua" w:hAnsi="Book Antiqua"/>
          <w:sz w:val="22"/>
          <w:szCs w:val="22"/>
        </w:rPr>
        <w:t>dopĺňa takto:</w:t>
      </w:r>
    </w:p>
    <w:p w:rsidR="00301240" w:rsidRPr="009F0FE6" w:rsidP="00301240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472FA4" w:rsidRPr="009F0FE6" w:rsidP="00301240">
      <w:pPr>
        <w:pStyle w:val="BodyText"/>
        <w:numPr>
          <w:numId w:val="21"/>
        </w:numPr>
        <w:bidi w:val="0"/>
        <w:spacing w:before="120" w:line="276" w:lineRule="auto"/>
        <w:ind w:left="709" w:hanging="283"/>
        <w:rPr>
          <w:rFonts w:ascii="Book Antiqua" w:hAnsi="Book Antiqua"/>
          <w:sz w:val="22"/>
          <w:szCs w:val="22"/>
        </w:rPr>
      </w:pPr>
      <w:r w:rsidRPr="009F0FE6">
        <w:rPr>
          <w:rFonts w:ascii="Book Antiqua" w:hAnsi="Book Antiqua"/>
          <w:sz w:val="22"/>
          <w:szCs w:val="22"/>
        </w:rPr>
        <w:t>V § 35 sa za odse</w:t>
      </w:r>
      <w:r w:rsidRPr="009F0FE6" w:rsidR="00301240">
        <w:rPr>
          <w:rFonts w:ascii="Book Antiqua" w:hAnsi="Book Antiqua"/>
          <w:sz w:val="22"/>
          <w:szCs w:val="22"/>
        </w:rPr>
        <w:t xml:space="preserve">k 6 vkladajú nové odseky 7 až </w:t>
      </w:r>
      <w:r w:rsidRPr="009F0FE6">
        <w:rPr>
          <w:rFonts w:ascii="Book Antiqua" w:hAnsi="Book Antiqua"/>
          <w:sz w:val="22"/>
          <w:szCs w:val="22"/>
        </w:rPr>
        <w:t>9</w:t>
      </w:r>
      <w:r w:rsidRPr="009F0FE6" w:rsidR="00301240">
        <w:rPr>
          <w:rFonts w:ascii="Book Antiqua" w:hAnsi="Book Antiqua"/>
          <w:sz w:val="22"/>
          <w:szCs w:val="22"/>
        </w:rPr>
        <w:t>,</w:t>
      </w:r>
      <w:r w:rsidRPr="009F0FE6">
        <w:rPr>
          <w:rFonts w:ascii="Book Antiqua" w:hAnsi="Book Antiqua"/>
          <w:sz w:val="22"/>
          <w:szCs w:val="22"/>
        </w:rPr>
        <w:t xml:space="preserve"> ktoré znejú:</w:t>
      </w:r>
    </w:p>
    <w:p w:rsidR="00472FA4" w:rsidRPr="009F0FE6" w:rsidP="00AB7FB9">
      <w:pPr>
        <w:bidi w:val="0"/>
        <w:spacing w:before="120" w:line="276" w:lineRule="auto"/>
        <w:ind w:left="1276" w:hanging="567"/>
        <w:jc w:val="both"/>
        <w:rPr>
          <w:rFonts w:ascii="Book Antiqua" w:hAnsi="Book Antiqua"/>
          <w:sz w:val="22"/>
          <w:szCs w:val="22"/>
          <w:lang w:eastAsia="cs-CZ"/>
        </w:rPr>
      </w:pPr>
      <w:r w:rsidRPr="009F0FE6">
        <w:rPr>
          <w:rFonts w:ascii="Book Antiqua" w:hAnsi="Book Antiqua"/>
          <w:sz w:val="22"/>
          <w:szCs w:val="22"/>
        </w:rPr>
        <w:t xml:space="preserve">„(7) </w:t>
      </w:r>
      <w:r w:rsidRPr="009F0FE6" w:rsidR="00301240">
        <w:rPr>
          <w:rFonts w:ascii="Book Antiqua" w:hAnsi="Book Antiqua"/>
          <w:sz w:val="22"/>
          <w:szCs w:val="22"/>
        </w:rPr>
        <w:tab/>
      </w:r>
      <w:r w:rsidRPr="009F0FE6">
        <w:rPr>
          <w:rFonts w:ascii="Book Antiqua" w:hAnsi="Book Antiqua"/>
          <w:sz w:val="22"/>
          <w:szCs w:val="22"/>
          <w:lang w:eastAsia="cs-CZ"/>
        </w:rPr>
        <w:t xml:space="preserve">Hazardnej hry </w:t>
      </w:r>
      <w:r w:rsidRPr="009F0FE6" w:rsidR="00765A85">
        <w:rPr>
          <w:rFonts w:ascii="Book Antiqua" w:hAnsi="Book Antiqua"/>
          <w:sz w:val="22"/>
          <w:szCs w:val="22"/>
          <w:lang w:eastAsia="cs-CZ"/>
        </w:rPr>
        <w:t xml:space="preserve">uvedenej 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v </w:t>
      </w:r>
      <w:r w:rsidRPr="009F0FE6" w:rsidR="00765A85">
        <w:rPr>
          <w:rFonts w:ascii="Book Antiqua" w:hAnsi="Book Antiqua"/>
          <w:sz w:val="22"/>
          <w:szCs w:val="22"/>
          <w:lang w:eastAsia="cs-CZ"/>
        </w:rPr>
        <w:t xml:space="preserve">§ </w:t>
      </w:r>
      <w:r w:rsidRPr="009F0FE6" w:rsidR="00F63A5F">
        <w:rPr>
          <w:rFonts w:ascii="Book Antiqua" w:hAnsi="Book Antiqua"/>
          <w:sz w:val="22"/>
          <w:szCs w:val="22"/>
          <w:lang w:eastAsia="cs-CZ"/>
        </w:rPr>
        <w:t>3 ods. 2 písm. b) a d)</w:t>
      </w:r>
      <w:r w:rsidRPr="009F0FE6" w:rsidR="00962253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sa môže zúčastniť iba osoba,</w:t>
      </w:r>
      <w:r w:rsidRPr="009F0FE6" w:rsidR="009966F6">
        <w:rPr>
          <w:rFonts w:ascii="Book Antiqua" w:hAnsi="Book Antiqua"/>
          <w:sz w:val="22"/>
          <w:szCs w:val="22"/>
          <w:lang w:eastAsia="cs-CZ"/>
        </w:rPr>
        <w:t xml:space="preserve"> ktorá</w:t>
      </w:r>
    </w:p>
    <w:p w:rsidR="00472FA4" w:rsidRPr="009F0FE6" w:rsidP="00AB7FB9">
      <w:pPr>
        <w:numPr>
          <w:ilvl w:val="0"/>
          <w:numId w:val="14"/>
        </w:numPr>
        <w:tabs>
          <w:tab w:val="clear" w:pos="1413"/>
          <w:tab w:val="num" w:pos="1560"/>
        </w:tabs>
        <w:bidi w:val="0"/>
        <w:spacing w:before="120" w:line="276" w:lineRule="auto"/>
        <w:ind w:left="1560" w:hanging="284"/>
        <w:jc w:val="both"/>
        <w:rPr>
          <w:rFonts w:ascii="Book Antiqua" w:hAnsi="Book Antiqua"/>
          <w:sz w:val="22"/>
          <w:szCs w:val="22"/>
          <w:lang w:eastAsia="cs-CZ"/>
        </w:rPr>
      </w:pPr>
      <w:r w:rsidRPr="009F0FE6">
        <w:rPr>
          <w:rFonts w:ascii="Book Antiqua" w:hAnsi="Book Antiqua"/>
          <w:sz w:val="22"/>
          <w:szCs w:val="22"/>
          <w:lang w:eastAsia="cs-CZ"/>
        </w:rPr>
        <w:t xml:space="preserve">sa preukáže prevádzkovateľovi </w:t>
      </w:r>
      <w:r w:rsidRPr="009F0FE6" w:rsidR="00BA2536">
        <w:rPr>
          <w:rFonts w:ascii="Book Antiqua" w:hAnsi="Book Antiqua"/>
          <w:sz w:val="22"/>
          <w:szCs w:val="22"/>
          <w:lang w:eastAsia="cs-CZ"/>
        </w:rPr>
        <w:t xml:space="preserve">hazardnej hry alebo jeho zamestnancovi </w:t>
      </w:r>
      <w:r w:rsidRPr="009F0FE6">
        <w:rPr>
          <w:rFonts w:ascii="Book Antiqua" w:hAnsi="Book Antiqua"/>
          <w:sz w:val="22"/>
          <w:szCs w:val="22"/>
          <w:lang w:eastAsia="cs-CZ"/>
        </w:rPr>
        <w:t>preukazom to</w:t>
      </w:r>
      <w:r w:rsidRPr="009F0FE6" w:rsidR="00BA2536">
        <w:rPr>
          <w:rFonts w:ascii="Book Antiqua" w:hAnsi="Book Antiqua"/>
          <w:sz w:val="22"/>
          <w:szCs w:val="22"/>
          <w:lang w:eastAsia="cs-CZ"/>
        </w:rPr>
        <w:t>tožnosti a podpíše vyhlásenie</w:t>
      </w:r>
      <w:r w:rsidRPr="009F0FE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BA2536">
        <w:rPr>
          <w:rFonts w:ascii="Book Antiqua" w:hAnsi="Book Antiqua"/>
          <w:sz w:val="22"/>
          <w:szCs w:val="22"/>
          <w:lang w:eastAsia="cs-CZ"/>
        </w:rPr>
        <w:t>uvedené v prílohe</w:t>
      </w:r>
      <w:r w:rsidRPr="009F0FE6">
        <w:rPr>
          <w:rFonts w:ascii="Book Antiqua" w:hAnsi="Book Antiqua"/>
          <w:sz w:val="22"/>
          <w:szCs w:val="22"/>
          <w:lang w:eastAsia="cs-CZ"/>
        </w:rPr>
        <w:t>,</w:t>
      </w:r>
    </w:p>
    <w:p w:rsidR="00472FA4" w:rsidRPr="009F0FE6" w:rsidP="00AB7FB9">
      <w:pPr>
        <w:numPr>
          <w:ilvl w:val="0"/>
          <w:numId w:val="14"/>
        </w:numPr>
        <w:tabs>
          <w:tab w:val="clear" w:pos="1413"/>
          <w:tab w:val="num" w:pos="1560"/>
        </w:tabs>
        <w:bidi w:val="0"/>
        <w:spacing w:before="120" w:line="276" w:lineRule="auto"/>
        <w:ind w:left="1560" w:hanging="284"/>
        <w:jc w:val="both"/>
        <w:rPr>
          <w:rFonts w:ascii="Book Antiqua" w:hAnsi="Book Antiqua"/>
          <w:sz w:val="22"/>
          <w:szCs w:val="22"/>
          <w:lang w:eastAsia="cs-CZ"/>
        </w:rPr>
      </w:pPr>
      <w:r w:rsidRPr="009F0FE6" w:rsidR="00304EAF">
        <w:rPr>
          <w:rFonts w:ascii="Book Antiqua" w:hAnsi="Book Antiqua"/>
          <w:sz w:val="22"/>
          <w:szCs w:val="22"/>
          <w:lang w:eastAsia="cs-CZ"/>
        </w:rPr>
        <w:t xml:space="preserve">nie je </w:t>
      </w:r>
      <w:r w:rsidRPr="009F0FE6" w:rsidR="007A30A8">
        <w:rPr>
          <w:rFonts w:ascii="Book Antiqua" w:hAnsi="Book Antiqua"/>
          <w:sz w:val="22"/>
          <w:szCs w:val="22"/>
          <w:lang w:eastAsia="cs-CZ"/>
        </w:rPr>
        <w:t xml:space="preserve">v čase na začiatku </w:t>
      </w:r>
      <w:r w:rsidRPr="009F0FE6" w:rsidR="000B0DEB">
        <w:rPr>
          <w:rFonts w:ascii="Book Antiqua" w:hAnsi="Book Antiqua"/>
          <w:sz w:val="22"/>
          <w:szCs w:val="22"/>
          <w:lang w:eastAsia="cs-CZ"/>
        </w:rPr>
        <w:t xml:space="preserve">hazardnej </w:t>
      </w:r>
      <w:r w:rsidRPr="009F0FE6" w:rsidR="007A30A8">
        <w:rPr>
          <w:rFonts w:ascii="Book Antiqua" w:hAnsi="Book Antiqua"/>
          <w:sz w:val="22"/>
          <w:szCs w:val="22"/>
          <w:lang w:eastAsia="cs-CZ"/>
        </w:rPr>
        <w:t xml:space="preserve">hry </w:t>
      </w:r>
      <w:r w:rsidRPr="009F0FE6" w:rsidR="00506551">
        <w:rPr>
          <w:rFonts w:ascii="Book Antiqua" w:hAnsi="Book Antiqua"/>
          <w:sz w:val="22"/>
          <w:szCs w:val="22"/>
          <w:lang w:eastAsia="cs-CZ"/>
        </w:rPr>
        <w:t>evidovaná ako dlžník</w:t>
      </w:r>
      <w:r w:rsidRPr="009F0FE6" w:rsidR="00304EAF">
        <w:rPr>
          <w:rFonts w:ascii="Book Antiqua" w:hAnsi="Book Antiqua"/>
          <w:sz w:val="22"/>
          <w:szCs w:val="22"/>
          <w:vertAlign w:val="superscript"/>
          <w:lang w:eastAsia="cs-CZ"/>
        </w:rPr>
        <w:t>16a)</w:t>
      </w:r>
      <w:r w:rsidRPr="009F0FE6" w:rsidR="008B70A1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304EAF">
        <w:rPr>
          <w:rFonts w:ascii="Book Antiqua" w:hAnsi="Book Antiqua"/>
          <w:sz w:val="22"/>
          <w:szCs w:val="22"/>
          <w:lang w:eastAsia="cs-CZ"/>
        </w:rPr>
        <w:t xml:space="preserve">na </w:t>
      </w:r>
      <w:r w:rsidRPr="009F0FE6" w:rsidR="00506233">
        <w:rPr>
          <w:rFonts w:ascii="Book Antiqua" w:hAnsi="Book Antiqua"/>
          <w:sz w:val="22"/>
          <w:szCs w:val="22"/>
          <w:lang w:eastAsia="cs-CZ"/>
        </w:rPr>
        <w:t xml:space="preserve">webovom sídle </w:t>
      </w:r>
      <w:r w:rsidRPr="009F0FE6" w:rsidR="008B70A1">
        <w:rPr>
          <w:rFonts w:ascii="Book Antiqua" w:hAnsi="Book Antiqua"/>
          <w:sz w:val="22"/>
          <w:szCs w:val="22"/>
          <w:lang w:eastAsia="cs-CZ"/>
        </w:rPr>
        <w:t>podľa osobitného predpisu</w:t>
      </w:r>
      <w:r w:rsidRPr="009F0FE6" w:rsidR="00304EAF">
        <w:rPr>
          <w:rFonts w:ascii="Book Antiqua" w:hAnsi="Book Antiqua"/>
          <w:sz w:val="22"/>
          <w:szCs w:val="22"/>
          <w:vertAlign w:val="superscript"/>
        </w:rPr>
        <w:t>16b</w:t>
      </w:r>
      <w:r w:rsidRPr="009F0FE6">
        <w:rPr>
          <w:rFonts w:ascii="Book Antiqua" w:hAnsi="Book Antiqua"/>
          <w:sz w:val="22"/>
          <w:szCs w:val="22"/>
          <w:vertAlign w:val="superscript"/>
        </w:rPr>
        <w:t>)</w:t>
      </w:r>
      <w:r w:rsidRPr="009F0FE6">
        <w:rPr>
          <w:rFonts w:ascii="Book Antiqua" w:hAnsi="Book Antiqua"/>
          <w:sz w:val="22"/>
          <w:szCs w:val="22"/>
          <w:lang w:eastAsia="cs-CZ"/>
        </w:rPr>
        <w:t>,</w:t>
      </w:r>
    </w:p>
    <w:p w:rsidR="00472FA4" w:rsidRPr="009F0FE6" w:rsidP="00AB7FB9">
      <w:pPr>
        <w:numPr>
          <w:ilvl w:val="0"/>
          <w:numId w:val="14"/>
        </w:numPr>
        <w:tabs>
          <w:tab w:val="clear" w:pos="1413"/>
          <w:tab w:val="num" w:pos="1560"/>
        </w:tabs>
        <w:bidi w:val="0"/>
        <w:spacing w:before="120" w:line="276" w:lineRule="auto"/>
        <w:ind w:left="1560" w:hanging="284"/>
        <w:jc w:val="both"/>
        <w:rPr>
          <w:rFonts w:ascii="Book Antiqua" w:hAnsi="Book Antiqua"/>
          <w:sz w:val="22"/>
          <w:szCs w:val="22"/>
          <w:lang w:eastAsia="cs-CZ"/>
        </w:rPr>
      </w:pPr>
      <w:r w:rsidRPr="009F0FE6" w:rsidR="00B76B9B">
        <w:rPr>
          <w:rFonts w:ascii="Book Antiqua" w:hAnsi="Book Antiqua"/>
          <w:sz w:val="22"/>
          <w:szCs w:val="22"/>
          <w:lang w:eastAsia="cs-CZ"/>
        </w:rPr>
        <w:t xml:space="preserve">nie je </w:t>
      </w:r>
      <w:r w:rsidRPr="009F0FE6" w:rsidR="007A30A8">
        <w:rPr>
          <w:rFonts w:ascii="Book Antiqua" w:hAnsi="Book Antiqua"/>
          <w:sz w:val="22"/>
          <w:szCs w:val="22"/>
          <w:lang w:eastAsia="cs-CZ"/>
        </w:rPr>
        <w:t xml:space="preserve">v čase na začiatku </w:t>
      </w:r>
      <w:r w:rsidRPr="009F0FE6" w:rsidR="00241FB8">
        <w:rPr>
          <w:rFonts w:ascii="Book Antiqua" w:hAnsi="Book Antiqua"/>
          <w:sz w:val="22"/>
          <w:szCs w:val="22"/>
          <w:lang w:eastAsia="cs-CZ"/>
        </w:rPr>
        <w:t xml:space="preserve">hazardnej </w:t>
      </w:r>
      <w:r w:rsidRPr="009F0FE6" w:rsidR="007A30A8">
        <w:rPr>
          <w:rFonts w:ascii="Book Antiqua" w:hAnsi="Book Antiqua"/>
          <w:sz w:val="22"/>
          <w:szCs w:val="22"/>
          <w:lang w:eastAsia="cs-CZ"/>
        </w:rPr>
        <w:t>hry evidovaná ako príjemca</w:t>
      </w:r>
      <w:r w:rsidRPr="009F0FE6" w:rsidR="008B70A1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603895">
        <w:rPr>
          <w:rFonts w:ascii="Book Antiqua" w:hAnsi="Book Antiqua"/>
          <w:sz w:val="22"/>
          <w:szCs w:val="22"/>
          <w:lang w:eastAsia="cs-CZ"/>
        </w:rPr>
        <w:t>dávky</w:t>
      </w:r>
      <w:r w:rsidRPr="009F0FE6" w:rsidR="00B76B9B">
        <w:rPr>
          <w:rFonts w:ascii="Book Antiqua" w:hAnsi="Book Antiqua"/>
          <w:sz w:val="22"/>
          <w:szCs w:val="22"/>
          <w:vertAlign w:val="superscript"/>
          <w:lang w:eastAsia="cs-CZ"/>
        </w:rPr>
        <w:t>16c)</w:t>
      </w:r>
      <w:r w:rsidRPr="009F0FE6" w:rsidR="00603895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B76B9B">
        <w:rPr>
          <w:rFonts w:ascii="Book Antiqua" w:hAnsi="Book Antiqua"/>
          <w:sz w:val="22"/>
          <w:szCs w:val="22"/>
          <w:lang w:eastAsia="cs-CZ"/>
        </w:rPr>
        <w:t xml:space="preserve">na webovom sídle </w:t>
      </w:r>
      <w:r w:rsidRPr="009F0FE6" w:rsidR="008B70A1">
        <w:rPr>
          <w:rFonts w:ascii="Book Antiqua" w:hAnsi="Book Antiqua"/>
          <w:sz w:val="22"/>
          <w:szCs w:val="22"/>
          <w:lang w:eastAsia="cs-CZ"/>
        </w:rPr>
        <w:t>podľa osobitného predpisu</w:t>
      </w:r>
      <w:r w:rsidRPr="009F0FE6" w:rsidR="00B76B9B">
        <w:rPr>
          <w:rFonts w:ascii="Book Antiqua" w:hAnsi="Book Antiqua"/>
          <w:sz w:val="22"/>
          <w:szCs w:val="22"/>
          <w:vertAlign w:val="superscript"/>
        </w:rPr>
        <w:t>16d</w:t>
      </w:r>
      <w:r w:rsidRPr="009F0FE6" w:rsidR="00EB79C6">
        <w:rPr>
          <w:rFonts w:ascii="Book Antiqua" w:hAnsi="Book Antiqua"/>
          <w:sz w:val="22"/>
          <w:szCs w:val="22"/>
          <w:vertAlign w:val="superscript"/>
        </w:rPr>
        <w:t>)</w:t>
      </w:r>
      <w:r w:rsidRPr="009F0FE6" w:rsidR="00EB79C6">
        <w:rPr>
          <w:rFonts w:ascii="Book Antiqua" w:hAnsi="Book Antiqua"/>
          <w:sz w:val="22"/>
          <w:szCs w:val="22"/>
          <w:lang w:eastAsia="cs-CZ"/>
        </w:rPr>
        <w:t>,</w:t>
      </w:r>
    </w:p>
    <w:p w:rsidR="00603895" w:rsidRPr="009F0FE6" w:rsidP="00AB7FB9">
      <w:pPr>
        <w:pStyle w:val="BodyText"/>
        <w:numPr>
          <w:ilvl w:val="0"/>
          <w:numId w:val="14"/>
        </w:numPr>
        <w:tabs>
          <w:tab w:val="clear" w:pos="1413"/>
          <w:tab w:val="num" w:pos="1560"/>
        </w:tabs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</w:rPr>
      </w:pPr>
      <w:r w:rsidRPr="009F0FE6" w:rsidR="00472FA4">
        <w:rPr>
          <w:rFonts w:ascii="Book Antiqua" w:hAnsi="Book Antiqua"/>
          <w:sz w:val="22"/>
          <w:szCs w:val="22"/>
          <w:lang w:eastAsia="cs-CZ"/>
        </w:rPr>
        <w:t xml:space="preserve">nie je </w:t>
      </w:r>
      <w:r w:rsidRPr="009F0FE6" w:rsidR="00241FB8">
        <w:rPr>
          <w:rFonts w:ascii="Book Antiqua" w:hAnsi="Book Antiqua"/>
          <w:sz w:val="22"/>
          <w:szCs w:val="22"/>
          <w:lang w:eastAsia="cs-CZ"/>
        </w:rPr>
        <w:t xml:space="preserve">v čase na </w:t>
      </w:r>
      <w:r w:rsidRPr="009F0FE6" w:rsidR="007A30A8">
        <w:rPr>
          <w:rFonts w:ascii="Book Antiqua" w:hAnsi="Book Antiqua"/>
          <w:sz w:val="22"/>
          <w:szCs w:val="22"/>
          <w:lang w:eastAsia="cs-CZ"/>
        </w:rPr>
        <w:t xml:space="preserve">začiatku </w:t>
      </w:r>
      <w:r w:rsidRPr="009F0FE6" w:rsidR="00241FB8">
        <w:rPr>
          <w:rFonts w:ascii="Book Antiqua" w:hAnsi="Book Antiqua"/>
          <w:sz w:val="22"/>
          <w:szCs w:val="22"/>
          <w:lang w:eastAsia="cs-CZ"/>
        </w:rPr>
        <w:t xml:space="preserve">hazardnej </w:t>
      </w:r>
      <w:r w:rsidRPr="009F0FE6" w:rsidR="007A30A8">
        <w:rPr>
          <w:rFonts w:ascii="Book Antiqua" w:hAnsi="Book Antiqua"/>
          <w:sz w:val="22"/>
          <w:szCs w:val="22"/>
          <w:lang w:eastAsia="cs-CZ"/>
        </w:rPr>
        <w:t>hry evidovaná ako osoba, voči ktorej sa vedie</w:t>
      </w:r>
      <w:r w:rsidRPr="009F0FE6" w:rsidR="00472FA4">
        <w:rPr>
          <w:rFonts w:ascii="Book Antiqua" w:hAnsi="Book Antiqua"/>
          <w:sz w:val="22"/>
          <w:szCs w:val="22"/>
          <w:lang w:eastAsia="cs-CZ"/>
        </w:rPr>
        <w:t xml:space="preserve"> exekúcia na výživné, dane, pokuty, poplatky, clá a</w:t>
      </w:r>
      <w:r w:rsidRPr="009F0FE6" w:rsidR="006D5F37">
        <w:rPr>
          <w:rFonts w:ascii="Book Antiqua" w:hAnsi="Book Antiqua"/>
          <w:sz w:val="22"/>
          <w:szCs w:val="22"/>
          <w:lang w:eastAsia="cs-CZ"/>
        </w:rPr>
        <w:t>lebo</w:t>
      </w:r>
      <w:r w:rsidRPr="009F0FE6" w:rsidR="00472FA4">
        <w:rPr>
          <w:rFonts w:ascii="Book Antiqua" w:hAnsi="Book Antiqua"/>
          <w:sz w:val="22"/>
          <w:szCs w:val="22"/>
          <w:lang w:eastAsia="cs-CZ"/>
        </w:rPr>
        <w:t xml:space="preserve"> pohľadávky na poistnom na zdravotné poistenie, sociálne poistenie a</w:t>
      </w:r>
      <w:r w:rsidRPr="009F0FE6" w:rsidR="006D5F37">
        <w:rPr>
          <w:rFonts w:ascii="Book Antiqua" w:hAnsi="Book Antiqua"/>
          <w:sz w:val="22"/>
          <w:szCs w:val="22"/>
          <w:lang w:eastAsia="cs-CZ"/>
        </w:rPr>
        <w:t>lebo</w:t>
      </w:r>
      <w:r w:rsidRPr="009F0FE6" w:rsidR="00472FA4">
        <w:rPr>
          <w:rFonts w:ascii="Book Antiqua" w:hAnsi="Book Antiqua"/>
          <w:sz w:val="22"/>
          <w:szCs w:val="22"/>
          <w:lang w:eastAsia="cs-CZ"/>
        </w:rPr>
        <w:t xml:space="preserve"> pohľadávky na príspevkoch na starobné d</w:t>
      </w:r>
      <w:r w:rsidRPr="009F0FE6">
        <w:rPr>
          <w:rFonts w:ascii="Book Antiqua" w:hAnsi="Book Antiqua"/>
          <w:sz w:val="22"/>
          <w:szCs w:val="22"/>
          <w:lang w:eastAsia="cs-CZ"/>
        </w:rPr>
        <w:t>ôchodkové sporenie</w:t>
      </w:r>
      <w:r w:rsidRPr="009F0FE6" w:rsidR="00B76B9B">
        <w:rPr>
          <w:rFonts w:ascii="Book Antiqua" w:hAnsi="Book Antiqua"/>
          <w:sz w:val="22"/>
          <w:szCs w:val="22"/>
          <w:lang w:eastAsia="cs-CZ"/>
        </w:rPr>
        <w:t xml:space="preserve"> na webovom sídle podľa osobitného predpisu</w:t>
      </w:r>
      <w:r w:rsidRPr="009F0FE6" w:rsidR="00B76B9B">
        <w:rPr>
          <w:rFonts w:ascii="Book Antiqua" w:hAnsi="Book Antiqua"/>
          <w:sz w:val="22"/>
          <w:szCs w:val="22"/>
          <w:vertAlign w:val="superscript"/>
          <w:lang w:eastAsia="cs-CZ"/>
        </w:rPr>
        <w:t>16e)</w:t>
      </w:r>
      <w:r w:rsidRPr="009F0FE6">
        <w:rPr>
          <w:rFonts w:ascii="Book Antiqua" w:hAnsi="Book Antiqua"/>
          <w:sz w:val="22"/>
          <w:szCs w:val="22"/>
          <w:lang w:eastAsia="cs-CZ"/>
        </w:rPr>
        <w:t>,</w:t>
      </w:r>
    </w:p>
    <w:p w:rsidR="00472FA4" w:rsidRPr="009F0FE6" w:rsidP="00AB7FB9">
      <w:pPr>
        <w:pStyle w:val="BodyText"/>
        <w:numPr>
          <w:ilvl w:val="0"/>
          <w:numId w:val="14"/>
        </w:numPr>
        <w:tabs>
          <w:tab w:val="clear" w:pos="1413"/>
          <w:tab w:val="num" w:pos="1560"/>
        </w:tabs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</w:rPr>
      </w:pPr>
      <w:r w:rsidRPr="009F0FE6" w:rsidR="00603895">
        <w:rPr>
          <w:rFonts w:ascii="Book Antiqua" w:hAnsi="Book Antiqua"/>
          <w:sz w:val="22"/>
          <w:szCs w:val="22"/>
          <w:lang w:eastAsia="cs-CZ"/>
        </w:rPr>
        <w:t xml:space="preserve">nie </w:t>
      </w:r>
      <w:r w:rsidRPr="009F0FE6" w:rsidR="00241FB8">
        <w:rPr>
          <w:rFonts w:ascii="Book Antiqua" w:hAnsi="Book Antiqua"/>
          <w:sz w:val="22"/>
          <w:szCs w:val="22"/>
          <w:lang w:eastAsia="cs-CZ"/>
        </w:rPr>
        <w:t xml:space="preserve">je </w:t>
      </w:r>
      <w:r w:rsidRPr="009F0FE6" w:rsidR="007A30A8">
        <w:rPr>
          <w:rFonts w:ascii="Book Antiqua" w:hAnsi="Book Antiqua"/>
          <w:sz w:val="22"/>
          <w:szCs w:val="22"/>
          <w:lang w:eastAsia="cs-CZ"/>
        </w:rPr>
        <w:t xml:space="preserve">v čase na začiatku </w:t>
      </w:r>
      <w:r w:rsidRPr="009F0FE6" w:rsidR="00241FB8">
        <w:rPr>
          <w:rFonts w:ascii="Book Antiqua" w:hAnsi="Book Antiqua"/>
          <w:sz w:val="22"/>
          <w:szCs w:val="22"/>
          <w:lang w:eastAsia="cs-CZ"/>
        </w:rPr>
        <w:t xml:space="preserve">hazardnej </w:t>
      </w:r>
      <w:r w:rsidRPr="009F0FE6" w:rsidR="007A30A8">
        <w:rPr>
          <w:rFonts w:ascii="Book Antiqua" w:hAnsi="Book Antiqua"/>
          <w:sz w:val="22"/>
          <w:szCs w:val="22"/>
          <w:lang w:eastAsia="cs-CZ"/>
        </w:rPr>
        <w:t>hry evidovaná ako štatutárny orgán alebo člen</w:t>
      </w:r>
      <w:r w:rsidRPr="009F0FE6" w:rsidR="00170850">
        <w:rPr>
          <w:rFonts w:ascii="Book Antiqua" w:hAnsi="Book Antiqua"/>
          <w:sz w:val="22"/>
          <w:szCs w:val="22"/>
          <w:lang w:eastAsia="cs-CZ"/>
        </w:rPr>
        <w:t xml:space="preserve"> štatutárneho orgánu obchod</w:t>
      </w:r>
      <w:r w:rsidRPr="009F0FE6" w:rsidR="007A30A8">
        <w:rPr>
          <w:rFonts w:ascii="Book Antiqua" w:hAnsi="Book Antiqua"/>
          <w:sz w:val="22"/>
          <w:szCs w:val="22"/>
          <w:lang w:eastAsia="cs-CZ"/>
        </w:rPr>
        <w:t>nej spoločnosti alebo väčšinový spoločník</w:t>
      </w:r>
      <w:r w:rsidRPr="009F0FE6" w:rsidR="00170850">
        <w:rPr>
          <w:rFonts w:ascii="Book Antiqua" w:hAnsi="Book Antiqua"/>
          <w:sz w:val="22"/>
          <w:szCs w:val="22"/>
          <w:lang w:eastAsia="cs-CZ"/>
        </w:rPr>
        <w:t xml:space="preserve"> obchodnej spoločnosti</w:t>
      </w:r>
      <w:r w:rsidRPr="009F0FE6" w:rsidR="007A30A8">
        <w:rPr>
          <w:rFonts w:ascii="Book Antiqua" w:hAnsi="Book Antiqua"/>
          <w:sz w:val="22"/>
          <w:szCs w:val="22"/>
          <w:lang w:eastAsia="cs-CZ"/>
        </w:rPr>
        <w:t>, voči ktorému</w:t>
      </w:r>
      <w:r w:rsidRPr="009F0FE6" w:rsidR="009966F6">
        <w:rPr>
          <w:rFonts w:ascii="Book Antiqua" w:hAnsi="Book Antiqua"/>
          <w:sz w:val="22"/>
          <w:szCs w:val="22"/>
          <w:lang w:eastAsia="cs-CZ"/>
        </w:rPr>
        <w:t xml:space="preserve"> sa vedie</w:t>
      </w:r>
      <w:r w:rsidRPr="009F0FE6">
        <w:rPr>
          <w:rFonts w:ascii="Book Antiqua" w:hAnsi="Book Antiqua"/>
          <w:sz w:val="22"/>
          <w:szCs w:val="22"/>
          <w:lang w:eastAsia="cs-CZ"/>
        </w:rPr>
        <w:t xml:space="preserve"> exekúcia </w:t>
      </w:r>
      <w:r w:rsidRPr="009F0FE6" w:rsidR="006D5F37">
        <w:rPr>
          <w:rFonts w:ascii="Book Antiqua" w:hAnsi="Book Antiqua"/>
          <w:sz w:val="22"/>
          <w:szCs w:val="22"/>
          <w:lang w:eastAsia="cs-CZ"/>
        </w:rPr>
        <w:t>na výživné, dane, pokuty, poplatky, clá alebo pohľadávky na poistnom na zdravotné poistenie, sociálne poistenie alebo pohľadávky na príspevkoch na starobné dôchodkové sporenie</w:t>
      </w:r>
      <w:r w:rsidRPr="009F0FE6" w:rsidR="00B76B9B">
        <w:rPr>
          <w:rFonts w:ascii="Book Antiqua" w:hAnsi="Book Antiqua"/>
          <w:sz w:val="22"/>
          <w:szCs w:val="22"/>
          <w:lang w:eastAsia="cs-CZ"/>
        </w:rPr>
        <w:t xml:space="preserve"> na webovom sídle podľa osobitného predpisu</w:t>
      </w:r>
      <w:r w:rsidRPr="009F0FE6" w:rsidR="00B76B9B">
        <w:rPr>
          <w:rFonts w:ascii="Book Antiqua" w:hAnsi="Book Antiqua"/>
          <w:sz w:val="22"/>
          <w:szCs w:val="22"/>
          <w:vertAlign w:val="superscript"/>
          <w:lang w:eastAsia="cs-CZ"/>
        </w:rPr>
        <w:t>16e)</w:t>
      </w:r>
      <w:r w:rsidRPr="009F0FE6">
        <w:rPr>
          <w:rFonts w:ascii="Book Antiqua" w:hAnsi="Book Antiqua"/>
          <w:sz w:val="22"/>
          <w:szCs w:val="22"/>
          <w:lang w:eastAsia="cs-CZ"/>
        </w:rPr>
        <w:t>.</w:t>
      </w:r>
    </w:p>
    <w:p w:rsidR="00BA2536" w:rsidRPr="009F0FE6" w:rsidP="00AB7FB9">
      <w:pPr>
        <w:pStyle w:val="BodyText"/>
        <w:bidi w:val="0"/>
        <w:spacing w:before="120" w:line="276" w:lineRule="auto"/>
        <w:ind w:left="1276" w:hanging="567"/>
        <w:rPr>
          <w:rFonts w:ascii="Book Antiqua" w:hAnsi="Book Antiqua"/>
          <w:sz w:val="22"/>
          <w:szCs w:val="22"/>
          <w:lang w:eastAsia="cs-CZ"/>
        </w:rPr>
      </w:pPr>
      <w:r w:rsidRPr="009F0FE6">
        <w:rPr>
          <w:rFonts w:ascii="Book Antiqua" w:hAnsi="Book Antiqua"/>
          <w:sz w:val="22"/>
          <w:szCs w:val="22"/>
          <w:lang w:eastAsia="cs-CZ"/>
        </w:rPr>
        <w:t>(8</w:t>
      </w:r>
      <w:r w:rsidRPr="009F0FE6" w:rsidR="00472FA4">
        <w:rPr>
          <w:rFonts w:ascii="Book Antiqua" w:hAnsi="Book Antiqua"/>
          <w:sz w:val="22"/>
          <w:szCs w:val="22"/>
          <w:lang w:eastAsia="cs-CZ"/>
        </w:rPr>
        <w:t xml:space="preserve">) </w:t>
      </w:r>
      <w:r w:rsidRPr="009F0FE6">
        <w:rPr>
          <w:rFonts w:ascii="Book Antiqua" w:hAnsi="Book Antiqua"/>
          <w:sz w:val="22"/>
          <w:szCs w:val="22"/>
          <w:lang w:eastAsia="cs-CZ"/>
        </w:rPr>
        <w:tab/>
        <w:t xml:space="preserve">Prevádzkovateľ hazardnej hry </w:t>
      </w:r>
      <w:r w:rsidRPr="009F0FE6" w:rsidR="00962253">
        <w:rPr>
          <w:rFonts w:ascii="Book Antiqua" w:hAnsi="Book Antiqua"/>
          <w:sz w:val="22"/>
          <w:szCs w:val="22"/>
          <w:lang w:eastAsia="cs-CZ"/>
        </w:rPr>
        <w:t xml:space="preserve">uvedenej 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v </w:t>
      </w:r>
      <w:r w:rsidRPr="009F0FE6" w:rsidR="00F63A5F">
        <w:rPr>
          <w:rFonts w:ascii="Book Antiqua" w:hAnsi="Book Antiqua"/>
          <w:sz w:val="22"/>
          <w:szCs w:val="22"/>
          <w:lang w:eastAsia="cs-CZ"/>
        </w:rPr>
        <w:t>§ 3 ods. 2 písm. b) a d)</w:t>
      </w:r>
      <w:r w:rsidRPr="009F0FE6" w:rsidR="007A30A8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 xml:space="preserve">je povinný prijať opatrenia, </w:t>
      </w:r>
      <w:r w:rsidRPr="009F0FE6" w:rsidR="00BF2BA2">
        <w:rPr>
          <w:rFonts w:ascii="Book Antiqua" w:hAnsi="Book Antiqua"/>
          <w:sz w:val="22"/>
          <w:szCs w:val="22"/>
          <w:lang w:eastAsia="cs-CZ"/>
        </w:rPr>
        <w:t>na základe ktorých umožní osobe zúča</w:t>
      </w:r>
      <w:r w:rsidRPr="009F0FE6" w:rsidR="00EB79C6">
        <w:rPr>
          <w:rFonts w:ascii="Book Antiqua" w:hAnsi="Book Antiqua"/>
          <w:sz w:val="22"/>
          <w:szCs w:val="22"/>
          <w:lang w:eastAsia="cs-CZ"/>
        </w:rPr>
        <w:t>stniť</w:t>
      </w:r>
      <w:r w:rsidRPr="009F0FE6" w:rsidR="00BF2BA2">
        <w:rPr>
          <w:rFonts w:ascii="Book Antiqua" w:hAnsi="Book Antiqua"/>
          <w:sz w:val="22"/>
          <w:szCs w:val="22"/>
          <w:lang w:eastAsia="cs-CZ"/>
        </w:rPr>
        <w:t xml:space="preserve"> sa ako hráč hazardnej hry až potom ako</w:t>
      </w:r>
    </w:p>
    <w:p w:rsidR="00BF2BA2" w:rsidRPr="009F0FE6" w:rsidP="00AB7FB9">
      <w:pPr>
        <w:pStyle w:val="BodyText"/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  <w:lang w:eastAsia="cs-CZ"/>
        </w:rPr>
      </w:pPr>
      <w:r w:rsidRPr="009F0FE6">
        <w:rPr>
          <w:rFonts w:ascii="Book Antiqua" w:hAnsi="Book Antiqua"/>
          <w:sz w:val="22"/>
          <w:szCs w:val="22"/>
          <w:lang w:eastAsia="cs-CZ"/>
        </w:rPr>
        <w:t xml:space="preserve">a) </w:t>
      </w:r>
      <w:r w:rsidRPr="009F0FE6" w:rsidR="00AB7FB9">
        <w:rPr>
          <w:rFonts w:ascii="Book Antiqua" w:hAnsi="Book Antiqua"/>
          <w:sz w:val="22"/>
          <w:szCs w:val="22"/>
          <w:lang w:eastAsia="cs-CZ"/>
        </w:rPr>
        <w:tab/>
      </w:r>
      <w:r w:rsidRPr="009F0FE6">
        <w:rPr>
          <w:rFonts w:ascii="Book Antiqua" w:hAnsi="Book Antiqua"/>
          <w:sz w:val="22"/>
          <w:szCs w:val="22"/>
          <w:lang w:eastAsia="cs-CZ"/>
        </w:rPr>
        <w:t>overí jej totožnosť na základe preukazu totožnosti,</w:t>
      </w:r>
    </w:p>
    <w:p w:rsidR="00BF2BA2" w:rsidRPr="009F0FE6" w:rsidP="00AB7FB9">
      <w:pPr>
        <w:pStyle w:val="BodyText"/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  <w:lang w:eastAsia="cs-CZ"/>
        </w:rPr>
      </w:pPr>
      <w:r w:rsidRPr="009F0FE6">
        <w:rPr>
          <w:rFonts w:ascii="Book Antiqua" w:hAnsi="Book Antiqua"/>
          <w:sz w:val="22"/>
          <w:szCs w:val="22"/>
          <w:lang w:eastAsia="cs-CZ"/>
        </w:rPr>
        <w:t xml:space="preserve">b) </w:t>
      </w:r>
      <w:r w:rsidRPr="009F0FE6" w:rsidR="00AB7FB9">
        <w:rPr>
          <w:rFonts w:ascii="Book Antiqua" w:hAnsi="Book Antiqua"/>
          <w:sz w:val="22"/>
          <w:szCs w:val="22"/>
          <w:lang w:eastAsia="cs-CZ"/>
        </w:rPr>
        <w:tab/>
      </w:r>
      <w:r w:rsidRPr="009F0FE6">
        <w:rPr>
          <w:rFonts w:ascii="Book Antiqua" w:hAnsi="Book Antiqua"/>
          <w:sz w:val="22"/>
          <w:szCs w:val="22"/>
          <w:lang w:eastAsia="cs-CZ"/>
        </w:rPr>
        <w:t xml:space="preserve">táto osoba podpíše </w:t>
      </w:r>
      <w:r w:rsidRPr="009F0FE6" w:rsidR="007A30A8">
        <w:rPr>
          <w:rFonts w:ascii="Book Antiqua" w:hAnsi="Book Antiqua"/>
          <w:sz w:val="22"/>
          <w:szCs w:val="22"/>
          <w:lang w:eastAsia="cs-CZ"/>
        </w:rPr>
        <w:t xml:space="preserve">v deň účasti na hazardnej hre </w:t>
      </w:r>
      <w:r w:rsidRPr="009F0FE6" w:rsidR="00B76B9B">
        <w:rPr>
          <w:rFonts w:ascii="Book Antiqua" w:hAnsi="Book Antiqua"/>
          <w:sz w:val="22"/>
          <w:szCs w:val="22"/>
          <w:lang w:eastAsia="cs-CZ"/>
        </w:rPr>
        <w:t xml:space="preserve">v čase jej začiatku </w:t>
      </w:r>
      <w:r w:rsidRPr="009F0FE6">
        <w:rPr>
          <w:rFonts w:ascii="Book Antiqua" w:hAnsi="Book Antiqua"/>
          <w:sz w:val="22"/>
          <w:szCs w:val="22"/>
          <w:lang w:eastAsia="cs-CZ"/>
        </w:rPr>
        <w:t>vyhlásenie uvedené v prílohe,</w:t>
      </w:r>
    </w:p>
    <w:p w:rsidR="00BF2BA2" w:rsidRPr="009F0FE6" w:rsidP="00AB7FB9">
      <w:pPr>
        <w:pStyle w:val="BodyText"/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  <w:lang w:eastAsia="cs-CZ"/>
        </w:rPr>
      </w:pPr>
      <w:r w:rsidRPr="009F0FE6">
        <w:rPr>
          <w:rFonts w:ascii="Book Antiqua" w:hAnsi="Book Antiqua"/>
          <w:sz w:val="22"/>
          <w:szCs w:val="22"/>
          <w:lang w:eastAsia="cs-CZ"/>
        </w:rPr>
        <w:t xml:space="preserve">c) </w:t>
      </w:r>
      <w:r w:rsidRPr="009F0FE6" w:rsidR="00AB7FB9">
        <w:rPr>
          <w:rFonts w:ascii="Book Antiqua" w:hAnsi="Book Antiqua"/>
          <w:sz w:val="22"/>
          <w:szCs w:val="22"/>
          <w:lang w:eastAsia="cs-CZ"/>
        </w:rPr>
        <w:tab/>
      </w:r>
      <w:r w:rsidRPr="009F0FE6">
        <w:rPr>
          <w:rFonts w:ascii="Book Antiqua" w:hAnsi="Book Antiqua"/>
          <w:sz w:val="22"/>
          <w:szCs w:val="22"/>
          <w:lang w:eastAsia="cs-CZ"/>
        </w:rPr>
        <w:t>overí skuto</w:t>
      </w:r>
      <w:r w:rsidRPr="009F0FE6" w:rsidR="007F4A7B">
        <w:rPr>
          <w:rFonts w:ascii="Book Antiqua" w:hAnsi="Book Antiqua"/>
          <w:sz w:val="22"/>
          <w:szCs w:val="22"/>
          <w:lang w:eastAsia="cs-CZ"/>
        </w:rPr>
        <w:t xml:space="preserve">čnosť </w:t>
      </w:r>
      <w:r w:rsidRPr="009F0FE6">
        <w:rPr>
          <w:rFonts w:ascii="Book Antiqua" w:hAnsi="Book Antiqua"/>
          <w:sz w:val="22"/>
          <w:szCs w:val="22"/>
          <w:lang w:eastAsia="cs-CZ"/>
        </w:rPr>
        <w:t>podľa odseku 7 písm. b) na základe informácií zver</w:t>
      </w:r>
      <w:r w:rsidRPr="009F0FE6" w:rsidR="007F4A7B">
        <w:rPr>
          <w:rFonts w:ascii="Book Antiqua" w:hAnsi="Book Antiqua"/>
          <w:sz w:val="22"/>
          <w:szCs w:val="22"/>
          <w:lang w:eastAsia="cs-CZ"/>
        </w:rPr>
        <w:t>ejnených podľa osobitného predpisu</w:t>
      </w:r>
      <w:r w:rsidRPr="009F0FE6" w:rsidR="00B76B9B">
        <w:rPr>
          <w:rFonts w:ascii="Book Antiqua" w:hAnsi="Book Antiqua"/>
          <w:sz w:val="22"/>
          <w:szCs w:val="22"/>
          <w:vertAlign w:val="superscript"/>
          <w:lang w:eastAsia="cs-CZ"/>
        </w:rPr>
        <w:t>16b</w:t>
      </w:r>
      <w:r w:rsidRPr="009F0FE6">
        <w:rPr>
          <w:rFonts w:ascii="Book Antiqua" w:hAnsi="Book Antiqua"/>
          <w:sz w:val="22"/>
          <w:szCs w:val="22"/>
          <w:vertAlign w:val="superscript"/>
          <w:lang w:eastAsia="cs-CZ"/>
        </w:rPr>
        <w:t>)</w:t>
      </w:r>
      <w:r w:rsidRPr="009F0FE6">
        <w:rPr>
          <w:rFonts w:ascii="Book Antiqua" w:hAnsi="Book Antiqua"/>
          <w:sz w:val="22"/>
          <w:szCs w:val="22"/>
          <w:lang w:eastAsia="cs-CZ"/>
        </w:rPr>
        <w:t>,</w:t>
      </w:r>
    </w:p>
    <w:p w:rsidR="00EB79C6" w:rsidRPr="009F0FE6" w:rsidP="00AB7FB9">
      <w:pPr>
        <w:pStyle w:val="BodyText"/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  <w:lang w:eastAsia="cs-CZ"/>
        </w:rPr>
      </w:pPr>
      <w:r w:rsidRPr="009F0FE6" w:rsidR="007F4A7B">
        <w:rPr>
          <w:rFonts w:ascii="Book Antiqua" w:hAnsi="Book Antiqua"/>
          <w:sz w:val="22"/>
          <w:szCs w:val="22"/>
          <w:lang w:eastAsia="cs-CZ"/>
        </w:rPr>
        <w:t xml:space="preserve">d) </w:t>
      </w:r>
      <w:r w:rsidRPr="009F0FE6" w:rsidR="00AB7FB9">
        <w:rPr>
          <w:rFonts w:ascii="Book Antiqua" w:hAnsi="Book Antiqua"/>
          <w:sz w:val="22"/>
          <w:szCs w:val="22"/>
          <w:lang w:eastAsia="cs-CZ"/>
        </w:rPr>
        <w:tab/>
      </w:r>
      <w:r w:rsidRPr="009F0FE6" w:rsidR="007F4A7B">
        <w:rPr>
          <w:rFonts w:ascii="Book Antiqua" w:hAnsi="Book Antiqua"/>
          <w:sz w:val="22"/>
          <w:szCs w:val="22"/>
          <w:lang w:eastAsia="cs-CZ"/>
        </w:rPr>
        <w:t xml:space="preserve">overí skutočnosť </w:t>
      </w:r>
      <w:r w:rsidRPr="009F0FE6">
        <w:rPr>
          <w:rFonts w:ascii="Book Antiqua" w:hAnsi="Book Antiqua"/>
          <w:sz w:val="22"/>
          <w:szCs w:val="22"/>
          <w:lang w:eastAsia="cs-CZ"/>
        </w:rPr>
        <w:t>podľa odseku 7 písm. c) na základe informácií zver</w:t>
      </w:r>
      <w:r w:rsidRPr="009F0FE6" w:rsidR="007F4A7B">
        <w:rPr>
          <w:rFonts w:ascii="Book Antiqua" w:hAnsi="Book Antiqua"/>
          <w:sz w:val="22"/>
          <w:szCs w:val="22"/>
          <w:lang w:eastAsia="cs-CZ"/>
        </w:rPr>
        <w:t>ejnených podľa osobitného predpisu</w:t>
      </w:r>
      <w:r w:rsidRPr="009F0FE6">
        <w:rPr>
          <w:rFonts w:ascii="Book Antiqua" w:hAnsi="Book Antiqua"/>
          <w:sz w:val="22"/>
          <w:szCs w:val="22"/>
          <w:vertAlign w:val="superscript"/>
          <w:lang w:eastAsia="cs-CZ"/>
        </w:rPr>
        <w:t>16d)</w:t>
      </w:r>
      <w:r w:rsidRPr="009F0FE6">
        <w:rPr>
          <w:rFonts w:ascii="Book Antiqua" w:hAnsi="Book Antiqua"/>
          <w:sz w:val="22"/>
          <w:szCs w:val="22"/>
          <w:lang w:eastAsia="cs-CZ"/>
        </w:rPr>
        <w:t>,</w:t>
      </w:r>
    </w:p>
    <w:p w:rsidR="00EB79C6" w:rsidRPr="009F0FE6" w:rsidP="00AB7FB9">
      <w:pPr>
        <w:pStyle w:val="BodyText"/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  <w:lang w:eastAsia="cs-CZ"/>
        </w:rPr>
      </w:pPr>
      <w:r w:rsidRPr="009F0FE6">
        <w:rPr>
          <w:rFonts w:ascii="Book Antiqua" w:hAnsi="Book Antiqua"/>
          <w:sz w:val="22"/>
          <w:szCs w:val="22"/>
          <w:lang w:eastAsia="cs-CZ"/>
        </w:rPr>
        <w:t xml:space="preserve">e) </w:t>
      </w:r>
      <w:r w:rsidRPr="009F0FE6" w:rsidR="00AB7FB9">
        <w:rPr>
          <w:rFonts w:ascii="Book Antiqua" w:hAnsi="Book Antiqua"/>
          <w:sz w:val="22"/>
          <w:szCs w:val="22"/>
          <w:lang w:eastAsia="cs-CZ"/>
        </w:rPr>
        <w:tab/>
      </w:r>
      <w:r w:rsidRPr="009F0FE6" w:rsidR="007F4A7B">
        <w:rPr>
          <w:rFonts w:ascii="Book Antiqua" w:hAnsi="Book Antiqua"/>
          <w:sz w:val="22"/>
          <w:szCs w:val="22"/>
          <w:lang w:eastAsia="cs-CZ"/>
        </w:rPr>
        <w:t xml:space="preserve">overí skutočnosti podľa odseku 7 písm. d) </w:t>
      </w:r>
      <w:r w:rsidRPr="009F0FE6" w:rsidR="00603895">
        <w:rPr>
          <w:rFonts w:ascii="Book Antiqua" w:hAnsi="Book Antiqua"/>
          <w:sz w:val="22"/>
          <w:szCs w:val="22"/>
          <w:lang w:eastAsia="cs-CZ"/>
        </w:rPr>
        <w:t xml:space="preserve">a e) </w:t>
      </w:r>
      <w:r w:rsidRPr="009F0FE6" w:rsidR="007F4A7B">
        <w:rPr>
          <w:rFonts w:ascii="Book Antiqua" w:hAnsi="Book Antiqua"/>
          <w:sz w:val="22"/>
          <w:szCs w:val="22"/>
          <w:lang w:eastAsia="cs-CZ"/>
        </w:rPr>
        <w:t xml:space="preserve">na </w:t>
      </w:r>
      <w:r w:rsidRPr="009F0FE6" w:rsidR="007A30A8">
        <w:rPr>
          <w:rFonts w:ascii="Book Antiqua" w:hAnsi="Book Antiqua"/>
          <w:sz w:val="22"/>
          <w:szCs w:val="22"/>
          <w:lang w:eastAsia="cs-CZ"/>
        </w:rPr>
        <w:t xml:space="preserve">základe informácií zverejnených </w:t>
      </w:r>
      <w:r w:rsidRPr="009F0FE6" w:rsidR="007F4A7B">
        <w:rPr>
          <w:rFonts w:ascii="Book Antiqua" w:hAnsi="Book Antiqua"/>
          <w:sz w:val="22"/>
          <w:szCs w:val="22"/>
          <w:lang w:eastAsia="cs-CZ"/>
        </w:rPr>
        <w:t>podľa osobitných predpisov</w:t>
      </w:r>
      <w:r w:rsidRPr="009F0FE6" w:rsidR="007F4A7B">
        <w:rPr>
          <w:rFonts w:ascii="Book Antiqua" w:hAnsi="Book Antiqua"/>
          <w:sz w:val="22"/>
          <w:szCs w:val="22"/>
          <w:vertAlign w:val="superscript"/>
          <w:lang w:eastAsia="cs-CZ"/>
        </w:rPr>
        <w:t>16e)</w:t>
      </w:r>
      <w:r w:rsidRPr="009F0FE6" w:rsidR="004119FF">
        <w:rPr>
          <w:rFonts w:ascii="Book Antiqua" w:hAnsi="Book Antiqua"/>
          <w:sz w:val="22"/>
          <w:szCs w:val="22"/>
          <w:lang w:eastAsia="cs-CZ"/>
        </w:rPr>
        <w:t>,</w:t>
      </w:r>
    </w:p>
    <w:p w:rsidR="004119FF" w:rsidRPr="009F0FE6" w:rsidP="00AB7FB9">
      <w:pPr>
        <w:pStyle w:val="BodyText"/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  <w:lang w:eastAsia="cs-CZ"/>
        </w:rPr>
      </w:pPr>
      <w:r w:rsidRPr="009F0FE6">
        <w:rPr>
          <w:rFonts w:ascii="Book Antiqua" w:hAnsi="Book Antiqua"/>
          <w:sz w:val="22"/>
          <w:szCs w:val="22"/>
          <w:lang w:eastAsia="cs-CZ"/>
        </w:rPr>
        <w:t>f) vydá osobe, ktorá sa zúčastňuje hazardnej hry ako hráč, kópiu vyhlásenia uvedené</w:t>
      </w:r>
      <w:r w:rsidRPr="009F0FE6" w:rsidR="00B76B9B">
        <w:rPr>
          <w:rFonts w:ascii="Book Antiqua" w:hAnsi="Book Antiqua"/>
          <w:sz w:val="22"/>
          <w:szCs w:val="22"/>
          <w:lang w:eastAsia="cs-CZ"/>
        </w:rPr>
        <w:t>ho</w:t>
      </w:r>
      <w:r w:rsidRPr="009F0FE6">
        <w:rPr>
          <w:rFonts w:ascii="Book Antiqua" w:hAnsi="Book Antiqua"/>
          <w:sz w:val="22"/>
          <w:szCs w:val="22"/>
          <w:lang w:eastAsia="cs-CZ"/>
        </w:rPr>
        <w:t xml:space="preserve"> v prílohe,</w:t>
      </w:r>
    </w:p>
    <w:p w:rsidR="004119FF" w:rsidRPr="009F0FE6" w:rsidP="00AB7FB9">
      <w:pPr>
        <w:pStyle w:val="BodyText"/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  <w:lang w:eastAsia="cs-CZ"/>
        </w:rPr>
      </w:pPr>
      <w:r w:rsidRPr="009F0FE6" w:rsidR="004479CA">
        <w:rPr>
          <w:rFonts w:ascii="Book Antiqua" w:hAnsi="Book Antiqua"/>
          <w:sz w:val="22"/>
          <w:szCs w:val="22"/>
          <w:lang w:eastAsia="cs-CZ"/>
        </w:rPr>
        <w:t xml:space="preserve">g) </w:t>
      </w:r>
      <w:r w:rsidRPr="009F0FE6">
        <w:rPr>
          <w:rFonts w:ascii="Book Antiqua" w:hAnsi="Book Antiqua"/>
          <w:sz w:val="22"/>
          <w:szCs w:val="22"/>
          <w:lang w:eastAsia="cs-CZ"/>
        </w:rPr>
        <w:t>vydá osobe, ktorá sa zúčastňuje hazardnej hry ako hráč, potvrdenie obsahujúce údaje uvedené v odseku 9 písm. c).</w:t>
      </w:r>
    </w:p>
    <w:p w:rsidR="00472FA4" w:rsidRPr="009F0FE6" w:rsidP="00AB7FB9">
      <w:pPr>
        <w:pStyle w:val="BodyText"/>
        <w:bidi w:val="0"/>
        <w:spacing w:before="120" w:line="276" w:lineRule="auto"/>
        <w:ind w:left="1276" w:hanging="567"/>
        <w:rPr>
          <w:rFonts w:ascii="Book Antiqua" w:hAnsi="Book Antiqua"/>
          <w:sz w:val="22"/>
          <w:szCs w:val="22"/>
          <w:lang w:eastAsia="cs-CZ"/>
        </w:rPr>
      </w:pPr>
      <w:r w:rsidRPr="009F0FE6" w:rsidR="00BA2536">
        <w:rPr>
          <w:rFonts w:ascii="Book Antiqua" w:hAnsi="Book Antiqua"/>
          <w:sz w:val="22"/>
          <w:szCs w:val="22"/>
          <w:lang w:eastAsia="cs-CZ"/>
        </w:rPr>
        <w:t>(9)</w:t>
        <w:tab/>
      </w:r>
      <w:r w:rsidRPr="009F0FE6" w:rsidR="00765A85">
        <w:rPr>
          <w:rFonts w:ascii="Book Antiqua" w:hAnsi="Book Antiqua"/>
          <w:sz w:val="22"/>
          <w:szCs w:val="22"/>
          <w:lang w:eastAsia="cs-CZ"/>
        </w:rPr>
        <w:t xml:space="preserve">Prevádzkovateľ hazardnej hry </w:t>
      </w:r>
      <w:r w:rsidRPr="009F0FE6" w:rsidR="00962253">
        <w:rPr>
          <w:rFonts w:ascii="Book Antiqua" w:hAnsi="Book Antiqua"/>
          <w:sz w:val="22"/>
          <w:szCs w:val="22"/>
          <w:lang w:eastAsia="cs-CZ"/>
        </w:rPr>
        <w:t xml:space="preserve">uvedenej 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v </w:t>
      </w:r>
      <w:r w:rsidRPr="009F0FE6" w:rsidR="00F63A5F">
        <w:rPr>
          <w:rFonts w:ascii="Book Antiqua" w:hAnsi="Book Antiqua"/>
          <w:sz w:val="22"/>
          <w:szCs w:val="22"/>
          <w:lang w:eastAsia="cs-CZ"/>
        </w:rPr>
        <w:t>§ 3 ods. 2 písm. b) a d)</w:t>
      </w:r>
      <w:r w:rsidRPr="009F0FE6" w:rsidR="007A30A8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 xml:space="preserve">eviduje </w:t>
      </w:r>
      <w:r w:rsidRPr="009F0FE6" w:rsidR="007F4A7B">
        <w:rPr>
          <w:rFonts w:ascii="Book Antiqua" w:hAnsi="Book Antiqua"/>
          <w:sz w:val="22"/>
          <w:szCs w:val="22"/>
          <w:lang w:eastAsia="cs-CZ"/>
        </w:rPr>
        <w:t xml:space="preserve">dokumenty a </w:t>
      </w:r>
      <w:r w:rsidRPr="009F0FE6">
        <w:rPr>
          <w:rFonts w:ascii="Book Antiqua" w:hAnsi="Book Antiqua"/>
          <w:sz w:val="22"/>
          <w:szCs w:val="22"/>
          <w:lang w:eastAsia="cs-CZ"/>
        </w:rPr>
        <w:t>údaje</w:t>
      </w:r>
      <w:r w:rsidRPr="009F0FE6" w:rsidR="007F4A7B">
        <w:rPr>
          <w:rFonts w:ascii="Book Antiqua" w:hAnsi="Book Antiqua"/>
          <w:sz w:val="22"/>
          <w:szCs w:val="22"/>
          <w:vertAlign w:val="superscript"/>
          <w:lang w:eastAsia="cs-CZ"/>
        </w:rPr>
        <w:t>16f)</w:t>
      </w:r>
      <w:r w:rsidRPr="009F0FE6" w:rsidR="007F4A7B">
        <w:rPr>
          <w:rFonts w:ascii="Book Antiqua" w:hAnsi="Book Antiqua"/>
          <w:sz w:val="22"/>
          <w:szCs w:val="22"/>
          <w:lang w:eastAsia="cs-CZ"/>
        </w:rPr>
        <w:t xml:space="preserve"> o osobe, ktorá sa zúčastnila hazardnej hry</w:t>
      </w:r>
      <w:r w:rsidRPr="009F0FE6" w:rsidR="007A30A8">
        <w:rPr>
          <w:rFonts w:ascii="Book Antiqua" w:hAnsi="Book Antiqua"/>
          <w:sz w:val="22"/>
          <w:szCs w:val="22"/>
          <w:lang w:eastAsia="cs-CZ"/>
        </w:rPr>
        <w:t>,</w:t>
      </w:r>
      <w:r w:rsidRPr="009F0FE6">
        <w:rPr>
          <w:rFonts w:ascii="Book Antiqua" w:hAnsi="Book Antiqua"/>
          <w:sz w:val="22"/>
          <w:szCs w:val="22"/>
          <w:lang w:eastAsia="cs-CZ"/>
        </w:rPr>
        <w:t xml:space="preserve"> po dobu piatich rokov </w:t>
      </w:r>
      <w:r w:rsidRPr="009F0FE6" w:rsidR="007F4A7B">
        <w:rPr>
          <w:rFonts w:ascii="Book Antiqua" w:hAnsi="Book Antiqua"/>
          <w:sz w:val="22"/>
          <w:szCs w:val="22"/>
          <w:lang w:eastAsia="cs-CZ"/>
        </w:rPr>
        <w:t xml:space="preserve">odo dňa dátumu účasti osoby na hazardnej hre </w:t>
      </w:r>
      <w:r w:rsidRPr="009F0FE6">
        <w:rPr>
          <w:rFonts w:ascii="Book Antiqua" w:hAnsi="Book Antiqua"/>
          <w:sz w:val="22"/>
          <w:szCs w:val="22"/>
          <w:lang w:eastAsia="cs-CZ"/>
        </w:rPr>
        <w:t>v rozsahu</w:t>
      </w:r>
    </w:p>
    <w:p w:rsidR="00AB7FB9" w:rsidRPr="009F0FE6" w:rsidP="00AB7FB9">
      <w:pPr>
        <w:numPr>
          <w:numId w:val="20"/>
        </w:numPr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</w:rPr>
      </w:pPr>
      <w:r w:rsidRPr="009F0FE6" w:rsidR="00472FA4">
        <w:rPr>
          <w:rFonts w:ascii="Book Antiqua" w:hAnsi="Book Antiqua"/>
          <w:sz w:val="22"/>
          <w:szCs w:val="22"/>
        </w:rPr>
        <w:t>meno a priezvisko,</w:t>
      </w:r>
      <w:r w:rsidRPr="009F0FE6" w:rsidR="00BF35A4">
        <w:rPr>
          <w:rFonts w:ascii="Book Antiqua" w:hAnsi="Book Antiqua"/>
          <w:sz w:val="22"/>
          <w:szCs w:val="22"/>
        </w:rPr>
        <w:t xml:space="preserve"> dátum narodenia a adresa trvalého pobytu,</w:t>
      </w:r>
    </w:p>
    <w:p w:rsidR="00AB7FB9" w:rsidRPr="009F0FE6" w:rsidP="00AB7FB9">
      <w:pPr>
        <w:numPr>
          <w:numId w:val="20"/>
        </w:numPr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</w:rPr>
      </w:pPr>
      <w:r w:rsidRPr="009F0FE6" w:rsidR="00472FA4">
        <w:rPr>
          <w:rFonts w:ascii="Book Antiqua" w:hAnsi="Book Antiqua"/>
          <w:sz w:val="22"/>
          <w:szCs w:val="22"/>
        </w:rPr>
        <w:t>číslo preukazu totožnosti,</w:t>
      </w:r>
    </w:p>
    <w:p w:rsidR="00AB7FB9" w:rsidRPr="009F0FE6" w:rsidP="004119FF">
      <w:pPr>
        <w:numPr>
          <w:numId w:val="20"/>
        </w:numPr>
        <w:bidi w:val="0"/>
        <w:spacing w:before="120" w:line="276" w:lineRule="auto"/>
        <w:ind w:left="1560" w:hanging="284"/>
        <w:jc w:val="both"/>
        <w:rPr>
          <w:rFonts w:ascii="Book Antiqua" w:hAnsi="Book Antiqua"/>
          <w:sz w:val="22"/>
          <w:szCs w:val="22"/>
        </w:rPr>
      </w:pPr>
      <w:r w:rsidRPr="009F0FE6" w:rsidR="007F4A7B">
        <w:rPr>
          <w:rFonts w:ascii="Book Antiqua" w:hAnsi="Book Antiqua"/>
          <w:sz w:val="22"/>
          <w:szCs w:val="22"/>
        </w:rPr>
        <w:t>dátum účasti osoby na hazardnej hre</w:t>
      </w:r>
      <w:r w:rsidRPr="009F0FE6" w:rsidR="007A30A8">
        <w:rPr>
          <w:rFonts w:ascii="Book Antiqua" w:hAnsi="Book Antiqua"/>
          <w:sz w:val="22"/>
          <w:szCs w:val="22"/>
        </w:rPr>
        <w:t xml:space="preserve"> </w:t>
      </w:r>
      <w:r w:rsidRPr="009F0FE6" w:rsidR="00765A85">
        <w:rPr>
          <w:rFonts w:ascii="Book Antiqua" w:hAnsi="Book Antiqua"/>
          <w:sz w:val="22"/>
          <w:szCs w:val="22"/>
        </w:rPr>
        <w:t>vrátane času jej začiatku</w:t>
      </w:r>
      <w:r w:rsidRPr="009F0FE6" w:rsidR="004119FF">
        <w:rPr>
          <w:rFonts w:ascii="Book Antiqua" w:hAnsi="Book Antiqua"/>
          <w:sz w:val="22"/>
          <w:szCs w:val="22"/>
        </w:rPr>
        <w:t xml:space="preserve"> a</w:t>
      </w:r>
      <w:r w:rsidRPr="009F0FE6" w:rsidR="00A448C0">
        <w:rPr>
          <w:rFonts w:ascii="Book Antiqua" w:hAnsi="Book Antiqua"/>
          <w:sz w:val="22"/>
          <w:szCs w:val="22"/>
        </w:rPr>
        <w:t> </w:t>
      </w:r>
      <w:r w:rsidRPr="009F0FE6" w:rsidR="004119FF">
        <w:rPr>
          <w:rFonts w:ascii="Book Antiqua" w:hAnsi="Book Antiqua"/>
          <w:sz w:val="22"/>
          <w:szCs w:val="22"/>
        </w:rPr>
        <w:t>výšku vkladu tejto osoby do hazardnej hry</w:t>
      </w:r>
      <w:r w:rsidRPr="009F0FE6" w:rsidR="008317D8">
        <w:rPr>
          <w:rFonts w:ascii="Book Antiqua" w:hAnsi="Book Antiqua"/>
          <w:sz w:val="22"/>
          <w:szCs w:val="22"/>
        </w:rPr>
        <w:t>; časom začiatku hazardnej hry sa rozumie čas vstupu hráča do priestorov využívaných na prevádzkovanie hazardnej hry,</w:t>
      </w:r>
    </w:p>
    <w:p w:rsidR="00472FA4" w:rsidRPr="009F0FE6" w:rsidP="00AB7FB9">
      <w:pPr>
        <w:numPr>
          <w:numId w:val="20"/>
        </w:numPr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</w:rPr>
      </w:pPr>
      <w:r w:rsidRPr="009F0FE6" w:rsidR="007F4A7B">
        <w:rPr>
          <w:rFonts w:ascii="Book Antiqua" w:hAnsi="Book Antiqua"/>
          <w:sz w:val="22"/>
          <w:szCs w:val="22"/>
        </w:rPr>
        <w:t>vyhlásenie</w:t>
      </w:r>
      <w:r w:rsidRPr="009F0FE6" w:rsidR="00AB7FB9">
        <w:rPr>
          <w:rFonts w:ascii="Book Antiqua" w:hAnsi="Book Antiqua"/>
          <w:sz w:val="22"/>
          <w:szCs w:val="22"/>
        </w:rPr>
        <w:t xml:space="preserve"> osoby uvedené v</w:t>
      </w:r>
      <w:r w:rsidRPr="009F0FE6" w:rsidR="004119FF">
        <w:rPr>
          <w:rFonts w:ascii="Book Antiqua" w:hAnsi="Book Antiqua"/>
          <w:sz w:val="22"/>
          <w:szCs w:val="22"/>
        </w:rPr>
        <w:t> </w:t>
      </w:r>
      <w:r w:rsidRPr="009F0FE6" w:rsidR="00AB7FB9">
        <w:rPr>
          <w:rFonts w:ascii="Book Antiqua" w:hAnsi="Book Antiqua"/>
          <w:sz w:val="22"/>
          <w:szCs w:val="22"/>
        </w:rPr>
        <w:t>prí</w:t>
      </w:r>
      <w:r w:rsidRPr="009F0FE6" w:rsidR="004119FF">
        <w:rPr>
          <w:rFonts w:ascii="Book Antiqua" w:hAnsi="Book Antiqua"/>
          <w:sz w:val="22"/>
          <w:szCs w:val="22"/>
        </w:rPr>
        <w:t>lohe,</w:t>
      </w:r>
    </w:p>
    <w:p w:rsidR="000B4724" w:rsidRPr="009F0FE6" w:rsidP="00AB7FB9">
      <w:pPr>
        <w:numPr>
          <w:numId w:val="20"/>
        </w:numPr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</w:rPr>
      </w:pPr>
      <w:r w:rsidRPr="009F0FE6">
        <w:rPr>
          <w:rFonts w:ascii="Book Antiqua" w:hAnsi="Book Antiqua"/>
          <w:sz w:val="22"/>
          <w:szCs w:val="22"/>
        </w:rPr>
        <w:t>dokumenty preukazujúce skutočnosti podľa odseku 8 písm. c) až e).</w:t>
      </w:r>
    </w:p>
    <w:p w:rsidR="00472FA4" w:rsidRPr="009F0FE6" w:rsidP="009A1585">
      <w:pPr>
        <w:pStyle w:val="BodyText"/>
        <w:bidi w:val="0"/>
        <w:spacing w:before="120" w:line="276" w:lineRule="auto"/>
        <w:ind w:left="1276" w:hanging="568"/>
        <w:rPr>
          <w:rFonts w:ascii="Book Antiqua" w:hAnsi="Book Antiqua"/>
          <w:sz w:val="22"/>
          <w:szCs w:val="22"/>
        </w:rPr>
      </w:pPr>
      <w:r w:rsidRPr="009F0FE6" w:rsidR="00BA2536">
        <w:rPr>
          <w:rFonts w:ascii="Book Antiqua" w:hAnsi="Book Antiqua"/>
          <w:sz w:val="22"/>
          <w:szCs w:val="22"/>
          <w:lang w:eastAsia="cs-CZ"/>
        </w:rPr>
        <w:t>(10</w:t>
      </w:r>
      <w:r w:rsidRPr="009F0FE6">
        <w:rPr>
          <w:rFonts w:ascii="Book Antiqua" w:hAnsi="Book Antiqua"/>
          <w:sz w:val="22"/>
          <w:szCs w:val="22"/>
          <w:lang w:eastAsia="cs-CZ"/>
        </w:rPr>
        <w:t xml:space="preserve">) </w:t>
      </w:r>
      <w:r w:rsidRPr="009F0FE6" w:rsidR="00301240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AB7FB9">
        <w:rPr>
          <w:rFonts w:ascii="Book Antiqua" w:hAnsi="Book Antiqua"/>
          <w:sz w:val="22"/>
          <w:szCs w:val="22"/>
          <w:lang w:eastAsia="cs-CZ"/>
        </w:rPr>
        <w:tab/>
      </w:r>
      <w:r w:rsidRPr="009F0FE6">
        <w:rPr>
          <w:rFonts w:ascii="Book Antiqua" w:hAnsi="Book Antiqua"/>
          <w:sz w:val="22"/>
          <w:szCs w:val="22"/>
          <w:lang w:eastAsia="cs-CZ"/>
        </w:rPr>
        <w:t>Pokiaľ si prevádzkovateľ</w:t>
      </w:r>
      <w:r w:rsidRPr="009F0FE6" w:rsidR="00AB7FB9">
        <w:rPr>
          <w:rFonts w:ascii="Book Antiqua" w:hAnsi="Book Antiqua"/>
          <w:sz w:val="22"/>
          <w:szCs w:val="22"/>
          <w:lang w:eastAsia="cs-CZ"/>
        </w:rPr>
        <w:t xml:space="preserve"> hazardnej hry </w:t>
      </w:r>
      <w:r w:rsidRPr="009F0FE6" w:rsidR="00962253">
        <w:rPr>
          <w:rFonts w:ascii="Book Antiqua" w:hAnsi="Book Antiqua"/>
          <w:sz w:val="22"/>
          <w:szCs w:val="22"/>
          <w:lang w:eastAsia="cs-CZ"/>
        </w:rPr>
        <w:t xml:space="preserve">uvedenej 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v </w:t>
      </w:r>
      <w:r w:rsidRPr="009F0FE6" w:rsidR="00F63A5F">
        <w:rPr>
          <w:rFonts w:ascii="Book Antiqua" w:hAnsi="Book Antiqua"/>
          <w:sz w:val="22"/>
          <w:szCs w:val="22"/>
          <w:lang w:eastAsia="cs-CZ"/>
        </w:rPr>
        <w:t xml:space="preserve">§ 3 ods. 2 písm. b) 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>alebo</w:t>
      </w:r>
      <w:r w:rsidRPr="009F0FE6" w:rsidR="00F63A5F">
        <w:rPr>
          <w:rFonts w:ascii="Book Antiqua" w:hAnsi="Book Antiqua"/>
          <w:sz w:val="22"/>
          <w:szCs w:val="22"/>
          <w:lang w:eastAsia="cs-CZ"/>
        </w:rPr>
        <w:t> d)</w:t>
      </w:r>
      <w:r w:rsidRPr="009F0FE6" w:rsidR="00765A85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AB7FB9">
        <w:rPr>
          <w:rFonts w:ascii="Book Antiqua" w:hAnsi="Book Antiqua"/>
          <w:sz w:val="22"/>
          <w:szCs w:val="22"/>
          <w:lang w:eastAsia="cs-CZ"/>
        </w:rPr>
        <w:t>nesplní niektorú z povinností podľa odseku 8</w:t>
      </w:r>
      <w:r w:rsidRPr="009F0FE6" w:rsidR="007430B4">
        <w:rPr>
          <w:rFonts w:ascii="Book Antiqua" w:hAnsi="Book Antiqua"/>
          <w:sz w:val="22"/>
          <w:szCs w:val="22"/>
          <w:lang w:eastAsia="cs-CZ"/>
        </w:rPr>
        <w:t xml:space="preserve"> a umožní osobe zúčastniť sa na </w:t>
      </w:r>
      <w:r w:rsidRPr="009F0FE6" w:rsidR="00765A85">
        <w:rPr>
          <w:rFonts w:ascii="Book Antiqua" w:hAnsi="Book Antiqua"/>
          <w:sz w:val="22"/>
          <w:szCs w:val="22"/>
          <w:lang w:eastAsia="cs-CZ"/>
        </w:rPr>
        <w:t xml:space="preserve">tejto </w:t>
      </w:r>
      <w:r w:rsidRPr="009F0FE6" w:rsidR="007430B4">
        <w:rPr>
          <w:rFonts w:ascii="Book Antiqua" w:hAnsi="Book Antiqua"/>
          <w:sz w:val="22"/>
          <w:szCs w:val="22"/>
          <w:lang w:eastAsia="cs-CZ"/>
        </w:rPr>
        <w:t>hazardnej hre</w:t>
      </w:r>
      <w:r w:rsidRPr="009F0FE6" w:rsidR="00765A85">
        <w:rPr>
          <w:rFonts w:ascii="Book Antiqua" w:hAnsi="Book Antiqua"/>
          <w:sz w:val="22"/>
          <w:szCs w:val="22"/>
          <w:lang w:eastAsia="cs-CZ"/>
        </w:rPr>
        <w:t xml:space="preserve"> ako hráč</w:t>
      </w:r>
      <w:r w:rsidRPr="009F0FE6">
        <w:rPr>
          <w:rFonts w:ascii="Book Antiqua" w:hAnsi="Book Antiqua"/>
          <w:sz w:val="22"/>
          <w:szCs w:val="22"/>
          <w:lang w:eastAsia="cs-CZ"/>
        </w:rPr>
        <w:t xml:space="preserve">, </w:t>
      </w:r>
      <w:r w:rsidRPr="009F0FE6" w:rsidR="009C084F">
        <w:rPr>
          <w:rFonts w:ascii="Book Antiqua" w:hAnsi="Book Antiqua"/>
          <w:sz w:val="22"/>
          <w:szCs w:val="22"/>
          <w:lang w:eastAsia="cs-CZ"/>
        </w:rPr>
        <w:t>má táto osoba právo na vrátenie</w:t>
      </w:r>
      <w:r w:rsidRPr="009F0FE6" w:rsidR="009A1585">
        <w:rPr>
          <w:rFonts w:ascii="Book Antiqua" w:hAnsi="Book Antiqua"/>
          <w:sz w:val="22"/>
          <w:szCs w:val="22"/>
          <w:lang w:eastAsia="cs-CZ"/>
        </w:rPr>
        <w:t xml:space="preserve"> vkladu do hazardnej hry, pokiaľ je výška vkladu hodnoverne preukázateľná prostredníctvom zvukovo-obrazového záznamu prevádzkovateľa. Pokiaľ výška vkladu nie je hodnoverne preukázateľná podľa predchádzajúcej vety, má osoba, ktorá sa zúčastnila na hazardnej hre </w:t>
      </w:r>
      <w:r w:rsidRPr="009F0FE6" w:rsidR="009F0FE6">
        <w:rPr>
          <w:rFonts w:ascii="Book Antiqua" w:hAnsi="Book Antiqua"/>
          <w:sz w:val="22"/>
          <w:szCs w:val="22"/>
          <w:lang w:eastAsia="cs-CZ"/>
        </w:rPr>
        <w:t>u</w:t>
      </w:r>
      <w:r w:rsidRPr="009F0FE6" w:rsidR="009A1585">
        <w:rPr>
          <w:rFonts w:ascii="Book Antiqua" w:hAnsi="Book Antiqua"/>
          <w:sz w:val="22"/>
          <w:szCs w:val="22"/>
          <w:lang w:eastAsia="cs-CZ"/>
        </w:rPr>
        <w:t>vedenej v § 3 ods. 2 písm. b) alebo d) ako hráč, právo na vrátenie sumy zodpovedajúcej sume výšky vkladu uvedené</w:t>
      </w:r>
      <w:r w:rsidRPr="009F0FE6" w:rsidR="009F0FE6">
        <w:rPr>
          <w:rFonts w:ascii="Book Antiqua" w:hAnsi="Book Antiqua"/>
          <w:sz w:val="22"/>
          <w:szCs w:val="22"/>
          <w:lang w:eastAsia="cs-CZ"/>
        </w:rPr>
        <w:t>ho na</w:t>
      </w:r>
      <w:r w:rsidR="009F0FE6">
        <w:rPr>
          <w:rFonts w:ascii="Book Antiqua" w:hAnsi="Book Antiqua"/>
          <w:sz w:val="22"/>
          <w:szCs w:val="22"/>
          <w:lang w:eastAsia="cs-CZ"/>
        </w:rPr>
        <w:t xml:space="preserve"> potvrdení podľa </w:t>
      </w:r>
      <w:r w:rsidRPr="009F0FE6" w:rsidR="009F0FE6">
        <w:rPr>
          <w:rFonts w:ascii="Book Antiqua" w:hAnsi="Book Antiqua"/>
          <w:sz w:val="22"/>
          <w:szCs w:val="22"/>
          <w:lang w:eastAsia="cs-CZ"/>
        </w:rPr>
        <w:t xml:space="preserve">odseku </w:t>
      </w:r>
      <w:r w:rsidRPr="009F0FE6" w:rsidR="009A1585">
        <w:rPr>
          <w:rFonts w:ascii="Book Antiqua" w:hAnsi="Book Antiqua"/>
          <w:sz w:val="22"/>
          <w:szCs w:val="22"/>
          <w:lang w:eastAsia="cs-CZ"/>
        </w:rPr>
        <w:t xml:space="preserve">8 písm. g), najviac však vo výške sumy </w:t>
      </w:r>
      <w:r w:rsidRPr="009F0FE6" w:rsidR="009C084F">
        <w:rPr>
          <w:rFonts w:ascii="Book Antiqua" w:hAnsi="Book Antiqua"/>
          <w:sz w:val="22"/>
          <w:szCs w:val="22"/>
        </w:rPr>
        <w:t>zodpovedajúcej trojnásobku sumy životného minima na jednu plnoletú fyzickú osobu podľa osobitného predpisu</w:t>
      </w:r>
      <w:r w:rsidRPr="009F0FE6" w:rsidR="009C084F">
        <w:rPr>
          <w:rFonts w:ascii="Book Antiqua" w:hAnsi="Book Antiqua"/>
          <w:sz w:val="22"/>
          <w:szCs w:val="22"/>
          <w:vertAlign w:val="superscript"/>
        </w:rPr>
        <w:t>16g)</w:t>
      </w:r>
      <w:r w:rsidRPr="009F0FE6">
        <w:rPr>
          <w:rFonts w:ascii="Book Antiqua" w:hAnsi="Book Antiqua"/>
          <w:sz w:val="22"/>
          <w:szCs w:val="22"/>
          <w:lang w:eastAsia="cs-CZ"/>
        </w:rPr>
        <w:t>.</w:t>
      </w:r>
      <w:r w:rsidRPr="009F0FE6" w:rsidR="00765A85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9A1585">
        <w:rPr>
          <w:rFonts w:ascii="Book Antiqua" w:hAnsi="Book Antiqua"/>
          <w:sz w:val="22"/>
          <w:szCs w:val="22"/>
          <w:lang w:eastAsia="cs-CZ"/>
        </w:rPr>
        <w:t>P</w:t>
      </w:r>
      <w:r w:rsidRPr="009F0FE6" w:rsidR="009C084F">
        <w:rPr>
          <w:rFonts w:ascii="Book Antiqua" w:hAnsi="Book Antiqua"/>
          <w:sz w:val="22"/>
          <w:szCs w:val="22"/>
          <w:lang w:eastAsia="cs-CZ"/>
        </w:rPr>
        <w:t>rávo</w:t>
      </w:r>
      <w:r w:rsidRPr="009F0FE6" w:rsidR="009A1585">
        <w:rPr>
          <w:rFonts w:ascii="Book Antiqua" w:hAnsi="Book Antiqua"/>
          <w:sz w:val="22"/>
          <w:szCs w:val="22"/>
          <w:lang w:eastAsia="cs-CZ"/>
        </w:rPr>
        <w:t xml:space="preserve"> podľa tohto odseku</w:t>
      </w:r>
      <w:r w:rsidRPr="009F0FE6" w:rsidR="009C084F">
        <w:rPr>
          <w:rFonts w:ascii="Book Antiqua" w:hAnsi="Book Antiqua"/>
          <w:sz w:val="22"/>
          <w:szCs w:val="22"/>
          <w:lang w:eastAsia="cs-CZ"/>
        </w:rPr>
        <w:t xml:space="preserve"> má uvedená osoba aj v prípade, ak jej </w:t>
      </w:r>
      <w:r w:rsidRPr="009F0FE6" w:rsidR="00BB5F9F">
        <w:rPr>
          <w:rFonts w:ascii="Book Antiqua" w:hAnsi="Book Antiqua"/>
          <w:sz w:val="22"/>
          <w:szCs w:val="22"/>
          <w:lang w:eastAsia="cs-CZ"/>
        </w:rPr>
        <w:t xml:space="preserve">prevádzkovateľ hazardnej hry 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>uvedenej v § 3 ods. 2 písm. b) alebo d)</w:t>
      </w:r>
      <w:r w:rsidRPr="009F0FE6" w:rsidR="009C084F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3C30F7">
        <w:rPr>
          <w:rFonts w:ascii="Book Antiqua" w:hAnsi="Book Antiqua"/>
          <w:sz w:val="22"/>
          <w:szCs w:val="22"/>
          <w:lang w:eastAsia="cs-CZ"/>
        </w:rPr>
        <w:t xml:space="preserve">umožní zúčastniť sa </w:t>
      </w:r>
      <w:r w:rsidRPr="009F0FE6" w:rsidR="00765A85">
        <w:rPr>
          <w:rFonts w:ascii="Book Antiqua" w:hAnsi="Book Antiqua"/>
          <w:sz w:val="22"/>
          <w:szCs w:val="22"/>
          <w:lang w:eastAsia="cs-CZ"/>
        </w:rPr>
        <w:t xml:space="preserve">tejto </w:t>
      </w:r>
      <w:r w:rsidRPr="009F0FE6" w:rsidR="003C30F7">
        <w:rPr>
          <w:rFonts w:ascii="Book Antiqua" w:hAnsi="Book Antiqua"/>
          <w:sz w:val="22"/>
          <w:szCs w:val="22"/>
          <w:lang w:eastAsia="cs-CZ"/>
        </w:rPr>
        <w:t xml:space="preserve">hazardnej hry ako hráč napriek tomu, že </w:t>
      </w:r>
      <w:r w:rsidRPr="009F0FE6" w:rsidR="00BB5F9F">
        <w:rPr>
          <w:rFonts w:ascii="Book Antiqua" w:hAnsi="Book Antiqua"/>
          <w:sz w:val="22"/>
          <w:szCs w:val="22"/>
          <w:lang w:eastAsia="cs-CZ"/>
        </w:rPr>
        <w:t xml:space="preserve">po overení údajov a skutočností podľa odseku 8 zistí, že </w:t>
      </w:r>
      <w:r w:rsidRPr="009F0FE6" w:rsidR="009C084F">
        <w:rPr>
          <w:rFonts w:ascii="Book Antiqua" w:hAnsi="Book Antiqua"/>
          <w:sz w:val="22"/>
          <w:szCs w:val="22"/>
          <w:lang w:eastAsia="cs-CZ"/>
        </w:rPr>
        <w:t xml:space="preserve">táto </w:t>
      </w:r>
      <w:r w:rsidRPr="009F0FE6" w:rsidR="003C30F7">
        <w:rPr>
          <w:rFonts w:ascii="Book Antiqua" w:hAnsi="Book Antiqua"/>
          <w:sz w:val="22"/>
          <w:szCs w:val="22"/>
          <w:lang w:eastAsia="cs-CZ"/>
        </w:rPr>
        <w:t xml:space="preserve">osoba sa </w:t>
      </w:r>
      <w:r w:rsidRPr="009F0FE6" w:rsidR="009C084F">
        <w:rPr>
          <w:rFonts w:ascii="Book Antiqua" w:hAnsi="Book Antiqua"/>
          <w:sz w:val="22"/>
          <w:szCs w:val="22"/>
          <w:lang w:eastAsia="cs-CZ"/>
        </w:rPr>
        <w:t xml:space="preserve">jej nemôže zúčastniť </w:t>
      </w:r>
      <w:r w:rsidRPr="009F0FE6" w:rsidR="003C30F7">
        <w:rPr>
          <w:rFonts w:ascii="Book Antiqua" w:hAnsi="Book Antiqua"/>
          <w:sz w:val="22"/>
          <w:szCs w:val="22"/>
          <w:lang w:eastAsia="cs-CZ"/>
        </w:rPr>
        <w:t>ako hráč alebo napriek tomu, že táto osoba nepodpís</w:t>
      </w:r>
      <w:r w:rsidRPr="009F0FE6" w:rsidR="00765A85">
        <w:rPr>
          <w:rFonts w:ascii="Book Antiqua" w:hAnsi="Book Antiqua"/>
          <w:sz w:val="22"/>
          <w:szCs w:val="22"/>
          <w:lang w:eastAsia="cs-CZ"/>
        </w:rPr>
        <w:t>ala vyhlásenie uvedené v prílohe v súlade s odsekom 8 písm. b)</w:t>
      </w:r>
      <w:r w:rsidRPr="009F0FE6" w:rsidR="003C30F7">
        <w:rPr>
          <w:rFonts w:ascii="Book Antiqua" w:hAnsi="Book Antiqua"/>
          <w:sz w:val="22"/>
          <w:szCs w:val="22"/>
          <w:lang w:eastAsia="cs-CZ"/>
        </w:rPr>
        <w:t>.</w:t>
      </w:r>
      <w:r w:rsidRPr="009F0FE6" w:rsidR="009C084F">
        <w:rPr>
          <w:rFonts w:ascii="Book Antiqua" w:hAnsi="Book Antiqua"/>
          <w:sz w:val="22"/>
          <w:szCs w:val="22"/>
          <w:lang w:eastAsia="cs-CZ"/>
        </w:rPr>
        <w:t xml:space="preserve"> Právo na vrátenie sumy sa musí uplatniť u prevádzkovateľa hazardnej hry 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uvedenej v § 3 ods. 2 písm. b) alebo d) </w:t>
      </w:r>
      <w:r w:rsidRPr="009F0FE6" w:rsidR="009C084F">
        <w:rPr>
          <w:rFonts w:ascii="Book Antiqua" w:hAnsi="Book Antiqua"/>
          <w:sz w:val="22"/>
          <w:szCs w:val="22"/>
          <w:lang w:eastAsia="cs-CZ"/>
        </w:rPr>
        <w:t>bez zbytočného odkladu. Právo zanikne, ak sa neuplatnilo najneskôr pätnásteho dňa po dni, keď sa osoba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>, ktorej prevádzkovateľ hazardnej hry uvedenej v § 3 ods. 2 písm. b) alebo d) umožnil v rozpore s týmto zákonom zúčastniť sa tejto hazardnej hry ako hráč, takejto hazardnej hry ako hráč zúčastnila.</w:t>
      </w:r>
      <w:r w:rsidRPr="009F0FE6" w:rsidR="003C30F7">
        <w:rPr>
          <w:rFonts w:ascii="Book Antiqua" w:hAnsi="Book Antiqua"/>
          <w:sz w:val="22"/>
          <w:szCs w:val="22"/>
          <w:lang w:eastAsia="cs-CZ"/>
        </w:rPr>
        <w:t>“.</w:t>
      </w:r>
    </w:p>
    <w:p w:rsidR="00472FA4" w:rsidRPr="009F0FE6" w:rsidP="00301240">
      <w:pPr>
        <w:pStyle w:val="BodyText"/>
        <w:bidi w:val="0"/>
        <w:spacing w:before="120" w:line="276" w:lineRule="auto"/>
        <w:ind w:left="708" w:firstLine="12"/>
        <w:rPr>
          <w:rFonts w:ascii="Book Antiqua" w:hAnsi="Book Antiqua"/>
          <w:sz w:val="22"/>
          <w:szCs w:val="22"/>
          <w:lang w:eastAsia="cs-CZ"/>
        </w:rPr>
      </w:pPr>
      <w:r w:rsidRPr="009F0FE6" w:rsidR="00301240">
        <w:rPr>
          <w:rFonts w:ascii="Book Antiqua" w:hAnsi="Book Antiqua"/>
          <w:sz w:val="22"/>
          <w:szCs w:val="22"/>
        </w:rPr>
        <w:t>Doterajšie odseky 7 až 24</w:t>
      </w:r>
      <w:r w:rsidRPr="009F0FE6" w:rsidR="00BA2536">
        <w:rPr>
          <w:rFonts w:ascii="Book Antiqua" w:hAnsi="Book Antiqua"/>
          <w:sz w:val="22"/>
          <w:szCs w:val="22"/>
        </w:rPr>
        <w:t xml:space="preserve"> sa označujú ako odseky 11</w:t>
      </w:r>
      <w:r w:rsidRPr="009F0FE6" w:rsidR="00301240">
        <w:rPr>
          <w:rFonts w:ascii="Book Antiqua" w:hAnsi="Book Antiqua"/>
          <w:sz w:val="22"/>
          <w:szCs w:val="22"/>
        </w:rPr>
        <w:t xml:space="preserve"> až </w:t>
      </w:r>
      <w:r w:rsidRPr="009F0FE6" w:rsidR="00BA2536">
        <w:rPr>
          <w:rFonts w:ascii="Book Antiqua" w:hAnsi="Book Antiqua"/>
          <w:sz w:val="22"/>
          <w:szCs w:val="22"/>
        </w:rPr>
        <w:t>28</w:t>
      </w:r>
      <w:r w:rsidRPr="009F0FE6">
        <w:rPr>
          <w:rFonts w:ascii="Book Antiqua" w:hAnsi="Book Antiqua"/>
          <w:sz w:val="22"/>
          <w:szCs w:val="22"/>
        </w:rPr>
        <w:t>.</w:t>
      </w:r>
    </w:p>
    <w:p w:rsidR="00472FA4" w:rsidRPr="009F0FE6" w:rsidP="00301240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  <w:r w:rsidRPr="009F0FE6">
        <w:rPr>
          <w:rFonts w:ascii="Book Antiqua" w:hAnsi="Book Antiqua"/>
          <w:sz w:val="22"/>
          <w:szCs w:val="22"/>
        </w:rPr>
        <w:t>Poznámky p</w:t>
      </w:r>
      <w:r w:rsidRPr="009F0FE6" w:rsidR="004F4D60">
        <w:rPr>
          <w:rFonts w:ascii="Book Antiqua" w:hAnsi="Book Antiqua"/>
          <w:sz w:val="22"/>
          <w:szCs w:val="22"/>
        </w:rPr>
        <w:t>od čiarou k odkazom 16a až </w:t>
      </w:r>
      <w:r w:rsidRPr="009F0FE6" w:rsidR="00A31406">
        <w:rPr>
          <w:rFonts w:ascii="Book Antiqua" w:hAnsi="Book Antiqua"/>
          <w:sz w:val="22"/>
          <w:szCs w:val="22"/>
        </w:rPr>
        <w:t>16g</w:t>
      </w:r>
      <w:r w:rsidRPr="009F0FE6">
        <w:rPr>
          <w:rFonts w:ascii="Book Antiqua" w:hAnsi="Book Antiqua"/>
          <w:sz w:val="22"/>
          <w:szCs w:val="22"/>
        </w:rPr>
        <w:t xml:space="preserve"> znejú:</w:t>
      </w:r>
    </w:p>
    <w:p w:rsidR="00472FA4" w:rsidRPr="009F0FE6" w:rsidP="00BA2536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  <w:r w:rsidRPr="009F0FE6" w:rsidR="00D712D3">
        <w:rPr>
          <w:rFonts w:ascii="Book Antiqua" w:hAnsi="Book Antiqua"/>
          <w:sz w:val="22"/>
          <w:szCs w:val="22"/>
        </w:rPr>
        <w:t>„</w:t>
      </w:r>
      <w:r w:rsidRPr="009F0FE6" w:rsidR="00BA2536">
        <w:rPr>
          <w:rFonts w:ascii="Book Antiqua" w:hAnsi="Book Antiqua"/>
          <w:sz w:val="22"/>
          <w:szCs w:val="22"/>
          <w:vertAlign w:val="superscript"/>
        </w:rPr>
        <w:t>16a</w:t>
      </w:r>
      <w:r w:rsidRPr="009F0FE6">
        <w:rPr>
          <w:rFonts w:ascii="Book Antiqua" w:hAnsi="Book Antiqua"/>
          <w:sz w:val="22"/>
          <w:szCs w:val="22"/>
          <w:vertAlign w:val="superscript"/>
        </w:rPr>
        <w:t>)</w:t>
      </w:r>
      <w:r w:rsidRPr="009F0FE6">
        <w:rPr>
          <w:rFonts w:ascii="Book Antiqua" w:hAnsi="Book Antiqua"/>
          <w:sz w:val="22"/>
          <w:szCs w:val="22"/>
        </w:rPr>
        <w:t xml:space="preserve"> </w:t>
      </w:r>
      <w:r w:rsidRPr="009F0FE6" w:rsidR="00304EAF">
        <w:rPr>
          <w:rFonts w:ascii="Book Antiqua" w:hAnsi="Book Antiqua"/>
          <w:sz w:val="22"/>
          <w:szCs w:val="22"/>
          <w:lang w:eastAsia="cs-CZ"/>
        </w:rPr>
        <w:t xml:space="preserve">§ 25a </w:t>
      </w:r>
      <w:r w:rsidRPr="009F0FE6" w:rsidR="00603895">
        <w:rPr>
          <w:rFonts w:ascii="Book Antiqua" w:hAnsi="Book Antiqua"/>
          <w:sz w:val="22"/>
          <w:szCs w:val="22"/>
          <w:lang w:eastAsia="cs-CZ"/>
        </w:rPr>
        <w:t>zákona č. 580/2004 Z. z. o zdravotnom poistení a o zmene a doplnení zákona č. 95/2002 Z. z. o poisťovníctve a o zmene a doplnení niektorých zákonov v znení zákona č. 421/2012 Z. z</w:t>
      </w:r>
      <w:r w:rsidRPr="009F0FE6">
        <w:rPr>
          <w:rFonts w:ascii="Book Antiqua" w:hAnsi="Book Antiqua"/>
          <w:sz w:val="22"/>
          <w:szCs w:val="22"/>
          <w:lang w:eastAsia="cs-CZ"/>
        </w:rPr>
        <w:t>.</w:t>
      </w:r>
    </w:p>
    <w:p w:rsidR="00653312" w:rsidRPr="009F0FE6" w:rsidP="00BA2536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  <w:r w:rsidRPr="009F0FE6" w:rsidR="009966F6">
        <w:rPr>
          <w:rFonts w:ascii="Book Antiqua" w:hAnsi="Book Antiqua"/>
          <w:sz w:val="22"/>
          <w:szCs w:val="22"/>
          <w:lang w:eastAsia="cs-CZ"/>
        </w:rPr>
        <w:t>§ 171 zákona č. 461/2003 Z. z. o sociálnom poistení v znení neskorších predpisov.</w:t>
      </w:r>
    </w:p>
    <w:p w:rsidR="00304EAF" w:rsidRPr="009F0FE6" w:rsidP="00301240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  <w:r w:rsidRPr="009F0FE6" w:rsidR="00BA2536">
        <w:rPr>
          <w:rFonts w:ascii="Book Antiqua" w:hAnsi="Book Antiqua"/>
          <w:sz w:val="22"/>
          <w:szCs w:val="22"/>
          <w:vertAlign w:val="superscript"/>
        </w:rPr>
        <w:t>16b</w:t>
      </w:r>
      <w:r w:rsidRPr="009F0FE6" w:rsidR="00472FA4">
        <w:rPr>
          <w:rFonts w:ascii="Book Antiqua" w:hAnsi="Book Antiqua"/>
          <w:sz w:val="22"/>
          <w:szCs w:val="22"/>
          <w:vertAlign w:val="superscript"/>
        </w:rPr>
        <w:t>)</w:t>
      </w:r>
      <w:r w:rsidRPr="009F0FE6">
        <w:rPr>
          <w:rFonts w:ascii="Book Antiqua" w:hAnsi="Book Antiqua"/>
          <w:sz w:val="22"/>
          <w:szCs w:val="22"/>
        </w:rPr>
        <w:t xml:space="preserve"> </w:t>
      </w:r>
      <w:r w:rsidRPr="009F0FE6" w:rsidR="00472FA4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9F0FE6">
        <w:rPr>
          <w:rFonts w:ascii="Book Antiqua" w:hAnsi="Book Antiqua"/>
          <w:sz w:val="22"/>
          <w:szCs w:val="22"/>
        </w:rPr>
        <w:t xml:space="preserve">§ 25 ods. 1 písm. e) druhý bod zákona </w:t>
      </w:r>
      <w:r w:rsidRPr="009F0FE6">
        <w:rPr>
          <w:rFonts w:ascii="Book Antiqua" w:hAnsi="Book Antiqua"/>
          <w:sz w:val="22"/>
          <w:szCs w:val="22"/>
          <w:lang w:eastAsia="cs-CZ"/>
        </w:rPr>
        <w:t xml:space="preserve">č. 580/2004 Z. z. v znení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 xml:space="preserve">zákona </w:t>
      </w:r>
      <w:r w:rsidRPr="009F0FE6" w:rsidR="0058200E">
        <w:rPr>
          <w:rFonts w:ascii="Book Antiqua" w:hAnsi="Book Antiqua"/>
          <w:sz w:val="22"/>
          <w:szCs w:val="22"/>
          <w:lang w:eastAsia="cs-CZ"/>
        </w:rPr>
        <w:t xml:space="preserve">                  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č. 421/2012 Z.z.</w:t>
      </w:r>
    </w:p>
    <w:p w:rsidR="00B76B9B" w:rsidRPr="009F0FE6" w:rsidP="00301240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  <w:r w:rsidRPr="009F0FE6" w:rsidR="00F74EB1">
        <w:rPr>
          <w:rFonts w:ascii="Book Antiqua" w:hAnsi="Book Antiqua"/>
          <w:sz w:val="22"/>
          <w:szCs w:val="22"/>
          <w:lang w:eastAsia="cs-CZ"/>
        </w:rPr>
        <w:t>§ 226 ods. 1 písm. o)</w:t>
      </w:r>
      <w:r w:rsidRPr="009F0FE6">
        <w:rPr>
          <w:rFonts w:ascii="Book Antiqua" w:hAnsi="Book Antiqua"/>
          <w:sz w:val="22"/>
          <w:szCs w:val="22"/>
          <w:lang w:eastAsia="cs-CZ"/>
        </w:rPr>
        <w:t xml:space="preserve"> zákona č. 461/2003 Z. z. v znení zákona č. .../2014 Z. z.</w:t>
      </w:r>
    </w:p>
    <w:p w:rsidR="00472FA4" w:rsidRPr="009F0FE6" w:rsidP="00301240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  <w:r w:rsidRPr="009F0FE6" w:rsidR="00B76B9B">
        <w:rPr>
          <w:rFonts w:ascii="Book Antiqua" w:hAnsi="Book Antiqua"/>
          <w:sz w:val="22"/>
          <w:szCs w:val="22"/>
          <w:vertAlign w:val="superscript"/>
          <w:lang w:eastAsia="cs-CZ"/>
        </w:rPr>
        <w:t>16c)</w:t>
      </w:r>
      <w:r w:rsidRPr="009F0FE6" w:rsidR="00B76B9B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603895">
        <w:rPr>
          <w:rFonts w:ascii="Book Antiqua" w:hAnsi="Book Antiqua"/>
          <w:sz w:val="22"/>
          <w:szCs w:val="22"/>
          <w:lang w:eastAsia="cs-CZ"/>
        </w:rPr>
        <w:t>§ 9</w:t>
      </w:r>
      <w:r w:rsidRPr="009F0FE6" w:rsidR="008B70A1">
        <w:rPr>
          <w:rFonts w:ascii="Book Antiqua" w:hAnsi="Book Antiqua"/>
          <w:sz w:val="22"/>
          <w:szCs w:val="22"/>
          <w:lang w:eastAsia="cs-CZ"/>
        </w:rPr>
        <w:t xml:space="preserve"> ods. 3 </w:t>
      </w:r>
      <w:r w:rsidRPr="009F0FE6" w:rsidR="00603895">
        <w:rPr>
          <w:rFonts w:ascii="Book Antiqua" w:hAnsi="Book Antiqua"/>
          <w:sz w:val="22"/>
          <w:szCs w:val="22"/>
          <w:lang w:eastAsia="cs-CZ"/>
        </w:rPr>
        <w:t xml:space="preserve">písm. a) a § 10 </w:t>
      </w:r>
      <w:r w:rsidRPr="009F0FE6">
        <w:rPr>
          <w:rFonts w:ascii="Book Antiqua" w:hAnsi="Book Antiqua"/>
          <w:sz w:val="22"/>
          <w:szCs w:val="22"/>
          <w:lang w:eastAsia="cs-CZ"/>
        </w:rPr>
        <w:t>zákona č. 417/2013 Z.</w:t>
      </w:r>
      <w:r w:rsidRPr="009F0FE6" w:rsidR="008B70A1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 o pomoci v hmotnej núdzi a o zmene a doplnení niektorých zákonov.</w:t>
      </w:r>
    </w:p>
    <w:p w:rsidR="005A7C03" w:rsidRPr="009F0FE6" w:rsidP="00301240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  <w:r w:rsidRPr="009F0FE6">
        <w:rPr>
          <w:rFonts w:ascii="Book Antiqua" w:hAnsi="Book Antiqua"/>
          <w:sz w:val="22"/>
          <w:szCs w:val="22"/>
          <w:vertAlign w:val="superscript"/>
        </w:rPr>
        <w:t>16d</w:t>
      </w:r>
      <w:r w:rsidRPr="009F0FE6" w:rsidR="00472FA4">
        <w:rPr>
          <w:rFonts w:ascii="Book Antiqua" w:hAnsi="Book Antiqua"/>
          <w:sz w:val="22"/>
          <w:szCs w:val="22"/>
          <w:vertAlign w:val="superscript"/>
        </w:rPr>
        <w:t>)</w:t>
      </w:r>
      <w:r w:rsidRPr="009F0FE6">
        <w:rPr>
          <w:rFonts w:ascii="Book Antiqua" w:hAnsi="Book Antiqua"/>
          <w:sz w:val="22"/>
          <w:szCs w:val="22"/>
          <w:lang w:eastAsia="cs-CZ"/>
        </w:rPr>
        <w:t xml:space="preserve"> § 26 ods. 2 </w:t>
      </w:r>
      <w:r w:rsidRPr="009F0FE6" w:rsidR="00472FA4">
        <w:rPr>
          <w:rFonts w:ascii="Book Antiqua" w:hAnsi="Book Antiqua"/>
          <w:sz w:val="22"/>
          <w:szCs w:val="22"/>
          <w:lang w:eastAsia="cs-CZ"/>
        </w:rPr>
        <w:t>zákona č. 417/</w:t>
      </w:r>
      <w:r w:rsidRPr="009F0FE6">
        <w:rPr>
          <w:rFonts w:ascii="Book Antiqua" w:hAnsi="Book Antiqua"/>
          <w:sz w:val="22"/>
          <w:szCs w:val="22"/>
          <w:lang w:eastAsia="cs-CZ"/>
        </w:rPr>
        <w:t>2013 Z. z. v znení zákona č. .../2014 Z. z</w:t>
      </w:r>
      <w:r w:rsidRPr="009F0FE6" w:rsidR="00472FA4">
        <w:rPr>
          <w:rFonts w:ascii="Book Antiqua" w:hAnsi="Book Antiqua"/>
          <w:sz w:val="22"/>
          <w:szCs w:val="22"/>
          <w:lang w:eastAsia="cs-CZ"/>
        </w:rPr>
        <w:t>.</w:t>
      </w:r>
    </w:p>
    <w:p w:rsidR="00C17E7C" w:rsidRPr="009F0FE6" w:rsidP="00301240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  <w:r w:rsidRPr="009F0FE6" w:rsidR="005A7C03">
        <w:rPr>
          <w:rFonts w:ascii="Book Antiqua" w:hAnsi="Book Antiqua"/>
          <w:sz w:val="22"/>
          <w:szCs w:val="22"/>
          <w:vertAlign w:val="superscript"/>
          <w:lang w:eastAsia="cs-CZ"/>
        </w:rPr>
        <w:t xml:space="preserve">16e) </w:t>
      </w:r>
      <w:r w:rsidRPr="009F0FE6" w:rsidR="005A7C03">
        <w:rPr>
          <w:rFonts w:ascii="Book Antiqua" w:hAnsi="Book Antiqua"/>
          <w:sz w:val="22"/>
          <w:szCs w:val="22"/>
        </w:rPr>
        <w:t xml:space="preserve">§ 228i zákona </w:t>
      </w:r>
      <w:r w:rsidRPr="009F0FE6">
        <w:rPr>
          <w:rFonts w:ascii="Book Antiqua" w:hAnsi="Book Antiqua"/>
          <w:sz w:val="22"/>
          <w:szCs w:val="22"/>
        </w:rPr>
        <w:t xml:space="preserve">Národnej rady Slovenskej republiky </w:t>
      </w:r>
      <w:r w:rsidRPr="009F0FE6" w:rsidR="005A7C03">
        <w:rPr>
          <w:rFonts w:ascii="Book Antiqua" w:hAnsi="Book Antiqua"/>
          <w:sz w:val="22"/>
          <w:szCs w:val="22"/>
          <w:lang w:eastAsia="cs-CZ"/>
        </w:rPr>
        <w:t xml:space="preserve">č. 233/1995 Z. z. o súdnych exekútoroch a exekučnej činnosti (Exekučný poriadok) a o zmene a doplnení ďalších zákonov v znení </w:t>
      </w:r>
      <w:r w:rsidRPr="009F0FE6">
        <w:rPr>
          <w:rFonts w:ascii="Book Antiqua" w:hAnsi="Book Antiqua"/>
          <w:sz w:val="22"/>
          <w:szCs w:val="22"/>
          <w:lang w:eastAsia="cs-CZ"/>
        </w:rPr>
        <w:t xml:space="preserve">zákona </w:t>
      </w:r>
      <w:r w:rsidRPr="009F0FE6" w:rsidR="005A7C03">
        <w:rPr>
          <w:rFonts w:ascii="Book Antiqua" w:hAnsi="Book Antiqua"/>
          <w:sz w:val="22"/>
          <w:szCs w:val="22"/>
          <w:lang w:eastAsia="cs-CZ"/>
        </w:rPr>
        <w:t>č. .../2014 Z. z.</w:t>
      </w:r>
    </w:p>
    <w:p w:rsidR="00B35E5C" w:rsidRPr="009F0FE6" w:rsidP="00301240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  <w:r w:rsidRPr="009F0FE6" w:rsidR="00C17E7C">
        <w:rPr>
          <w:rFonts w:ascii="Book Antiqua" w:hAnsi="Book Antiqua"/>
          <w:sz w:val="22"/>
          <w:szCs w:val="22"/>
          <w:lang w:eastAsia="cs-CZ"/>
        </w:rPr>
        <w:t>§ 2 zákona č. 530/2003 Z. z. o obchodnom registri a o zmene a doplnení niektorých zákonov v znení neskorších predpisov.</w:t>
      </w:r>
    </w:p>
    <w:p w:rsidR="00A31406" w:rsidRPr="009F0FE6" w:rsidP="00301240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  <w:r w:rsidRPr="009F0FE6" w:rsidR="00B35E5C">
        <w:rPr>
          <w:rFonts w:ascii="Book Antiqua" w:hAnsi="Book Antiqua"/>
          <w:sz w:val="22"/>
          <w:szCs w:val="22"/>
          <w:vertAlign w:val="superscript"/>
          <w:lang w:eastAsia="cs-CZ"/>
        </w:rPr>
        <w:t>16f)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§ 10 ods. 2 zákona č. 122/2013 Z. z. o ochrane osobných údajov a o zmene a doplnení niektorých zákonov.</w:t>
      </w:r>
    </w:p>
    <w:p w:rsidR="004F4D60" w:rsidRPr="009F0FE6" w:rsidP="00A31406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  <w:r w:rsidRPr="009F0FE6" w:rsidR="00A31406">
        <w:rPr>
          <w:rFonts w:ascii="Book Antiqua" w:hAnsi="Book Antiqua"/>
          <w:sz w:val="22"/>
          <w:szCs w:val="22"/>
          <w:vertAlign w:val="superscript"/>
          <w:lang w:eastAsia="cs-CZ"/>
        </w:rPr>
        <w:t>16g)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</w:rPr>
        <w:t>§ 2 písm. a) zákona č. 601/2003 Z. z. o životnom minime a o zmene a doplnení niektorých zákonov v znení neskorších predpisov.</w:t>
      </w:r>
      <w:r w:rsidRPr="009F0FE6" w:rsidR="00A31406">
        <w:rPr>
          <w:rFonts w:ascii="Book Antiqua" w:hAnsi="Book Antiqua"/>
          <w:sz w:val="22"/>
          <w:szCs w:val="22"/>
        </w:rPr>
        <w:t>“.</w:t>
      </w:r>
    </w:p>
    <w:p w:rsidR="004119FF" w:rsidRPr="009F0FE6" w:rsidP="004119FF">
      <w:pPr>
        <w:pStyle w:val="BodyText"/>
        <w:bidi w:val="0"/>
        <w:spacing w:before="120" w:line="276" w:lineRule="auto"/>
        <w:ind w:left="709"/>
        <w:rPr>
          <w:rFonts w:ascii="Book Antiqua" w:hAnsi="Book Antiqua"/>
          <w:sz w:val="22"/>
          <w:szCs w:val="22"/>
        </w:rPr>
      </w:pPr>
    </w:p>
    <w:p w:rsidR="005A7C03" w:rsidRPr="009F0FE6" w:rsidP="00024F2E">
      <w:pPr>
        <w:pStyle w:val="BodyText"/>
        <w:numPr>
          <w:numId w:val="21"/>
        </w:numPr>
        <w:bidi w:val="0"/>
        <w:spacing w:before="120" w:line="276" w:lineRule="auto"/>
        <w:ind w:left="709" w:hanging="283"/>
        <w:rPr>
          <w:rFonts w:ascii="Book Antiqua" w:hAnsi="Book Antiqua"/>
          <w:sz w:val="22"/>
          <w:szCs w:val="22"/>
        </w:rPr>
      </w:pPr>
      <w:r w:rsidRPr="009F0FE6">
        <w:rPr>
          <w:rFonts w:ascii="Book Antiqua" w:hAnsi="Book Antiqua"/>
          <w:sz w:val="22"/>
          <w:szCs w:val="22"/>
        </w:rPr>
        <w:t>V poznámke pod čiarou k odkazu 18a sa citácia „</w:t>
      </w:r>
      <w:r w:rsidRPr="009F0FE6" w:rsidR="00C17E7C">
        <w:rPr>
          <w:rFonts w:ascii="Book Antiqua" w:hAnsi="Book Antiqua"/>
          <w:sz w:val="22"/>
          <w:szCs w:val="22"/>
        </w:rPr>
        <w:t xml:space="preserve">Zákona </w:t>
      </w:r>
      <w:r w:rsidRPr="009F0FE6" w:rsidR="00C17E7C">
        <w:rPr>
          <w:rFonts w:ascii="Book Antiqua" w:hAnsi="Book Antiqua"/>
          <w:sz w:val="22"/>
          <w:szCs w:val="22"/>
          <w:lang w:eastAsia="cs-CZ"/>
        </w:rPr>
        <w:t>č. 233/1995 Z. z. o súdnych exekútoroch a exekučnej činnosti (Exekučný poriadok) a o zmene a doplnení ďalších zákonov v znení neskorších predpisov.“ nahrádza citáciou „Zákon č. 233/1995 Z. z. v znení neskorších predpisov.“.</w:t>
      </w:r>
    </w:p>
    <w:p w:rsidR="00A35317" w:rsidRPr="009F0FE6" w:rsidP="004119FF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472FA4" w:rsidRPr="009F0FE6" w:rsidP="00024F2E">
      <w:pPr>
        <w:pStyle w:val="BodyText"/>
        <w:numPr>
          <w:numId w:val="21"/>
        </w:numPr>
        <w:bidi w:val="0"/>
        <w:spacing w:before="120" w:line="276" w:lineRule="auto"/>
        <w:ind w:left="709" w:hanging="283"/>
        <w:rPr>
          <w:rFonts w:ascii="Book Antiqua" w:hAnsi="Book Antiqua"/>
          <w:sz w:val="22"/>
          <w:szCs w:val="22"/>
        </w:rPr>
      </w:pPr>
      <w:r w:rsidRPr="009F0FE6">
        <w:rPr>
          <w:rFonts w:ascii="Book Antiqua" w:hAnsi="Book Antiqua"/>
          <w:sz w:val="22"/>
          <w:szCs w:val="22"/>
        </w:rPr>
        <w:t>Zákon sa dopĺňa prílohou, ktorá vrátane nadpisu znie:</w:t>
      </w:r>
    </w:p>
    <w:p w:rsidR="00024F2E" w:rsidRPr="009F0FE6" w:rsidP="00024F2E">
      <w:pPr>
        <w:pStyle w:val="BodyText"/>
        <w:bidi w:val="0"/>
        <w:spacing w:before="120" w:line="276" w:lineRule="auto"/>
        <w:ind w:left="4956"/>
        <w:jc w:val="right"/>
        <w:rPr>
          <w:rFonts w:ascii="Book Antiqua" w:hAnsi="Book Antiqua"/>
          <w:b/>
          <w:sz w:val="22"/>
          <w:szCs w:val="22"/>
        </w:rPr>
      </w:pPr>
      <w:r w:rsidRPr="009F0FE6" w:rsidR="00472FA4">
        <w:rPr>
          <w:rFonts w:ascii="Book Antiqua" w:hAnsi="Book Antiqua"/>
          <w:sz w:val="22"/>
          <w:szCs w:val="22"/>
        </w:rPr>
        <w:t xml:space="preserve"> „</w:t>
      </w:r>
      <w:r w:rsidRPr="009F0FE6" w:rsidR="00472FA4">
        <w:rPr>
          <w:rFonts w:ascii="Book Antiqua" w:hAnsi="Book Antiqua"/>
          <w:b/>
          <w:sz w:val="22"/>
          <w:szCs w:val="22"/>
        </w:rPr>
        <w:t xml:space="preserve">Príloha </w:t>
      </w:r>
    </w:p>
    <w:p w:rsidR="00472FA4" w:rsidRPr="009F0FE6" w:rsidP="00024F2E">
      <w:pPr>
        <w:pStyle w:val="BodyText"/>
        <w:bidi w:val="0"/>
        <w:spacing w:before="120" w:line="276" w:lineRule="auto"/>
        <w:ind w:left="4956"/>
        <w:jc w:val="right"/>
        <w:rPr>
          <w:rFonts w:ascii="Book Antiqua" w:hAnsi="Book Antiqua"/>
          <w:sz w:val="22"/>
          <w:szCs w:val="22"/>
        </w:rPr>
      </w:pPr>
      <w:r w:rsidRPr="009F0FE6">
        <w:rPr>
          <w:rFonts w:ascii="Book Antiqua" w:hAnsi="Book Antiqua"/>
          <w:b/>
          <w:sz w:val="22"/>
          <w:szCs w:val="22"/>
        </w:rPr>
        <w:t>k zákonu č. 171/2005 Z. z.</w:t>
      </w:r>
    </w:p>
    <w:p w:rsidR="00024F2E" w:rsidRPr="009F0FE6" w:rsidP="00301240">
      <w:pPr>
        <w:pStyle w:val="BodyText"/>
        <w:bidi w:val="0"/>
        <w:spacing w:before="120" w:line="276" w:lineRule="auto"/>
        <w:ind w:left="708"/>
        <w:rPr>
          <w:rFonts w:ascii="Book Antiqua" w:hAnsi="Book Antiqua"/>
          <w:sz w:val="22"/>
          <w:szCs w:val="22"/>
          <w:lang w:eastAsia="cs-CZ"/>
        </w:rPr>
      </w:pPr>
    </w:p>
    <w:p w:rsidR="00B35E5C" w:rsidRPr="009F0FE6" w:rsidP="00024F2E">
      <w:pPr>
        <w:pStyle w:val="BodyText"/>
        <w:bidi w:val="0"/>
        <w:spacing w:before="120" w:line="276" w:lineRule="auto"/>
        <w:ind w:left="708"/>
        <w:jc w:val="center"/>
        <w:rPr>
          <w:rFonts w:ascii="Book Antiqua" w:hAnsi="Book Antiqua"/>
          <w:b/>
          <w:sz w:val="22"/>
          <w:szCs w:val="22"/>
          <w:lang w:eastAsia="cs-CZ"/>
        </w:rPr>
      </w:pPr>
      <w:r w:rsidRPr="009F0FE6">
        <w:rPr>
          <w:rFonts w:ascii="Book Antiqua" w:hAnsi="Book Antiqua"/>
          <w:b/>
          <w:sz w:val="22"/>
          <w:szCs w:val="22"/>
          <w:lang w:eastAsia="cs-CZ"/>
        </w:rPr>
        <w:t>VYHLÁSENIE</w:t>
      </w:r>
    </w:p>
    <w:p w:rsidR="00472FA4" w:rsidRPr="009F0FE6" w:rsidP="00024F2E">
      <w:pPr>
        <w:pStyle w:val="BodyText"/>
        <w:bidi w:val="0"/>
        <w:spacing w:before="120" w:line="276" w:lineRule="auto"/>
        <w:ind w:left="708"/>
        <w:jc w:val="center"/>
        <w:rPr>
          <w:rFonts w:ascii="Book Antiqua" w:hAnsi="Book Antiqua"/>
          <w:b/>
          <w:sz w:val="22"/>
          <w:szCs w:val="22"/>
        </w:rPr>
      </w:pPr>
      <w:r w:rsidRPr="009F0FE6" w:rsidR="000B4724">
        <w:rPr>
          <w:rFonts w:ascii="Book Antiqua" w:hAnsi="Book Antiqua"/>
          <w:b/>
          <w:sz w:val="22"/>
          <w:szCs w:val="22"/>
          <w:lang w:eastAsia="cs-CZ"/>
        </w:rPr>
        <w:t>O OBOZNÁMENÍ SA S RIZIKAMI</w:t>
      </w:r>
      <w:r w:rsidRPr="009F0FE6">
        <w:rPr>
          <w:rFonts w:ascii="Book Antiqua" w:hAnsi="Book Antiqua"/>
          <w:b/>
          <w:sz w:val="22"/>
          <w:szCs w:val="22"/>
          <w:lang w:eastAsia="cs-CZ"/>
        </w:rPr>
        <w:t xml:space="preserve"> HAZARDNÝCH HIER</w:t>
      </w:r>
    </w:p>
    <w:p w:rsidR="00BF35A4" w:rsidRPr="009F0FE6" w:rsidP="00301240">
      <w:pPr>
        <w:pStyle w:val="BodyText"/>
        <w:bidi w:val="0"/>
        <w:spacing w:before="120" w:line="276" w:lineRule="auto"/>
        <w:ind w:left="708"/>
        <w:rPr>
          <w:rFonts w:ascii="Book Antiqua" w:hAnsi="Book Antiqua"/>
          <w:sz w:val="22"/>
          <w:szCs w:val="22"/>
        </w:rPr>
      </w:pPr>
      <w:r w:rsidRPr="009F0FE6" w:rsidR="00472FA4">
        <w:rPr>
          <w:rFonts w:ascii="Book Antiqua" w:hAnsi="Book Antiqua"/>
          <w:sz w:val="22"/>
          <w:szCs w:val="22"/>
        </w:rPr>
        <w:t>Dolu podpísaný/á</w:t>
      </w:r>
      <w:r w:rsidRPr="009F0FE6">
        <w:rPr>
          <w:rFonts w:ascii="Book Antiqua" w:hAnsi="Book Antiqua"/>
          <w:sz w:val="22"/>
          <w:szCs w:val="22"/>
        </w:rPr>
        <w:t xml:space="preserve">, </w:t>
      </w:r>
    </w:p>
    <w:p w:rsidR="00472FA4" w:rsidRPr="009F0FE6" w:rsidP="00301240">
      <w:pPr>
        <w:pStyle w:val="BodyText"/>
        <w:bidi w:val="0"/>
        <w:spacing w:before="120" w:line="276" w:lineRule="auto"/>
        <w:ind w:left="708"/>
        <w:rPr>
          <w:rFonts w:ascii="Book Antiqua" w:hAnsi="Book Antiqua"/>
          <w:sz w:val="22"/>
          <w:szCs w:val="22"/>
        </w:rPr>
      </w:pPr>
      <w:r w:rsidRPr="009F0FE6" w:rsidR="00BF35A4">
        <w:rPr>
          <w:rFonts w:ascii="Book Antiqua" w:hAnsi="Book Antiqua"/>
          <w:sz w:val="22"/>
          <w:szCs w:val="22"/>
        </w:rPr>
        <w:t xml:space="preserve">meno a priezvisko: </w:t>
      </w:r>
      <w:r w:rsidRPr="009F0FE6">
        <w:rPr>
          <w:rFonts w:ascii="Book Antiqua" w:hAnsi="Book Antiqua"/>
          <w:sz w:val="22"/>
          <w:szCs w:val="22"/>
        </w:rPr>
        <w:t xml:space="preserve"> .........</w:t>
      </w:r>
      <w:r w:rsidRPr="009F0FE6" w:rsidR="00BF35A4">
        <w:rPr>
          <w:rFonts w:ascii="Book Antiqua" w:hAnsi="Book Antiqua"/>
          <w:sz w:val="22"/>
          <w:szCs w:val="22"/>
        </w:rPr>
        <w:t>...........................</w:t>
      </w:r>
      <w:r w:rsidRPr="009F0FE6" w:rsidR="005A7C03">
        <w:rPr>
          <w:rFonts w:ascii="Book Antiqua" w:hAnsi="Book Antiqua"/>
          <w:sz w:val="22"/>
          <w:szCs w:val="22"/>
        </w:rPr>
        <w:t>.</w:t>
      </w:r>
      <w:r w:rsidRPr="009F0FE6">
        <w:rPr>
          <w:rFonts w:ascii="Book Antiqua" w:hAnsi="Book Antiqua"/>
          <w:sz w:val="22"/>
          <w:szCs w:val="22"/>
        </w:rPr>
        <w:t>..........</w:t>
      </w:r>
      <w:r w:rsidRPr="009F0FE6" w:rsidR="005A7C03">
        <w:rPr>
          <w:rFonts w:ascii="Book Antiqua" w:hAnsi="Book Antiqua"/>
          <w:sz w:val="22"/>
          <w:szCs w:val="22"/>
        </w:rPr>
        <w:t xml:space="preserve">  </w:t>
      </w:r>
      <w:r w:rsidRPr="009F0FE6">
        <w:rPr>
          <w:rFonts w:ascii="Book Antiqua" w:hAnsi="Book Antiqua"/>
          <w:sz w:val="22"/>
          <w:szCs w:val="22"/>
        </w:rPr>
        <w:t>dátum naro</w:t>
      </w:r>
      <w:r w:rsidRPr="009F0FE6" w:rsidR="00BF35A4">
        <w:rPr>
          <w:rFonts w:ascii="Book Antiqua" w:hAnsi="Book Antiqua"/>
          <w:sz w:val="22"/>
          <w:szCs w:val="22"/>
        </w:rPr>
        <w:t>denia: ......</w:t>
      </w:r>
      <w:r w:rsidRPr="009F0FE6">
        <w:rPr>
          <w:rFonts w:ascii="Book Antiqua" w:hAnsi="Book Antiqua"/>
          <w:sz w:val="22"/>
          <w:szCs w:val="22"/>
        </w:rPr>
        <w:t>.....</w:t>
      </w:r>
      <w:r w:rsidRPr="009F0FE6" w:rsidR="00BF35A4">
        <w:rPr>
          <w:rFonts w:ascii="Book Antiqua" w:hAnsi="Book Antiqua"/>
          <w:sz w:val="22"/>
          <w:szCs w:val="22"/>
        </w:rPr>
        <w:t>.......</w:t>
      </w:r>
      <w:r w:rsidRPr="009F0FE6">
        <w:rPr>
          <w:rFonts w:ascii="Book Antiqua" w:hAnsi="Book Antiqua"/>
          <w:sz w:val="22"/>
          <w:szCs w:val="22"/>
        </w:rPr>
        <w:t>........</w:t>
      </w:r>
    </w:p>
    <w:p w:rsidR="00472FA4" w:rsidRPr="009F0FE6" w:rsidP="00301240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9F0FE6" w:rsidR="004479CA">
        <w:rPr>
          <w:rFonts w:ascii="Book Antiqua" w:hAnsi="Book Antiqua"/>
          <w:sz w:val="22"/>
          <w:szCs w:val="22"/>
        </w:rPr>
        <w:t>adresa trvalého pobytu</w:t>
      </w:r>
      <w:r w:rsidRPr="009F0FE6">
        <w:rPr>
          <w:rFonts w:ascii="Book Antiqua" w:hAnsi="Book Antiqua"/>
          <w:sz w:val="22"/>
          <w:szCs w:val="22"/>
        </w:rPr>
        <w:t>: ..............................</w:t>
      </w:r>
      <w:r w:rsidRPr="009F0FE6" w:rsidR="004479CA">
        <w:rPr>
          <w:rFonts w:ascii="Book Antiqua" w:hAnsi="Book Antiqua"/>
          <w:sz w:val="22"/>
          <w:szCs w:val="22"/>
        </w:rPr>
        <w:t>...............</w:t>
      </w:r>
      <w:r w:rsidRPr="009F0FE6">
        <w:rPr>
          <w:rFonts w:ascii="Book Antiqua" w:hAnsi="Book Antiqua"/>
          <w:sz w:val="22"/>
          <w:szCs w:val="22"/>
        </w:rPr>
        <w:t>...........................................................</w:t>
      </w:r>
    </w:p>
    <w:p w:rsidR="00472FA4" w:rsidRPr="009F0FE6" w:rsidP="00301240">
      <w:pPr>
        <w:pStyle w:val="BodyText"/>
        <w:bidi w:val="0"/>
        <w:spacing w:before="120" w:line="276" w:lineRule="auto"/>
        <w:ind w:left="708"/>
        <w:rPr>
          <w:rFonts w:ascii="Book Antiqua" w:hAnsi="Book Antiqua"/>
          <w:sz w:val="22"/>
          <w:szCs w:val="22"/>
        </w:rPr>
      </w:pPr>
      <w:r w:rsidRPr="009F0FE6" w:rsidR="00633819">
        <w:rPr>
          <w:rFonts w:ascii="Book Antiqua" w:hAnsi="Book Antiqua"/>
          <w:sz w:val="22"/>
          <w:szCs w:val="22"/>
        </w:rPr>
        <w:t>Čestne vy</w:t>
      </w:r>
      <w:r w:rsidRPr="009F0FE6" w:rsidR="00024F2E">
        <w:rPr>
          <w:rFonts w:ascii="Book Antiqua" w:hAnsi="Book Antiqua"/>
          <w:sz w:val="22"/>
          <w:szCs w:val="22"/>
        </w:rPr>
        <w:t xml:space="preserve">hlasujem, že </w:t>
      </w:r>
      <w:r w:rsidRPr="009F0FE6">
        <w:rPr>
          <w:rFonts w:ascii="Book Antiqua" w:hAnsi="Book Antiqua"/>
          <w:sz w:val="22"/>
          <w:szCs w:val="22"/>
        </w:rPr>
        <w:t>si uvedomujem, že v hazardnej hre mám menšiu šancu na výhru ako na prehru a do hazardnej hry vstupujem dobrovoľne, bez donútenia a s plným vedomím, že závislosť na hraní je psychologická porucha, ktorej neliečenie môže viesť u postihnutého k strate majetku, rozpadu rodinných a sociálnych vzťahov, chorobnému klamstvu a trestnej činnosti.</w:t>
      </w:r>
    </w:p>
    <w:p w:rsidR="00B35E5C" w:rsidRPr="009F0FE6" w:rsidP="00301240">
      <w:pPr>
        <w:pStyle w:val="BodyText"/>
        <w:bidi w:val="0"/>
        <w:spacing w:before="120" w:line="276" w:lineRule="auto"/>
        <w:ind w:left="708"/>
        <w:rPr>
          <w:rFonts w:ascii="Book Antiqua" w:hAnsi="Book Antiqua"/>
          <w:sz w:val="22"/>
          <w:szCs w:val="22"/>
        </w:rPr>
      </w:pPr>
      <w:r w:rsidRPr="009F0FE6" w:rsidR="00633819">
        <w:rPr>
          <w:rFonts w:ascii="Book Antiqua" w:hAnsi="Book Antiqua"/>
          <w:sz w:val="22"/>
          <w:szCs w:val="22"/>
        </w:rPr>
        <w:t>Som si vedomý čísla</w:t>
      </w:r>
      <w:r w:rsidRPr="009F0FE6" w:rsidR="00472FA4">
        <w:rPr>
          <w:rFonts w:ascii="Book Antiqua" w:hAnsi="Book Antiqua"/>
          <w:sz w:val="22"/>
          <w:szCs w:val="22"/>
        </w:rPr>
        <w:t xml:space="preserve"> na bezplatnú linku pomoci, ktoré je 0800 800 900 a na ktorej odborníci na liečbu závislostí poskytujú pomoc pre závislých.</w:t>
      </w:r>
    </w:p>
    <w:p w:rsidR="00B35E5C" w:rsidRPr="009F0FE6" w:rsidP="00301240">
      <w:pPr>
        <w:pStyle w:val="BodyText"/>
        <w:bidi w:val="0"/>
        <w:spacing w:before="120" w:line="276" w:lineRule="auto"/>
        <w:ind w:left="708"/>
        <w:rPr>
          <w:rFonts w:ascii="Book Antiqua" w:hAnsi="Book Antiqua"/>
          <w:sz w:val="22"/>
          <w:szCs w:val="22"/>
        </w:rPr>
      </w:pPr>
    </w:p>
    <w:p w:rsidR="00B35E5C" w:rsidRPr="009F0FE6" w:rsidP="00B35E5C">
      <w:pPr>
        <w:pStyle w:val="BodyText"/>
        <w:bidi w:val="0"/>
        <w:spacing w:before="120" w:line="276" w:lineRule="auto"/>
        <w:ind w:left="708"/>
        <w:jc w:val="right"/>
        <w:rPr>
          <w:rFonts w:ascii="Book Antiqua" w:hAnsi="Book Antiqua"/>
          <w:sz w:val="22"/>
          <w:szCs w:val="22"/>
        </w:rPr>
      </w:pPr>
      <w:r w:rsidRPr="009F0FE6">
        <w:rPr>
          <w:rFonts w:ascii="Book Antiqua" w:hAnsi="Book Antiqua"/>
          <w:sz w:val="22"/>
          <w:szCs w:val="22"/>
        </w:rPr>
        <w:t>.........................................</w:t>
      </w:r>
    </w:p>
    <w:p w:rsidR="00472FA4" w:rsidRPr="009F0FE6" w:rsidP="00B35E5C">
      <w:pPr>
        <w:pStyle w:val="BodyText"/>
        <w:bidi w:val="0"/>
        <w:spacing w:before="120" w:line="276" w:lineRule="auto"/>
        <w:ind w:left="708"/>
        <w:jc w:val="right"/>
        <w:rPr>
          <w:rFonts w:ascii="Book Antiqua" w:hAnsi="Book Antiqua"/>
          <w:sz w:val="22"/>
          <w:szCs w:val="22"/>
        </w:rPr>
      </w:pPr>
      <w:r w:rsidRPr="009F0FE6" w:rsidR="00B35E5C">
        <w:rPr>
          <w:rFonts w:ascii="Book Antiqua" w:hAnsi="Book Antiqua"/>
          <w:sz w:val="22"/>
          <w:szCs w:val="22"/>
        </w:rPr>
        <w:t xml:space="preserve">  dátum a podpis osoby</w:t>
      </w:r>
      <w:r w:rsidRPr="009F0FE6">
        <w:rPr>
          <w:rFonts w:ascii="Book Antiqua" w:hAnsi="Book Antiqua"/>
          <w:sz w:val="22"/>
          <w:szCs w:val="22"/>
        </w:rPr>
        <w:t>“.</w:t>
      </w:r>
    </w:p>
    <w:p w:rsidR="00B35E5C" w:rsidRPr="009F0FE6" w:rsidP="000B4724">
      <w:pPr>
        <w:pStyle w:val="BodyText"/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472FA4" w:rsidRPr="009F0FE6" w:rsidP="00301240">
      <w:pPr>
        <w:pStyle w:val="BodyText"/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  <w:lang w:eastAsia="cs-CZ"/>
        </w:rPr>
      </w:pPr>
      <w:r w:rsidRPr="009F0FE6">
        <w:rPr>
          <w:rFonts w:ascii="Book Antiqua" w:hAnsi="Book Antiqua"/>
          <w:b/>
          <w:sz w:val="22"/>
          <w:szCs w:val="22"/>
        </w:rPr>
        <w:t>Čl. II</w:t>
      </w:r>
    </w:p>
    <w:p w:rsidR="00472FA4" w:rsidRPr="009F0FE6" w:rsidP="00A35317">
      <w:pPr>
        <w:pStyle w:val="BodyText"/>
        <w:bidi w:val="0"/>
        <w:spacing w:before="120" w:line="276" w:lineRule="auto"/>
        <w:ind w:firstLine="426"/>
        <w:rPr>
          <w:rFonts w:ascii="Book Antiqua" w:hAnsi="Book Antiqua"/>
          <w:sz w:val="22"/>
          <w:szCs w:val="22"/>
          <w:lang w:eastAsia="cs-CZ"/>
        </w:rPr>
      </w:pPr>
      <w:r w:rsidRPr="009F0FE6">
        <w:rPr>
          <w:rFonts w:ascii="Book Antiqua" w:hAnsi="Book Antiqua"/>
          <w:sz w:val="22"/>
          <w:szCs w:val="22"/>
          <w:lang w:eastAsia="cs-CZ"/>
        </w:rPr>
        <w:t>Zákon č. 417/2013 Z.</w:t>
      </w:r>
      <w:r w:rsidRPr="009F0FE6" w:rsidR="00024F2E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 o pomoci v hmotnej núdzi a o zmene a doplnení niektorých zákonov sa dopĺňa takto:</w:t>
      </w:r>
    </w:p>
    <w:p w:rsidR="00472FA4" w:rsidRPr="009F0FE6" w:rsidP="000A5EB9">
      <w:pPr>
        <w:pStyle w:val="BodyText"/>
        <w:bidi w:val="0"/>
        <w:spacing w:before="120" w:line="276" w:lineRule="auto"/>
        <w:ind w:left="709"/>
        <w:rPr>
          <w:rFonts w:ascii="Book Antiqua" w:hAnsi="Book Antiqua"/>
          <w:sz w:val="22"/>
          <w:szCs w:val="22"/>
        </w:rPr>
      </w:pPr>
      <w:r w:rsidRPr="009F0FE6" w:rsidR="00A35317">
        <w:rPr>
          <w:rFonts w:ascii="Book Antiqua" w:hAnsi="Book Antiqua"/>
          <w:sz w:val="22"/>
          <w:szCs w:val="22"/>
        </w:rPr>
        <w:t xml:space="preserve">V </w:t>
      </w:r>
      <w:r w:rsidRPr="009F0FE6">
        <w:rPr>
          <w:rFonts w:ascii="Book Antiqua" w:hAnsi="Book Antiqua"/>
          <w:sz w:val="22"/>
          <w:szCs w:val="22"/>
        </w:rPr>
        <w:t xml:space="preserve">§ 26 sa </w:t>
      </w:r>
      <w:r w:rsidRPr="009F0FE6" w:rsidR="00A35317">
        <w:rPr>
          <w:rFonts w:ascii="Book Antiqua" w:hAnsi="Book Antiqua"/>
          <w:sz w:val="22"/>
          <w:szCs w:val="22"/>
        </w:rPr>
        <w:t>za odsek 1 vkladá nový odsek 2</w:t>
      </w:r>
      <w:r w:rsidRPr="009F0FE6">
        <w:rPr>
          <w:rFonts w:ascii="Book Antiqua" w:hAnsi="Book Antiqua"/>
          <w:sz w:val="22"/>
          <w:szCs w:val="22"/>
        </w:rPr>
        <w:t>, ktorý znie:</w:t>
      </w:r>
    </w:p>
    <w:p w:rsidR="00472FA4" w:rsidRPr="009F0FE6" w:rsidP="00050426">
      <w:pPr>
        <w:bidi w:val="0"/>
        <w:spacing w:before="120" w:line="276" w:lineRule="auto"/>
        <w:ind w:left="1276" w:hanging="567"/>
        <w:jc w:val="both"/>
        <w:rPr>
          <w:rFonts w:ascii="Book Antiqua" w:hAnsi="Book Antiqua"/>
          <w:sz w:val="22"/>
          <w:szCs w:val="22"/>
          <w:lang w:eastAsia="cs-CZ"/>
        </w:rPr>
      </w:pPr>
      <w:r w:rsidRPr="009F0FE6">
        <w:rPr>
          <w:rFonts w:ascii="Book Antiqua" w:hAnsi="Book Antiqua"/>
          <w:sz w:val="22"/>
          <w:szCs w:val="22"/>
        </w:rPr>
        <w:t>„</w:t>
      </w:r>
      <w:r w:rsidRPr="009F0FE6" w:rsidR="00A35317">
        <w:rPr>
          <w:rFonts w:ascii="Book Antiqua" w:hAnsi="Book Antiqua"/>
          <w:sz w:val="22"/>
          <w:szCs w:val="22"/>
          <w:lang w:eastAsia="cs-CZ"/>
        </w:rPr>
        <w:t>(2</w:t>
      </w:r>
      <w:r w:rsidRPr="009F0FE6">
        <w:rPr>
          <w:rFonts w:ascii="Book Antiqua" w:hAnsi="Book Antiqua"/>
          <w:sz w:val="22"/>
          <w:szCs w:val="22"/>
          <w:lang w:eastAsia="cs-CZ"/>
        </w:rPr>
        <w:t>)</w:t>
      </w:r>
      <w:r w:rsidRPr="009F0FE6" w:rsidR="00A35317">
        <w:rPr>
          <w:rFonts w:ascii="Book Antiqua" w:hAnsi="Book Antiqua"/>
          <w:sz w:val="22"/>
          <w:szCs w:val="22"/>
          <w:lang w:eastAsia="cs-CZ"/>
        </w:rPr>
        <w:t xml:space="preserve"> </w:t>
        <w:tab/>
        <w:t xml:space="preserve">Ústredie </w:t>
      </w:r>
      <w:r w:rsidRPr="009F0FE6" w:rsidR="00050426">
        <w:rPr>
          <w:rFonts w:ascii="Book Antiqua" w:hAnsi="Book Antiqua"/>
          <w:sz w:val="22"/>
          <w:szCs w:val="22"/>
          <w:lang w:eastAsia="cs-CZ"/>
        </w:rPr>
        <w:t>je povinné viesť</w:t>
      </w:r>
      <w:r w:rsidRPr="009F0FE6" w:rsidR="000A5EB9">
        <w:rPr>
          <w:rFonts w:ascii="Book Antiqua" w:hAnsi="Book Antiqua"/>
          <w:sz w:val="22"/>
          <w:szCs w:val="22"/>
          <w:lang w:eastAsia="cs-CZ"/>
        </w:rPr>
        <w:t xml:space="preserve"> súhrnnú evidenciu príjemcov vytvorenú na základe čiastkových evidencií jednotlivých úradov v r</w:t>
      </w:r>
      <w:r w:rsidRPr="009F0FE6" w:rsidR="00597958">
        <w:rPr>
          <w:rFonts w:ascii="Book Antiqua" w:hAnsi="Book Antiqua"/>
          <w:sz w:val="22"/>
          <w:szCs w:val="22"/>
          <w:lang w:eastAsia="cs-CZ"/>
        </w:rPr>
        <w:t xml:space="preserve">ozsahu podľa odseku 3 písm. f), </w:t>
      </w:r>
      <w:r w:rsidRPr="009F0FE6" w:rsidR="00050426">
        <w:rPr>
          <w:rFonts w:ascii="Book Antiqua" w:hAnsi="Book Antiqua"/>
          <w:sz w:val="22"/>
          <w:szCs w:val="22"/>
          <w:lang w:eastAsia="cs-CZ"/>
        </w:rPr>
        <w:t>aktualizovať</w:t>
      </w:r>
      <w:r w:rsidRPr="009F0FE6" w:rsidR="00597958">
        <w:rPr>
          <w:rFonts w:ascii="Book Antiqua" w:hAnsi="Book Antiqua"/>
          <w:sz w:val="22"/>
          <w:szCs w:val="22"/>
          <w:lang w:eastAsia="cs-CZ"/>
        </w:rPr>
        <w:t xml:space="preserve"> ju </w:t>
      </w:r>
      <w:r w:rsidRPr="009F0FE6" w:rsidR="000A5EB9">
        <w:rPr>
          <w:rFonts w:ascii="Book Antiqua" w:hAnsi="Book Antiqua"/>
          <w:sz w:val="22"/>
          <w:szCs w:val="22"/>
          <w:lang w:eastAsia="cs-CZ"/>
        </w:rPr>
        <w:t xml:space="preserve">vždy k 20. dňu </w:t>
      </w:r>
      <w:r w:rsidRPr="009F0FE6" w:rsidR="00050426">
        <w:rPr>
          <w:rFonts w:ascii="Book Antiqua" w:hAnsi="Book Antiqua"/>
          <w:sz w:val="22"/>
          <w:szCs w:val="22"/>
          <w:lang w:eastAsia="cs-CZ"/>
        </w:rPr>
        <w:t xml:space="preserve">v kalendárnom mesiaci </w:t>
      </w:r>
      <w:r w:rsidRPr="009F0FE6" w:rsidR="00597958">
        <w:rPr>
          <w:rFonts w:ascii="Book Antiqua" w:hAnsi="Book Antiqua"/>
          <w:sz w:val="22"/>
          <w:szCs w:val="22"/>
          <w:lang w:eastAsia="cs-CZ"/>
        </w:rPr>
        <w:t xml:space="preserve">a uverejňovať </w:t>
      </w:r>
      <w:r w:rsidRPr="009F0FE6" w:rsidR="00FD2977">
        <w:rPr>
          <w:rFonts w:ascii="Book Antiqua" w:hAnsi="Book Antiqua"/>
          <w:sz w:val="22"/>
          <w:szCs w:val="22"/>
          <w:lang w:eastAsia="cs-CZ"/>
        </w:rPr>
        <w:t>na svojom webovom sídle</w:t>
      </w:r>
      <w:r w:rsidRPr="009F0FE6" w:rsidR="00F55CA4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600F42">
        <w:rPr>
          <w:rFonts w:ascii="Book Antiqua" w:hAnsi="Book Antiqua"/>
          <w:sz w:val="22"/>
          <w:szCs w:val="22"/>
          <w:lang w:eastAsia="cs-CZ"/>
        </w:rPr>
        <w:t xml:space="preserve">aspoň tú </w:t>
      </w:r>
      <w:r w:rsidRPr="009F0FE6" w:rsidR="00597958">
        <w:rPr>
          <w:rFonts w:ascii="Book Antiqua" w:hAnsi="Book Antiqua"/>
          <w:sz w:val="22"/>
          <w:szCs w:val="22"/>
          <w:lang w:eastAsia="cs-CZ"/>
        </w:rPr>
        <w:t xml:space="preserve">časť </w:t>
      </w:r>
      <w:r w:rsidRPr="009F0FE6" w:rsidR="00F55CA4">
        <w:rPr>
          <w:rFonts w:ascii="Book Antiqua" w:hAnsi="Book Antiqua"/>
          <w:sz w:val="22"/>
          <w:szCs w:val="22"/>
          <w:lang w:eastAsia="cs-CZ"/>
        </w:rPr>
        <w:t>evidencie, ktorá sa týka príjemcov dávok</w:t>
      </w:r>
      <w:r w:rsidRPr="009F0FE6" w:rsidR="000A5EB9">
        <w:rPr>
          <w:rFonts w:ascii="Book Antiqua" w:hAnsi="Book Antiqua"/>
          <w:sz w:val="22"/>
          <w:szCs w:val="22"/>
          <w:lang w:eastAsia="cs-CZ"/>
        </w:rPr>
        <w:t>.</w:t>
      </w:r>
      <w:r w:rsidRPr="009F0FE6">
        <w:rPr>
          <w:rFonts w:ascii="Book Antiqua" w:hAnsi="Book Antiqua"/>
          <w:sz w:val="22"/>
          <w:szCs w:val="22"/>
        </w:rPr>
        <w:t>“.</w:t>
      </w:r>
    </w:p>
    <w:p w:rsidR="00183A3B" w:rsidRPr="009F0FE6" w:rsidP="000A5EB9">
      <w:pPr>
        <w:bidi w:val="0"/>
        <w:spacing w:before="120" w:line="276" w:lineRule="auto"/>
        <w:ind w:left="1276" w:hanging="567"/>
        <w:jc w:val="both"/>
        <w:rPr>
          <w:rFonts w:ascii="Book Antiqua" w:hAnsi="Book Antiqua"/>
          <w:sz w:val="22"/>
          <w:szCs w:val="22"/>
          <w:lang w:eastAsia="cs-CZ"/>
        </w:rPr>
      </w:pPr>
      <w:r w:rsidRPr="009F0FE6">
        <w:rPr>
          <w:rFonts w:ascii="Book Antiqua" w:hAnsi="Book Antiqua"/>
          <w:sz w:val="22"/>
          <w:szCs w:val="22"/>
          <w:lang w:eastAsia="cs-CZ"/>
        </w:rPr>
        <w:t>Doterajší odsek 2 sa označuje ako odsek 3.</w:t>
      </w:r>
    </w:p>
    <w:p w:rsidR="00533CE3" w:rsidRPr="009F0FE6" w:rsidP="00A31406">
      <w:pPr>
        <w:pStyle w:val="BodyText"/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472FA4" w:rsidRPr="009F0FE6" w:rsidP="00301240">
      <w:pPr>
        <w:pStyle w:val="BodyText"/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  <w:lang w:eastAsia="cs-CZ"/>
        </w:rPr>
      </w:pPr>
      <w:r w:rsidRPr="009F0FE6">
        <w:rPr>
          <w:rFonts w:ascii="Book Antiqua" w:hAnsi="Book Antiqua"/>
          <w:b/>
          <w:sz w:val="22"/>
          <w:szCs w:val="22"/>
        </w:rPr>
        <w:t>Čl. III</w:t>
      </w:r>
    </w:p>
    <w:p w:rsidR="00472FA4" w:rsidRPr="009F0FE6" w:rsidP="00B35E5C">
      <w:pPr>
        <w:pStyle w:val="BodyText"/>
        <w:bidi w:val="0"/>
        <w:spacing w:before="120" w:line="276" w:lineRule="auto"/>
        <w:ind w:firstLine="426"/>
        <w:rPr>
          <w:rFonts w:ascii="Book Antiqua" w:hAnsi="Book Antiqua"/>
          <w:sz w:val="22"/>
          <w:szCs w:val="22"/>
          <w:lang w:eastAsia="cs-CZ"/>
        </w:rPr>
      </w:pPr>
      <w:r w:rsidRPr="009F0FE6">
        <w:rPr>
          <w:rFonts w:ascii="Book Antiqua" w:hAnsi="Book Antiqua"/>
          <w:sz w:val="22"/>
          <w:szCs w:val="22"/>
          <w:lang w:eastAsia="cs-CZ"/>
        </w:rPr>
        <w:t>Zákon Národnej rady Slovenskej republiky č. 233/1995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 o súdnych exekútoroch a exekučnej činnosti (Exekučný poriadok) a o zmene a doplnení ďalších zákonov v znení zákona č. 211/1997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z., zákona č. 353/1997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z., zákona č. 235/1998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 xml:space="preserve">z., zákona 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               </w:t>
      </w:r>
      <w:r w:rsidRPr="009F0FE6">
        <w:rPr>
          <w:rFonts w:ascii="Book Antiqua" w:hAnsi="Book Antiqua"/>
          <w:sz w:val="22"/>
          <w:szCs w:val="22"/>
          <w:lang w:eastAsia="cs-CZ"/>
        </w:rPr>
        <w:t>č. 240/1998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z., zákona č. 280/1999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z., zákona č. 415/2000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z., zákona č. 291/2001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z., zákona č. 483/2001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z., zákona č. 32/2002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z., zákona č. 356/2003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 xml:space="preserve">z., zákona 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                 </w:t>
      </w:r>
      <w:r w:rsidRPr="009F0FE6">
        <w:rPr>
          <w:rFonts w:ascii="Book Antiqua" w:hAnsi="Book Antiqua"/>
          <w:sz w:val="22"/>
          <w:szCs w:val="22"/>
          <w:lang w:eastAsia="cs-CZ"/>
        </w:rPr>
        <w:t>č. 514/2003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z., zákona č. 589/2003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z., zákona č. 613/2004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z., nálezu Ústavného súdu SR č. 125/2005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z., zákona č. 300/2005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z., zákona č. 341/2005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 xml:space="preserve">z., zákona č. 585/2006 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  </w:t>
      </w:r>
      <w:r w:rsidRPr="009F0FE6">
        <w:rPr>
          <w:rFonts w:ascii="Book Antiqua" w:hAnsi="Book Antiqua"/>
          <w:sz w:val="22"/>
          <w:szCs w:val="22"/>
          <w:lang w:eastAsia="cs-CZ"/>
        </w:rPr>
        <w:t>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z., zákona č. 84/2007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z., zákona č. 568/2007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z., zákona č. 384/2008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 xml:space="preserve">z., zákona 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      </w:t>
      </w:r>
      <w:r w:rsidRPr="009F0FE6">
        <w:rPr>
          <w:rFonts w:ascii="Book Antiqua" w:hAnsi="Book Antiqua"/>
          <w:sz w:val="22"/>
          <w:szCs w:val="22"/>
          <w:lang w:eastAsia="cs-CZ"/>
        </w:rPr>
        <w:t>č. 477/2008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z., zákona č. 554/2008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z., zákona č. 84/2009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z., zákona č. 192/2009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z., zákona č. 466/2009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z., zákona č. 144/2010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z., zákona č. 151/2010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 xml:space="preserve">z., zákona 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              </w:t>
      </w:r>
      <w:r w:rsidRPr="009F0FE6">
        <w:rPr>
          <w:rFonts w:ascii="Book Antiqua" w:hAnsi="Book Antiqua"/>
          <w:sz w:val="22"/>
          <w:szCs w:val="22"/>
          <w:lang w:eastAsia="cs-CZ"/>
        </w:rPr>
        <w:t>č. 102/2011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z., zákona č. 348/2011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z., uznesenia Ústavného súdu SR č. 1/2012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z., zákona č. 230/2012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z., zákona č. 335/2012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z., zákona č. 440/2012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 xml:space="preserve">z., zákona 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              </w:t>
      </w:r>
      <w:r w:rsidRPr="009F0FE6">
        <w:rPr>
          <w:rFonts w:ascii="Book Antiqua" w:hAnsi="Book Antiqua"/>
          <w:sz w:val="22"/>
          <w:szCs w:val="22"/>
          <w:lang w:eastAsia="cs-CZ"/>
        </w:rPr>
        <w:t>č. 461/2012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z., zákona č. 180/2013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z., zákona č. 299/2013 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 xml:space="preserve">z., a zákona č. 355/2013 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    </w:t>
      </w:r>
      <w:r w:rsidRPr="009F0FE6">
        <w:rPr>
          <w:rFonts w:ascii="Book Antiqua" w:hAnsi="Book Antiqua"/>
          <w:sz w:val="22"/>
          <w:szCs w:val="22"/>
          <w:lang w:eastAsia="cs-CZ"/>
        </w:rPr>
        <w:t>Z.</w:t>
      </w:r>
      <w:r w:rsidRPr="009F0FE6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>
        <w:rPr>
          <w:rFonts w:ascii="Book Antiqua" w:hAnsi="Book Antiqua"/>
          <w:sz w:val="22"/>
          <w:szCs w:val="22"/>
          <w:lang w:eastAsia="cs-CZ"/>
        </w:rPr>
        <w:t>z. sa dopĺňa takto:</w:t>
      </w:r>
    </w:p>
    <w:p w:rsidR="00762275" w:rsidRPr="009F0FE6" w:rsidP="00301240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9F0FE6">
        <w:rPr>
          <w:rFonts w:ascii="Book Antiqua" w:hAnsi="Book Antiqua"/>
          <w:sz w:val="22"/>
          <w:szCs w:val="22"/>
        </w:rPr>
        <w:t>Vo ôsmej časti sa za tretiu hlavu vkladá štvrtá hlava, ktorá vrátane nadpisu znie:</w:t>
      </w:r>
    </w:p>
    <w:p w:rsidR="00762275" w:rsidRPr="009F0FE6" w:rsidP="00762275">
      <w:pPr>
        <w:pStyle w:val="BodyText"/>
        <w:bidi w:val="0"/>
        <w:spacing w:before="120" w:line="276" w:lineRule="auto"/>
        <w:ind w:firstLine="708"/>
        <w:jc w:val="center"/>
        <w:rPr>
          <w:rFonts w:ascii="Book Antiqua" w:hAnsi="Book Antiqua"/>
          <w:b/>
          <w:sz w:val="22"/>
          <w:szCs w:val="22"/>
        </w:rPr>
      </w:pPr>
      <w:r w:rsidRPr="009F0FE6">
        <w:rPr>
          <w:rFonts w:ascii="Book Antiqua" w:hAnsi="Book Antiqua"/>
          <w:sz w:val="22"/>
          <w:szCs w:val="22"/>
        </w:rPr>
        <w:t>„</w:t>
      </w:r>
      <w:r w:rsidRPr="009F0FE6">
        <w:rPr>
          <w:rFonts w:ascii="Book Antiqua" w:hAnsi="Book Antiqua"/>
          <w:b/>
          <w:sz w:val="22"/>
          <w:szCs w:val="22"/>
        </w:rPr>
        <w:t>ŠTVRTÁ HLAVA</w:t>
      </w:r>
    </w:p>
    <w:p w:rsidR="00472FA4" w:rsidRPr="009F0FE6" w:rsidP="00762275">
      <w:pPr>
        <w:pStyle w:val="BodyText"/>
        <w:bidi w:val="0"/>
        <w:spacing w:before="120" w:line="276" w:lineRule="auto"/>
        <w:ind w:firstLine="708"/>
        <w:jc w:val="center"/>
        <w:rPr>
          <w:rFonts w:ascii="Book Antiqua" w:hAnsi="Book Antiqua"/>
          <w:b/>
          <w:sz w:val="22"/>
          <w:szCs w:val="22"/>
        </w:rPr>
      </w:pPr>
      <w:r w:rsidRPr="009F0FE6" w:rsidR="00CD4B5C">
        <w:rPr>
          <w:rFonts w:ascii="Book Antiqua" w:hAnsi="Book Antiqua"/>
          <w:b/>
          <w:sz w:val="22"/>
          <w:szCs w:val="22"/>
        </w:rPr>
        <w:t>CENTRÁLNY REGISTER EXEKÚCIÍ</w:t>
      </w:r>
    </w:p>
    <w:p w:rsidR="00CD4B5C" w:rsidRPr="009F0FE6" w:rsidP="00762275">
      <w:pPr>
        <w:pStyle w:val="BodyText"/>
        <w:bidi w:val="0"/>
        <w:spacing w:before="120" w:line="276" w:lineRule="auto"/>
        <w:ind w:firstLine="708"/>
        <w:jc w:val="center"/>
        <w:rPr>
          <w:rFonts w:ascii="Book Antiqua" w:hAnsi="Book Antiqua"/>
          <w:b/>
          <w:sz w:val="22"/>
          <w:szCs w:val="22"/>
        </w:rPr>
      </w:pPr>
      <w:r w:rsidRPr="009F0FE6">
        <w:rPr>
          <w:rFonts w:ascii="Book Antiqua" w:hAnsi="Book Antiqua"/>
          <w:b/>
          <w:sz w:val="22"/>
          <w:szCs w:val="22"/>
        </w:rPr>
        <w:t>§ 211a</w:t>
      </w:r>
    </w:p>
    <w:p w:rsidR="00472FA4" w:rsidRPr="009F0FE6" w:rsidP="00CD4B5C">
      <w:pPr>
        <w:bidi w:val="0"/>
        <w:spacing w:before="120" w:line="276" w:lineRule="auto"/>
        <w:ind w:left="1276" w:hanging="568"/>
        <w:jc w:val="both"/>
        <w:rPr>
          <w:rFonts w:ascii="Book Antiqua" w:hAnsi="Book Antiqua"/>
          <w:sz w:val="22"/>
          <w:szCs w:val="22"/>
          <w:lang w:eastAsia="cs-CZ"/>
        </w:rPr>
      </w:pPr>
      <w:r w:rsidRPr="009F0FE6" w:rsidR="00CD4B5C">
        <w:rPr>
          <w:rFonts w:ascii="Book Antiqua" w:hAnsi="Book Antiqua"/>
          <w:sz w:val="22"/>
          <w:szCs w:val="22"/>
        </w:rPr>
        <w:t>„</w:t>
      </w:r>
      <w:r w:rsidRPr="009F0FE6">
        <w:rPr>
          <w:rFonts w:ascii="Book Antiqua" w:hAnsi="Book Antiqua"/>
          <w:sz w:val="22"/>
          <w:szCs w:val="22"/>
        </w:rPr>
        <w:t>(</w:t>
      </w:r>
      <w:r w:rsidRPr="009F0FE6">
        <w:rPr>
          <w:rFonts w:ascii="Book Antiqua" w:hAnsi="Book Antiqua"/>
          <w:sz w:val="22"/>
          <w:szCs w:val="22"/>
          <w:lang w:eastAsia="cs-CZ"/>
        </w:rPr>
        <w:t xml:space="preserve">1) </w:t>
      </w:r>
      <w:r w:rsidRPr="009F0FE6" w:rsidR="00CD4B5C">
        <w:rPr>
          <w:rFonts w:ascii="Book Antiqua" w:hAnsi="Book Antiqua"/>
          <w:sz w:val="22"/>
          <w:szCs w:val="22"/>
          <w:lang w:eastAsia="cs-CZ"/>
        </w:rPr>
        <w:tab/>
      </w:r>
      <w:r w:rsidRPr="009F0FE6">
        <w:rPr>
          <w:rFonts w:ascii="Book Antiqua" w:hAnsi="Book Antiqua"/>
          <w:sz w:val="22"/>
          <w:szCs w:val="22"/>
          <w:lang w:eastAsia="cs-CZ"/>
        </w:rPr>
        <w:t>Komora vedie centrálny register exekúcií (ďalej len „register</w:t>
      </w:r>
      <w:r w:rsidRPr="009F0FE6">
        <w:rPr>
          <w:rFonts w:ascii="Book Antiqua" w:hAnsi="Book Antiqua"/>
          <w:sz w:val="22"/>
          <w:szCs w:val="22"/>
        </w:rPr>
        <w:t>“</w:t>
      </w:r>
      <w:r w:rsidRPr="009F0FE6">
        <w:rPr>
          <w:rFonts w:ascii="Book Antiqua" w:hAnsi="Book Antiqua"/>
          <w:sz w:val="22"/>
          <w:szCs w:val="22"/>
          <w:lang w:eastAsia="cs-CZ"/>
        </w:rPr>
        <w:t xml:space="preserve">) v ktorom sa  evidujú </w:t>
      </w:r>
    </w:p>
    <w:p w:rsidR="00472FA4" w:rsidRPr="009F0FE6" w:rsidP="00CD4B5C">
      <w:pPr>
        <w:numPr>
          <w:ilvl w:val="0"/>
          <w:numId w:val="19"/>
        </w:numPr>
        <w:tabs>
          <w:tab w:val="clear" w:pos="1080"/>
          <w:tab w:val="num" w:pos="1560"/>
        </w:tabs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  <w:lang w:eastAsia="cs-CZ"/>
        </w:rPr>
      </w:pPr>
      <w:r w:rsidRPr="009F0FE6">
        <w:rPr>
          <w:rFonts w:ascii="Book Antiqua" w:hAnsi="Book Antiqua"/>
          <w:sz w:val="22"/>
          <w:szCs w:val="22"/>
          <w:lang w:eastAsia="cs-CZ"/>
        </w:rPr>
        <w:t>upovedomenia o začatí exekúcie podľa § 48,</w:t>
      </w:r>
    </w:p>
    <w:p w:rsidR="00472FA4" w:rsidRPr="009F0FE6" w:rsidP="00D712D3">
      <w:pPr>
        <w:numPr>
          <w:ilvl w:val="0"/>
          <w:numId w:val="19"/>
        </w:numPr>
        <w:tabs>
          <w:tab w:val="clear" w:pos="1080"/>
          <w:tab w:val="num" w:pos="1560"/>
        </w:tabs>
        <w:bidi w:val="0"/>
        <w:spacing w:before="120" w:line="276" w:lineRule="auto"/>
        <w:ind w:left="1560" w:hanging="284"/>
        <w:jc w:val="both"/>
        <w:rPr>
          <w:rFonts w:ascii="Book Antiqua" w:hAnsi="Book Antiqua"/>
          <w:sz w:val="22"/>
          <w:szCs w:val="22"/>
          <w:lang w:eastAsia="cs-CZ"/>
        </w:rPr>
      </w:pPr>
      <w:r w:rsidRPr="009F0FE6">
        <w:rPr>
          <w:rFonts w:ascii="Book Antiqua" w:hAnsi="Book Antiqua"/>
          <w:sz w:val="22"/>
          <w:szCs w:val="22"/>
          <w:lang w:eastAsia="cs-CZ"/>
        </w:rPr>
        <w:t xml:space="preserve">právoplatné uznesenia o zastavení </w:t>
      </w:r>
      <w:r w:rsidRPr="009F0FE6" w:rsidR="00D712D3">
        <w:rPr>
          <w:rFonts w:ascii="Book Antiqua" w:hAnsi="Book Antiqua"/>
          <w:sz w:val="22"/>
          <w:szCs w:val="22"/>
          <w:lang w:eastAsia="cs-CZ"/>
        </w:rPr>
        <w:t xml:space="preserve">exekúcie (§ 57 až 61) </w:t>
      </w:r>
      <w:r w:rsidRPr="009F0FE6">
        <w:rPr>
          <w:rFonts w:ascii="Book Antiqua" w:hAnsi="Book Antiqua"/>
          <w:sz w:val="22"/>
          <w:szCs w:val="22"/>
          <w:lang w:eastAsia="cs-CZ"/>
        </w:rPr>
        <w:t>a odklade exekúcie</w:t>
      </w:r>
      <w:r w:rsidRPr="009F0FE6" w:rsidR="00D712D3">
        <w:rPr>
          <w:rFonts w:ascii="Book Antiqua" w:hAnsi="Book Antiqua"/>
          <w:sz w:val="22"/>
          <w:szCs w:val="22"/>
          <w:lang w:eastAsia="cs-CZ"/>
        </w:rPr>
        <w:t xml:space="preserve"> (§ 56)</w:t>
      </w:r>
      <w:r w:rsidRPr="009F0FE6" w:rsidR="009966F6">
        <w:rPr>
          <w:rFonts w:ascii="Book Antiqua" w:hAnsi="Book Antiqua"/>
          <w:sz w:val="22"/>
          <w:szCs w:val="22"/>
          <w:lang w:eastAsia="cs-CZ"/>
        </w:rPr>
        <w:t>,</w:t>
      </w:r>
    </w:p>
    <w:p w:rsidR="009966F6" w:rsidRPr="009F0FE6" w:rsidP="00D712D3">
      <w:pPr>
        <w:numPr>
          <w:ilvl w:val="0"/>
          <w:numId w:val="19"/>
        </w:numPr>
        <w:tabs>
          <w:tab w:val="clear" w:pos="1080"/>
          <w:tab w:val="num" w:pos="1560"/>
        </w:tabs>
        <w:bidi w:val="0"/>
        <w:spacing w:before="120" w:line="276" w:lineRule="auto"/>
        <w:ind w:left="1560" w:hanging="284"/>
        <w:jc w:val="both"/>
        <w:rPr>
          <w:rFonts w:ascii="Book Antiqua" w:hAnsi="Book Antiqua"/>
          <w:sz w:val="22"/>
          <w:szCs w:val="22"/>
          <w:lang w:eastAsia="cs-CZ"/>
        </w:rPr>
      </w:pPr>
      <w:r w:rsidRPr="009F0FE6">
        <w:rPr>
          <w:rFonts w:ascii="Book Antiqua" w:hAnsi="Book Antiqua"/>
          <w:sz w:val="22"/>
          <w:szCs w:val="22"/>
          <w:lang w:eastAsia="cs-CZ"/>
        </w:rPr>
        <w:t>údaje o exekúcii na výživné, dane, pokuty, poplatky, clá a pohľadávky na poistnom na zdravotné poistenie, sociálne poistenie a pohľadávky na príspevkoch na starobné dôchodkové sporenie</w:t>
      </w:r>
      <w:r w:rsidRPr="009F0FE6" w:rsidR="006D5F37">
        <w:rPr>
          <w:rFonts w:ascii="Book Antiqua" w:hAnsi="Book Antiqua"/>
          <w:sz w:val="22"/>
          <w:szCs w:val="22"/>
          <w:lang w:eastAsia="cs-CZ"/>
        </w:rPr>
        <w:t xml:space="preserve">, a o </w:t>
      </w:r>
      <w:r w:rsidRPr="009F0FE6">
        <w:rPr>
          <w:rFonts w:ascii="Book Antiqua" w:hAnsi="Book Antiqua"/>
          <w:sz w:val="22"/>
          <w:szCs w:val="22"/>
          <w:lang w:eastAsia="cs-CZ"/>
        </w:rPr>
        <w:t>osobe, voči ktorej sa táto exekúcia vedie v rozsahu meno, priezvisko, trvalý pobyt alebo prechodný pobyt</w:t>
      </w:r>
      <w:r w:rsidRPr="009F0FE6" w:rsidR="006D5F37">
        <w:rPr>
          <w:rFonts w:ascii="Book Antiqua" w:hAnsi="Book Antiqua"/>
          <w:sz w:val="22"/>
          <w:szCs w:val="22"/>
          <w:lang w:eastAsia="cs-CZ"/>
        </w:rPr>
        <w:t xml:space="preserve"> a dátum narodenia.</w:t>
      </w:r>
    </w:p>
    <w:p w:rsidR="00472FA4" w:rsidRPr="009F0FE6" w:rsidP="002A45C4">
      <w:pPr>
        <w:bidi w:val="0"/>
        <w:spacing w:before="120" w:line="276" w:lineRule="auto"/>
        <w:ind w:left="1276" w:hanging="567"/>
        <w:jc w:val="both"/>
        <w:rPr>
          <w:rFonts w:ascii="Book Antiqua" w:hAnsi="Book Antiqua"/>
          <w:sz w:val="22"/>
          <w:szCs w:val="22"/>
          <w:lang w:eastAsia="cs-CZ"/>
        </w:rPr>
      </w:pPr>
      <w:r w:rsidRPr="009F0FE6">
        <w:rPr>
          <w:rStyle w:val="HTMLVariable"/>
          <w:rFonts w:ascii="Book Antiqua" w:hAnsi="Book Antiqua"/>
          <w:i w:val="0"/>
          <w:iCs/>
          <w:color w:val="000000"/>
          <w:sz w:val="22"/>
          <w:szCs w:val="22"/>
          <w:shd w:val="clear" w:color="auto" w:fill="FFFFFF"/>
        </w:rPr>
        <w:t>(2)</w:t>
      </w:r>
      <w:r w:rsidRPr="009F0FE6">
        <w:rPr>
          <w:rStyle w:val="apple-converted-space"/>
          <w:rFonts w:ascii="Book Antiqua" w:hAnsi="Book Antiqua"/>
          <w:color w:val="000000"/>
          <w:sz w:val="22"/>
          <w:szCs w:val="22"/>
          <w:shd w:val="clear" w:color="auto" w:fill="FFFFFF"/>
        </w:rPr>
        <w:t> </w:t>
      </w:r>
      <w:r w:rsidRPr="009F0FE6" w:rsidR="00A40619">
        <w:rPr>
          <w:rStyle w:val="apple-converted-space"/>
          <w:rFonts w:ascii="Book Antiqua" w:hAnsi="Book Antiqua"/>
          <w:color w:val="000000"/>
          <w:sz w:val="22"/>
          <w:szCs w:val="22"/>
          <w:shd w:val="clear" w:color="auto" w:fill="FFFFFF"/>
        </w:rPr>
        <w:tab/>
      </w:r>
      <w:r w:rsidRPr="009F0FE6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Register je </w:t>
      </w:r>
      <w:r w:rsidRPr="009F0FE6" w:rsidR="002A45C4">
        <w:rPr>
          <w:rFonts w:ascii="Book Antiqua" w:hAnsi="Book Antiqua"/>
          <w:color w:val="000000"/>
          <w:sz w:val="22"/>
          <w:szCs w:val="22"/>
          <w:shd w:val="clear" w:color="auto" w:fill="FFFFFF"/>
        </w:rPr>
        <w:t>verejný</w:t>
      </w:r>
      <w:r w:rsidRPr="009F0FE6" w:rsidR="00F869E6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 </w:t>
      </w:r>
      <w:r w:rsidRPr="009F0FE6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zoznam, ktorý </w:t>
      </w:r>
      <w:r w:rsidRPr="009F0FE6" w:rsidR="00613B40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vytvára, </w:t>
      </w:r>
      <w:r w:rsidRPr="009F0FE6" w:rsidR="00BF2C90">
        <w:rPr>
          <w:rFonts w:ascii="Book Antiqua" w:hAnsi="Book Antiqua"/>
          <w:color w:val="000000"/>
          <w:sz w:val="22"/>
          <w:szCs w:val="22"/>
          <w:shd w:val="clear" w:color="auto" w:fill="FFFFFF"/>
        </w:rPr>
        <w:t>vedie a</w:t>
      </w:r>
      <w:r w:rsidRPr="009F0FE6" w:rsidR="006D5F37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 </w:t>
      </w:r>
      <w:r w:rsidRPr="009F0FE6" w:rsidR="00BF2C90">
        <w:rPr>
          <w:rFonts w:ascii="Book Antiqua" w:hAnsi="Book Antiqua"/>
          <w:color w:val="000000"/>
          <w:sz w:val="22"/>
          <w:szCs w:val="22"/>
          <w:shd w:val="clear" w:color="auto" w:fill="FFFFFF"/>
        </w:rPr>
        <w:t>aktualizuje</w:t>
      </w:r>
      <w:r w:rsidRPr="009F0FE6" w:rsidR="00A40619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 </w:t>
      </w:r>
      <w:r w:rsidRPr="009F0FE6" w:rsidR="00597958">
        <w:rPr>
          <w:rFonts w:ascii="Book Antiqua" w:hAnsi="Book Antiqua"/>
          <w:sz w:val="22"/>
          <w:szCs w:val="22"/>
          <w:lang w:eastAsia="cs-CZ"/>
        </w:rPr>
        <w:t>vždy k 20. dňu v kalendárnom mesiaci</w:t>
      </w:r>
      <w:r w:rsidRPr="009F0FE6" w:rsidR="00597958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 </w:t>
      </w:r>
      <w:r w:rsidRPr="009F0FE6" w:rsidR="002A45C4">
        <w:rPr>
          <w:rFonts w:ascii="Book Antiqua" w:hAnsi="Book Antiqua"/>
          <w:color w:val="000000"/>
          <w:sz w:val="22"/>
          <w:szCs w:val="22"/>
          <w:shd w:val="clear" w:color="auto" w:fill="FFFFFF"/>
        </w:rPr>
        <w:t>komora</w:t>
      </w:r>
      <w:r w:rsidRPr="009F0FE6" w:rsidR="00BF2C90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 v elektronickej podobe</w:t>
      </w:r>
      <w:r w:rsidRPr="009F0FE6">
        <w:rPr>
          <w:rFonts w:ascii="Book Antiqua" w:hAnsi="Book Antiqua"/>
          <w:color w:val="000000"/>
          <w:sz w:val="22"/>
          <w:szCs w:val="22"/>
          <w:shd w:val="clear" w:color="auto" w:fill="FFFFFF"/>
        </w:rPr>
        <w:t>.</w:t>
      </w:r>
      <w:r w:rsidRPr="009F0FE6" w:rsidR="002A45C4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 Komora sprístupňuje údaje </w:t>
      </w:r>
      <w:r w:rsidRPr="009F0FE6" w:rsidR="00183A3B">
        <w:rPr>
          <w:rFonts w:ascii="Book Antiqua" w:hAnsi="Book Antiqua"/>
          <w:color w:val="000000"/>
          <w:sz w:val="22"/>
          <w:szCs w:val="22"/>
          <w:shd w:val="clear" w:color="auto" w:fill="FFFFFF"/>
        </w:rPr>
        <w:t>regi</w:t>
      </w:r>
      <w:r w:rsidRPr="009F0FE6" w:rsidR="006D5F37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stra svojim členom </w:t>
      </w:r>
      <w:r w:rsidRPr="009F0FE6" w:rsidR="002A45C4">
        <w:rPr>
          <w:rFonts w:ascii="Book Antiqua" w:hAnsi="Book Antiqua"/>
          <w:color w:val="000000"/>
          <w:sz w:val="22"/>
          <w:szCs w:val="22"/>
          <w:shd w:val="clear" w:color="auto" w:fill="FFFFFF"/>
        </w:rPr>
        <w:t>spôsobom umožňujúcim diaľkový prístup.</w:t>
      </w:r>
      <w:r w:rsidRPr="009F0FE6" w:rsidR="00BF2C90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 Iným osobám sprístupňuje komora údaje registra na požiadanie podľa odseku 5.</w:t>
      </w:r>
      <w:r w:rsidRPr="009F0FE6" w:rsidR="006D5F37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 Komora je povinná </w:t>
      </w:r>
      <w:r w:rsidRPr="009F0FE6" w:rsidR="00FD2977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bezodplatne </w:t>
      </w:r>
      <w:r w:rsidRPr="009F0FE6" w:rsidR="006D5F37">
        <w:rPr>
          <w:rFonts w:ascii="Book Antiqua" w:hAnsi="Book Antiqua"/>
          <w:color w:val="000000"/>
          <w:sz w:val="22"/>
          <w:szCs w:val="22"/>
          <w:shd w:val="clear" w:color="auto" w:fill="FFFFFF"/>
        </w:rPr>
        <w:t>uverejňovať časť registra s údajm</w:t>
      </w:r>
      <w:r w:rsidRPr="009F0FE6" w:rsidR="00597958">
        <w:rPr>
          <w:rFonts w:ascii="Book Antiqua" w:hAnsi="Book Antiqua"/>
          <w:color w:val="000000"/>
          <w:sz w:val="22"/>
          <w:szCs w:val="22"/>
          <w:shd w:val="clear" w:color="auto" w:fill="FFFFFF"/>
        </w:rPr>
        <w:t>i uvedenými v odseku 1 písm. c)</w:t>
      </w:r>
      <w:r w:rsidRPr="009F0FE6" w:rsidR="00FD2977">
        <w:rPr>
          <w:rFonts w:ascii="Book Antiqua" w:hAnsi="Book Antiqua"/>
          <w:sz w:val="22"/>
          <w:szCs w:val="22"/>
          <w:lang w:eastAsia="cs-CZ"/>
        </w:rPr>
        <w:t xml:space="preserve"> na svojom webovom sídle</w:t>
      </w:r>
      <w:r w:rsidRPr="009F0FE6" w:rsidR="006D5F37">
        <w:rPr>
          <w:rFonts w:ascii="Book Antiqua" w:hAnsi="Book Antiqua"/>
          <w:sz w:val="22"/>
          <w:szCs w:val="22"/>
          <w:lang w:eastAsia="cs-CZ"/>
        </w:rPr>
        <w:t>.</w:t>
      </w:r>
    </w:p>
    <w:p w:rsidR="00472FA4" w:rsidRPr="009F0FE6" w:rsidP="002A45C4">
      <w:pPr>
        <w:pStyle w:val="BodyText"/>
        <w:bidi w:val="0"/>
        <w:spacing w:before="120" w:line="276" w:lineRule="auto"/>
        <w:ind w:left="1276" w:hanging="556"/>
        <w:rPr>
          <w:rFonts w:ascii="Book Antiqua" w:hAnsi="Book Antiqua"/>
          <w:sz w:val="22"/>
          <w:szCs w:val="22"/>
        </w:rPr>
      </w:pPr>
      <w:r w:rsidRPr="009F0FE6" w:rsidR="002A45C4">
        <w:rPr>
          <w:rFonts w:ascii="Book Antiqua" w:hAnsi="Book Antiqua"/>
          <w:sz w:val="22"/>
          <w:szCs w:val="22"/>
        </w:rPr>
        <w:t>(3</w:t>
      </w:r>
      <w:r w:rsidRPr="009F0FE6">
        <w:rPr>
          <w:rFonts w:ascii="Book Antiqua" w:hAnsi="Book Antiqua"/>
          <w:sz w:val="22"/>
          <w:szCs w:val="22"/>
        </w:rPr>
        <w:t xml:space="preserve">) </w:t>
      </w:r>
      <w:r w:rsidRPr="009F0FE6" w:rsidR="00A40619">
        <w:rPr>
          <w:rFonts w:ascii="Book Antiqua" w:hAnsi="Book Antiqua"/>
          <w:sz w:val="22"/>
          <w:szCs w:val="22"/>
        </w:rPr>
        <w:tab/>
      </w:r>
      <w:r w:rsidRPr="009F0FE6" w:rsidR="00BF2C90">
        <w:rPr>
          <w:rFonts w:ascii="Book Antiqua" w:hAnsi="Book Antiqua"/>
          <w:sz w:val="22"/>
          <w:szCs w:val="22"/>
        </w:rPr>
        <w:t>Zápis údajov</w:t>
      </w:r>
      <w:r w:rsidRPr="009F0FE6" w:rsidR="00AC6386">
        <w:rPr>
          <w:rFonts w:ascii="Book Antiqua" w:hAnsi="Book Antiqua"/>
          <w:sz w:val="22"/>
          <w:szCs w:val="22"/>
          <w:vertAlign w:val="superscript"/>
        </w:rPr>
        <w:t>17bc</w:t>
      </w:r>
      <w:r w:rsidRPr="009F0FE6" w:rsidR="000B4724">
        <w:rPr>
          <w:rFonts w:ascii="Book Antiqua" w:hAnsi="Book Antiqua"/>
          <w:sz w:val="22"/>
          <w:szCs w:val="22"/>
          <w:vertAlign w:val="superscript"/>
        </w:rPr>
        <w:t>)</w:t>
      </w:r>
      <w:r w:rsidRPr="009F0FE6" w:rsidR="00BF2C90">
        <w:rPr>
          <w:rFonts w:ascii="Book Antiqua" w:hAnsi="Book Antiqua"/>
          <w:sz w:val="22"/>
          <w:szCs w:val="22"/>
        </w:rPr>
        <w:t xml:space="preserve"> </w:t>
      </w:r>
      <w:r w:rsidRPr="009F0FE6" w:rsidR="00613B40">
        <w:rPr>
          <w:rFonts w:ascii="Book Antiqua" w:hAnsi="Book Antiqua"/>
          <w:sz w:val="22"/>
          <w:szCs w:val="22"/>
        </w:rPr>
        <w:t>do registra</w:t>
      </w:r>
      <w:r w:rsidRPr="009F0FE6" w:rsidR="00BF2C90">
        <w:rPr>
          <w:rFonts w:ascii="Book Antiqua" w:hAnsi="Book Antiqua"/>
          <w:sz w:val="22"/>
          <w:szCs w:val="22"/>
        </w:rPr>
        <w:t>, ich zmenu a výmaz</w:t>
      </w:r>
      <w:r w:rsidRPr="009F0FE6" w:rsidR="00613B40">
        <w:rPr>
          <w:rFonts w:ascii="Book Antiqua" w:hAnsi="Book Antiqua"/>
          <w:sz w:val="22"/>
          <w:szCs w:val="22"/>
        </w:rPr>
        <w:t xml:space="preserve"> </w:t>
      </w:r>
      <w:r w:rsidRPr="009F0FE6" w:rsidR="000B4724">
        <w:rPr>
          <w:rFonts w:ascii="Book Antiqua" w:hAnsi="Book Antiqua"/>
          <w:sz w:val="22"/>
          <w:szCs w:val="22"/>
        </w:rPr>
        <w:t xml:space="preserve">v rozsahu </w:t>
      </w:r>
      <w:r w:rsidRPr="009F0FE6" w:rsidR="00183A3B">
        <w:rPr>
          <w:rFonts w:ascii="Book Antiqua" w:hAnsi="Book Antiqua"/>
          <w:sz w:val="22"/>
          <w:szCs w:val="22"/>
        </w:rPr>
        <w:t>zodpovedajúcom obsahu dokumentov uvedených</w:t>
      </w:r>
      <w:r w:rsidRPr="009F0FE6" w:rsidR="000B4724">
        <w:rPr>
          <w:rFonts w:ascii="Book Antiqua" w:hAnsi="Book Antiqua"/>
          <w:sz w:val="22"/>
          <w:szCs w:val="22"/>
        </w:rPr>
        <w:t xml:space="preserve"> odseku 1 </w:t>
      </w:r>
      <w:r w:rsidRPr="009F0FE6" w:rsidR="002A45C4">
        <w:rPr>
          <w:rFonts w:ascii="Book Antiqua" w:hAnsi="Book Antiqua"/>
          <w:sz w:val="22"/>
          <w:szCs w:val="22"/>
        </w:rPr>
        <w:t xml:space="preserve">vykoná </w:t>
      </w:r>
      <w:r w:rsidRPr="009F0FE6" w:rsidR="006E44E8">
        <w:rPr>
          <w:rFonts w:ascii="Book Antiqua" w:hAnsi="Book Antiqua"/>
          <w:sz w:val="22"/>
          <w:szCs w:val="22"/>
        </w:rPr>
        <w:t>v primeranej lehote</w:t>
      </w:r>
      <w:r w:rsidRPr="009F0FE6">
        <w:rPr>
          <w:rFonts w:ascii="Book Antiqua" w:hAnsi="Book Antiqua"/>
          <w:sz w:val="22"/>
          <w:szCs w:val="22"/>
        </w:rPr>
        <w:t xml:space="preserve"> exekútor, ktorý je poverený exekúciou.</w:t>
      </w:r>
      <w:r w:rsidRPr="009F0FE6" w:rsidR="002D6DC2">
        <w:rPr>
          <w:rFonts w:ascii="Book Antiqua" w:hAnsi="Book Antiqua"/>
          <w:sz w:val="22"/>
          <w:szCs w:val="22"/>
        </w:rPr>
        <w:t xml:space="preserve"> Na tieto účely mu komora poskytne diaľkový prístup k</w:t>
      </w:r>
      <w:r w:rsidRPr="009F0FE6" w:rsidR="002A45C4">
        <w:rPr>
          <w:rFonts w:ascii="Book Antiqua" w:hAnsi="Book Antiqua"/>
          <w:sz w:val="22"/>
          <w:szCs w:val="22"/>
        </w:rPr>
        <w:t> registru.</w:t>
      </w:r>
    </w:p>
    <w:p w:rsidR="00472FA4" w:rsidRPr="009F0FE6" w:rsidP="00A40619">
      <w:pPr>
        <w:pStyle w:val="BodyText"/>
        <w:bidi w:val="0"/>
        <w:spacing w:before="120" w:line="276" w:lineRule="auto"/>
        <w:ind w:left="1276" w:hanging="556"/>
        <w:rPr>
          <w:rFonts w:ascii="Book Antiqua" w:hAnsi="Book Antiqua"/>
          <w:sz w:val="22"/>
          <w:szCs w:val="22"/>
        </w:rPr>
      </w:pPr>
      <w:r w:rsidRPr="009F0FE6" w:rsidR="002A45C4">
        <w:rPr>
          <w:rFonts w:ascii="Book Antiqua" w:hAnsi="Book Antiqua"/>
          <w:sz w:val="22"/>
          <w:szCs w:val="22"/>
        </w:rPr>
        <w:t>(4</w:t>
      </w:r>
      <w:r w:rsidRPr="009F0FE6">
        <w:rPr>
          <w:rFonts w:ascii="Book Antiqua" w:hAnsi="Book Antiqua"/>
          <w:sz w:val="22"/>
          <w:szCs w:val="22"/>
        </w:rPr>
        <w:t xml:space="preserve">) </w:t>
      </w:r>
      <w:r w:rsidRPr="009F0FE6" w:rsidR="00A40619">
        <w:rPr>
          <w:rFonts w:ascii="Book Antiqua" w:hAnsi="Book Antiqua"/>
          <w:sz w:val="22"/>
          <w:szCs w:val="22"/>
        </w:rPr>
        <w:tab/>
      </w:r>
      <w:r w:rsidRPr="009F0FE6" w:rsidR="00BF2C90">
        <w:rPr>
          <w:rFonts w:ascii="Book Antiqua" w:hAnsi="Book Antiqua"/>
          <w:sz w:val="22"/>
          <w:szCs w:val="22"/>
        </w:rPr>
        <w:t>Postup pri</w:t>
      </w:r>
      <w:r w:rsidRPr="009F0FE6">
        <w:rPr>
          <w:rFonts w:ascii="Book Antiqua" w:hAnsi="Book Antiqua"/>
          <w:sz w:val="22"/>
          <w:szCs w:val="22"/>
        </w:rPr>
        <w:t xml:space="preserve"> zá</w:t>
      </w:r>
      <w:r w:rsidRPr="009F0FE6" w:rsidR="00BF2C90">
        <w:rPr>
          <w:rFonts w:ascii="Book Antiqua" w:hAnsi="Book Antiqua"/>
          <w:sz w:val="22"/>
          <w:szCs w:val="22"/>
        </w:rPr>
        <w:t xml:space="preserve">pise údajov do </w:t>
      </w:r>
      <w:r w:rsidRPr="009F0FE6" w:rsidR="006E44E8">
        <w:rPr>
          <w:rFonts w:ascii="Book Antiqua" w:hAnsi="Book Antiqua"/>
          <w:sz w:val="22"/>
          <w:szCs w:val="22"/>
        </w:rPr>
        <w:t>regis</w:t>
      </w:r>
      <w:r w:rsidRPr="009F0FE6" w:rsidR="00BF2C90">
        <w:rPr>
          <w:rFonts w:ascii="Book Antiqua" w:hAnsi="Book Antiqua"/>
          <w:sz w:val="22"/>
          <w:szCs w:val="22"/>
        </w:rPr>
        <w:t>tra, ich zmene a výmaze, ako aj podrobnosti o vytvorení, vedení a aktualizácii</w:t>
      </w:r>
      <w:r w:rsidRPr="009F0FE6" w:rsidR="006E44E8">
        <w:rPr>
          <w:rFonts w:ascii="Book Antiqua" w:hAnsi="Book Antiqua"/>
          <w:sz w:val="22"/>
          <w:szCs w:val="22"/>
        </w:rPr>
        <w:t xml:space="preserve"> </w:t>
      </w:r>
      <w:r w:rsidRPr="009F0FE6" w:rsidR="00BF2C90">
        <w:rPr>
          <w:rFonts w:ascii="Book Antiqua" w:hAnsi="Book Antiqua"/>
          <w:sz w:val="22"/>
          <w:szCs w:val="22"/>
        </w:rPr>
        <w:t xml:space="preserve">registra </w:t>
      </w:r>
      <w:r w:rsidRPr="009F0FE6" w:rsidR="00613B40">
        <w:rPr>
          <w:rFonts w:ascii="Book Antiqua" w:hAnsi="Book Antiqua"/>
          <w:sz w:val="22"/>
          <w:szCs w:val="22"/>
        </w:rPr>
        <w:t>ustanoví ministerstvo všeobecne záväzným právnym predpisom</w:t>
      </w:r>
      <w:r w:rsidRPr="009F0FE6">
        <w:rPr>
          <w:rFonts w:ascii="Book Antiqua" w:hAnsi="Book Antiqua"/>
          <w:sz w:val="22"/>
          <w:szCs w:val="22"/>
        </w:rPr>
        <w:t xml:space="preserve">. </w:t>
      </w:r>
    </w:p>
    <w:p w:rsidR="002D6DC2" w:rsidRPr="009F0FE6" w:rsidP="00A40619">
      <w:pPr>
        <w:pStyle w:val="BodyText"/>
        <w:bidi w:val="0"/>
        <w:spacing w:before="120" w:line="276" w:lineRule="auto"/>
        <w:ind w:left="1276" w:hanging="556"/>
        <w:rPr>
          <w:rFonts w:ascii="Book Antiqua" w:hAnsi="Book Antiqua"/>
          <w:sz w:val="22"/>
          <w:szCs w:val="22"/>
        </w:rPr>
      </w:pPr>
      <w:r w:rsidRPr="009F0FE6" w:rsidR="00BF2C90">
        <w:rPr>
          <w:rFonts w:ascii="Book Antiqua" w:hAnsi="Book Antiqua"/>
          <w:sz w:val="22"/>
          <w:szCs w:val="22"/>
        </w:rPr>
        <w:t>(5</w:t>
      </w:r>
      <w:r w:rsidRPr="009F0FE6" w:rsidR="00472FA4">
        <w:rPr>
          <w:rFonts w:ascii="Book Antiqua" w:hAnsi="Book Antiqua"/>
          <w:sz w:val="22"/>
          <w:szCs w:val="22"/>
        </w:rPr>
        <w:t xml:space="preserve">) </w:t>
      </w:r>
      <w:r w:rsidRPr="009F0FE6" w:rsidR="00A40619">
        <w:rPr>
          <w:rFonts w:ascii="Book Antiqua" w:hAnsi="Book Antiqua"/>
          <w:sz w:val="22"/>
          <w:szCs w:val="22"/>
        </w:rPr>
        <w:tab/>
      </w:r>
      <w:r w:rsidRPr="009F0FE6" w:rsidR="00472FA4">
        <w:rPr>
          <w:rFonts w:ascii="Book Antiqua" w:hAnsi="Book Antiqua"/>
          <w:sz w:val="22"/>
          <w:szCs w:val="22"/>
        </w:rPr>
        <w:t>Komora vydá</w:t>
      </w:r>
      <w:r w:rsidRPr="009F0FE6" w:rsidR="00F869E6">
        <w:rPr>
          <w:rFonts w:ascii="Book Antiqua" w:hAnsi="Book Antiqua"/>
          <w:sz w:val="22"/>
          <w:szCs w:val="22"/>
        </w:rPr>
        <w:t xml:space="preserve"> na žiadosť výpis z registra </w:t>
      </w:r>
      <w:r w:rsidRPr="009F0FE6" w:rsidR="00472FA4">
        <w:rPr>
          <w:rFonts w:ascii="Book Antiqua" w:hAnsi="Book Antiqua"/>
          <w:sz w:val="22"/>
          <w:szCs w:val="22"/>
        </w:rPr>
        <w:t>alebo potvrdenie o t</w:t>
      </w:r>
      <w:r w:rsidRPr="009F0FE6" w:rsidR="00F869E6">
        <w:rPr>
          <w:rFonts w:ascii="Book Antiqua" w:hAnsi="Book Antiqua"/>
          <w:sz w:val="22"/>
          <w:szCs w:val="22"/>
        </w:rPr>
        <w:t xml:space="preserve">om, že určitý údaj v registri </w:t>
      </w:r>
      <w:r w:rsidRPr="009F0FE6" w:rsidR="00472FA4">
        <w:rPr>
          <w:rFonts w:ascii="Book Antiqua" w:hAnsi="Book Antiqua"/>
          <w:sz w:val="22"/>
          <w:szCs w:val="22"/>
        </w:rPr>
        <w:t>nie je zapísaný. Výpis a potvrdenie sú verejnými listinami p</w:t>
      </w:r>
      <w:r w:rsidRPr="009F0FE6" w:rsidR="00183A3B">
        <w:rPr>
          <w:rFonts w:ascii="Book Antiqua" w:hAnsi="Book Antiqua"/>
          <w:sz w:val="22"/>
          <w:szCs w:val="22"/>
        </w:rPr>
        <w:t>reukazujúcimi stav v </w:t>
      </w:r>
      <w:r w:rsidRPr="009F0FE6" w:rsidR="00472FA4">
        <w:rPr>
          <w:rFonts w:ascii="Book Antiqua" w:hAnsi="Book Antiqua"/>
          <w:sz w:val="22"/>
          <w:szCs w:val="22"/>
        </w:rPr>
        <w:t>r</w:t>
      </w:r>
      <w:r w:rsidRPr="009F0FE6" w:rsidR="00183A3B">
        <w:rPr>
          <w:rFonts w:ascii="Book Antiqua" w:hAnsi="Book Antiqua"/>
          <w:sz w:val="22"/>
          <w:szCs w:val="22"/>
        </w:rPr>
        <w:t xml:space="preserve">egistri </w:t>
      </w:r>
      <w:r w:rsidRPr="009F0FE6" w:rsidR="00F869E6">
        <w:rPr>
          <w:rFonts w:ascii="Book Antiqua" w:hAnsi="Book Antiqua"/>
          <w:sz w:val="22"/>
          <w:szCs w:val="22"/>
        </w:rPr>
        <w:t>k dátumu, ktorý</w:t>
      </w:r>
      <w:r w:rsidRPr="009F0FE6">
        <w:rPr>
          <w:rFonts w:ascii="Book Antiqua" w:hAnsi="Book Antiqua"/>
          <w:sz w:val="22"/>
          <w:szCs w:val="22"/>
        </w:rPr>
        <w:t xml:space="preserve"> je na nich uvedený</w:t>
      </w:r>
      <w:r w:rsidRPr="009F0FE6" w:rsidR="000B4724">
        <w:rPr>
          <w:rFonts w:ascii="Book Antiqua" w:hAnsi="Book Antiqua"/>
          <w:sz w:val="22"/>
          <w:szCs w:val="22"/>
        </w:rPr>
        <w:t xml:space="preserve">. </w:t>
      </w:r>
    </w:p>
    <w:p w:rsidR="00C5695C" w:rsidRPr="009F0FE6" w:rsidP="00A40619">
      <w:pPr>
        <w:pStyle w:val="BodyText"/>
        <w:bidi w:val="0"/>
        <w:spacing w:before="120" w:line="276" w:lineRule="auto"/>
        <w:ind w:left="1276" w:hanging="556"/>
        <w:rPr>
          <w:rFonts w:ascii="Book Antiqua" w:hAnsi="Book Antiqua"/>
          <w:sz w:val="22"/>
          <w:szCs w:val="22"/>
        </w:rPr>
      </w:pPr>
      <w:r w:rsidRPr="009F0FE6" w:rsidR="00BF2C90">
        <w:rPr>
          <w:rFonts w:ascii="Book Antiqua" w:hAnsi="Book Antiqua"/>
          <w:sz w:val="22"/>
          <w:szCs w:val="22"/>
        </w:rPr>
        <w:t>(6)</w:t>
        <w:tab/>
        <w:t>Za sprístupnenie údajov registra podľa odseku 5 patrí komore odmena, ktorej výšku ustanoví ministerstvo všeobecne záväzným právnym predpisom.</w:t>
      </w:r>
      <w:r w:rsidRPr="009F0FE6" w:rsidR="00E5683E">
        <w:rPr>
          <w:rFonts w:ascii="Book Antiqua" w:hAnsi="Book Antiqua"/>
          <w:sz w:val="22"/>
          <w:szCs w:val="22"/>
        </w:rPr>
        <w:t xml:space="preserve"> Odmena komore nepatrí za poskytnutie údajov podľa odseku 1 ministerstvu a súdom.</w:t>
      </w:r>
    </w:p>
    <w:p w:rsidR="00472FA4" w:rsidRPr="009F0FE6" w:rsidP="00A40619">
      <w:pPr>
        <w:pStyle w:val="BodyText"/>
        <w:bidi w:val="0"/>
        <w:spacing w:before="120" w:line="276" w:lineRule="auto"/>
        <w:ind w:left="1276" w:hanging="556"/>
        <w:rPr>
          <w:rFonts w:ascii="Book Antiqua" w:hAnsi="Book Antiqua"/>
          <w:sz w:val="22"/>
          <w:szCs w:val="22"/>
        </w:rPr>
      </w:pPr>
      <w:r w:rsidRPr="009F0FE6" w:rsidR="00C5695C">
        <w:rPr>
          <w:rFonts w:ascii="Book Antiqua" w:hAnsi="Book Antiqua"/>
          <w:sz w:val="22"/>
          <w:szCs w:val="22"/>
        </w:rPr>
        <w:t>(7)</w:t>
        <w:tab/>
        <w:t>Podrobnosti o vydávaní výpisov a potvrdení z registra podľa odseku 5 ustanoví ministerstvo všeobecne záväzným právnym predpisom.“.</w:t>
      </w:r>
      <w:r w:rsidRPr="009F0FE6">
        <w:rPr>
          <w:rFonts w:ascii="Book Antiqua" w:hAnsi="Book Antiqua"/>
          <w:sz w:val="22"/>
          <w:szCs w:val="22"/>
        </w:rPr>
        <w:t>“.</w:t>
      </w:r>
    </w:p>
    <w:p w:rsidR="00472FA4" w:rsidRPr="009F0FE6" w:rsidP="00301240">
      <w:pPr>
        <w:pStyle w:val="BodyText"/>
        <w:bidi w:val="0"/>
        <w:spacing w:before="120" w:line="276" w:lineRule="auto"/>
        <w:ind w:left="708" w:firstLine="12"/>
        <w:rPr>
          <w:rFonts w:ascii="Book Antiqua" w:hAnsi="Book Antiqua"/>
          <w:sz w:val="22"/>
          <w:szCs w:val="22"/>
        </w:rPr>
      </w:pPr>
      <w:r w:rsidRPr="009F0FE6">
        <w:rPr>
          <w:rFonts w:ascii="Book Antiqua" w:hAnsi="Book Antiqua"/>
          <w:sz w:val="22"/>
          <w:szCs w:val="22"/>
        </w:rPr>
        <w:t xml:space="preserve">Poznámka pod čiarou k odkazu </w:t>
      </w:r>
      <w:r w:rsidRPr="009F0FE6" w:rsidR="00597958">
        <w:rPr>
          <w:rFonts w:ascii="Book Antiqua" w:hAnsi="Book Antiqua"/>
          <w:sz w:val="22"/>
          <w:szCs w:val="22"/>
        </w:rPr>
        <w:t>17</w:t>
      </w:r>
      <w:r w:rsidRPr="009F0FE6">
        <w:rPr>
          <w:rFonts w:ascii="Book Antiqua" w:hAnsi="Book Antiqua"/>
          <w:sz w:val="22"/>
          <w:szCs w:val="22"/>
        </w:rPr>
        <w:t>b</w:t>
      </w:r>
      <w:r w:rsidRPr="009F0FE6" w:rsidR="00AC6386">
        <w:rPr>
          <w:rFonts w:ascii="Book Antiqua" w:hAnsi="Book Antiqua"/>
          <w:sz w:val="22"/>
          <w:szCs w:val="22"/>
        </w:rPr>
        <w:t>c</w:t>
      </w:r>
      <w:r w:rsidRPr="009F0FE6">
        <w:rPr>
          <w:rFonts w:ascii="Book Antiqua" w:hAnsi="Book Antiqua"/>
          <w:sz w:val="22"/>
          <w:szCs w:val="22"/>
        </w:rPr>
        <w:t xml:space="preserve"> znie:</w:t>
      </w:r>
    </w:p>
    <w:p w:rsidR="00472FA4" w:rsidRPr="009F0FE6" w:rsidP="00AC6386">
      <w:pPr>
        <w:pStyle w:val="BodyText"/>
        <w:bidi w:val="0"/>
        <w:spacing w:before="120" w:line="276" w:lineRule="auto"/>
        <w:ind w:left="708" w:firstLine="12"/>
        <w:rPr>
          <w:rFonts w:ascii="Book Antiqua" w:hAnsi="Book Antiqua"/>
          <w:sz w:val="22"/>
          <w:szCs w:val="22"/>
        </w:rPr>
      </w:pPr>
      <w:r w:rsidRPr="009F0FE6" w:rsidR="00D712D3">
        <w:rPr>
          <w:rFonts w:ascii="Book Antiqua" w:hAnsi="Book Antiqua"/>
          <w:sz w:val="22"/>
          <w:szCs w:val="22"/>
        </w:rPr>
        <w:t>„</w:t>
      </w:r>
      <w:r w:rsidRPr="009F0FE6" w:rsidR="006D5F37">
        <w:rPr>
          <w:rFonts w:ascii="Book Antiqua" w:hAnsi="Book Antiqua"/>
          <w:sz w:val="22"/>
          <w:szCs w:val="22"/>
          <w:vertAlign w:val="superscript"/>
        </w:rPr>
        <w:t>17bc)</w:t>
      </w:r>
      <w:r w:rsidRPr="009F0FE6" w:rsidR="00AC6386">
        <w:rPr>
          <w:rFonts w:ascii="Book Antiqua" w:hAnsi="Book Antiqua"/>
          <w:sz w:val="22"/>
          <w:szCs w:val="22"/>
        </w:rPr>
        <w:t xml:space="preserve"> </w:t>
      </w:r>
      <w:r w:rsidRPr="009F0FE6" w:rsidR="000B4724">
        <w:rPr>
          <w:rFonts w:ascii="Book Antiqua" w:hAnsi="Book Antiqua"/>
          <w:sz w:val="22"/>
          <w:szCs w:val="22"/>
          <w:lang w:eastAsia="cs-CZ"/>
        </w:rPr>
        <w:t>§ 10 ods. 2 zákona č. 122/2013 Z. z. o ochrane osobných údajov a o zmene a doplnení niektorých zákonov.</w:t>
      </w:r>
      <w:r w:rsidRPr="009F0FE6">
        <w:rPr>
          <w:rFonts w:ascii="Book Antiqua" w:hAnsi="Book Antiqua"/>
          <w:sz w:val="22"/>
          <w:szCs w:val="22"/>
        </w:rPr>
        <w:t>“.</w:t>
      </w:r>
    </w:p>
    <w:p w:rsidR="00472FA4" w:rsidRPr="009F0FE6" w:rsidP="00301240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533CE3" w:rsidRPr="009F0FE6" w:rsidP="00533CE3">
      <w:pPr>
        <w:pStyle w:val="BodyText"/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  <w:lang w:eastAsia="cs-CZ"/>
        </w:rPr>
      </w:pPr>
      <w:r w:rsidRPr="009F0FE6">
        <w:rPr>
          <w:rFonts w:ascii="Book Antiqua" w:hAnsi="Book Antiqua"/>
          <w:b/>
          <w:sz w:val="22"/>
          <w:szCs w:val="22"/>
        </w:rPr>
        <w:t>Čl. IV</w:t>
      </w:r>
    </w:p>
    <w:p w:rsidR="00533CE3" w:rsidRPr="009F0FE6" w:rsidP="00533CE3">
      <w:pPr>
        <w:pStyle w:val="BodyText"/>
        <w:bidi w:val="0"/>
        <w:spacing w:before="120" w:line="276" w:lineRule="auto"/>
        <w:ind w:firstLine="426"/>
        <w:rPr>
          <w:rFonts w:ascii="Book Antiqua" w:hAnsi="Book Antiqua"/>
          <w:sz w:val="22"/>
          <w:szCs w:val="22"/>
          <w:lang w:eastAsia="cs-CZ"/>
        </w:rPr>
      </w:pPr>
      <w:r w:rsidRPr="009F0FE6">
        <w:rPr>
          <w:rFonts w:ascii="Book Antiqua" w:hAnsi="Book Antiqua"/>
          <w:sz w:val="22"/>
          <w:szCs w:val="22"/>
          <w:lang w:eastAsia="cs-CZ"/>
        </w:rPr>
        <w:t xml:space="preserve">Zákon č. 461/2003 Z. z. o sociálnom poistení v znení zákona č.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 xml:space="preserve">551/2003 Z.z., zákona 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   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č.  600/2003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5/2004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43/2004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186/2004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461/2003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365/2004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391/2004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 xml:space="preserve">z., zákona 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              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č. 439/2004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721/2004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43/2004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186/2004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439/2004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523/2004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 721/2004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 xml:space="preserve">z., zákona 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             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č. 82/2005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244/2005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244/2005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351/2005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584/2005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534/2005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584/2005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 xml:space="preserve">z., zákona 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             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č. 460/2006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310/2006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529/2006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566/2006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592/2006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677/2006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555/2007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 xml:space="preserve">z.,  zákona 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             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č. 310/2006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274/2007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 519/2007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555/2007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659/2007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 zákona č. 204/2008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434/2008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 xml:space="preserve">z., zákona 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            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č. 449/2008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659/2007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449/2008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108/2009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192/2009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 200/2009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599/2008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 xml:space="preserve">z., zákona 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             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č. 285/2009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449/2008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108/2009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 571/2009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572/2009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572/2009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572/2009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 xml:space="preserve">z., zákona 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             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č. 151/2010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52/2010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403/2010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572/2009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543/2010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125/2011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223/2011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 xml:space="preserve">z., zákona 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             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č. 250/2011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334/2011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348/2011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 521/2011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521/2011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69/2012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334/2011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 xml:space="preserve">z., zákona 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               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č. 252/2012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413/2012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96/2013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338/2013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338/2013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z., zákona č. 352/2013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>z. a zákona č. 338/2013 Z.</w:t>
      </w:r>
      <w:r w:rsidRPr="009F0FE6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9F0FE6" w:rsidR="001641F3">
        <w:rPr>
          <w:rFonts w:ascii="Book Antiqua" w:hAnsi="Book Antiqua"/>
          <w:sz w:val="22"/>
          <w:szCs w:val="22"/>
          <w:lang w:eastAsia="cs-CZ"/>
        </w:rPr>
        <w:t xml:space="preserve">z. </w:t>
      </w:r>
      <w:r w:rsidRPr="009F0FE6">
        <w:rPr>
          <w:rFonts w:ascii="Book Antiqua" w:hAnsi="Book Antiqua"/>
          <w:sz w:val="22"/>
          <w:szCs w:val="22"/>
          <w:lang w:eastAsia="cs-CZ"/>
        </w:rPr>
        <w:t>sa dopĺňa takto:</w:t>
      </w:r>
    </w:p>
    <w:p w:rsidR="00533CE3" w:rsidRPr="009F0FE6" w:rsidP="00533CE3">
      <w:pPr>
        <w:pStyle w:val="BodyText"/>
        <w:bidi w:val="0"/>
        <w:spacing w:before="120" w:line="276" w:lineRule="auto"/>
        <w:ind w:left="709"/>
        <w:rPr>
          <w:rFonts w:ascii="Book Antiqua" w:hAnsi="Book Antiqua"/>
          <w:sz w:val="22"/>
          <w:szCs w:val="22"/>
        </w:rPr>
      </w:pPr>
      <w:r w:rsidRPr="009F0FE6">
        <w:rPr>
          <w:rFonts w:ascii="Book Antiqua" w:hAnsi="Book Antiqua"/>
          <w:sz w:val="22"/>
          <w:szCs w:val="22"/>
        </w:rPr>
        <w:t>V § 226 sa odsek 1 dopĺňa písmenom o), ktoré znie:</w:t>
      </w:r>
    </w:p>
    <w:p w:rsidR="00533CE3" w:rsidRPr="009F0FE6" w:rsidP="00533CE3">
      <w:pPr>
        <w:bidi w:val="0"/>
        <w:spacing w:before="120" w:line="276" w:lineRule="auto"/>
        <w:ind w:left="708"/>
        <w:jc w:val="both"/>
        <w:rPr>
          <w:rFonts w:ascii="Book Antiqua" w:hAnsi="Book Antiqua"/>
          <w:b/>
          <w:sz w:val="22"/>
          <w:szCs w:val="22"/>
        </w:rPr>
      </w:pPr>
      <w:r w:rsidRPr="009F0FE6">
        <w:rPr>
          <w:rFonts w:ascii="Book Antiqua" w:hAnsi="Book Antiqua"/>
          <w:sz w:val="22"/>
          <w:szCs w:val="22"/>
        </w:rPr>
        <w:t>„</w:t>
      </w:r>
      <w:r w:rsidRPr="009F0FE6">
        <w:rPr>
          <w:rFonts w:ascii="Book Antiqua" w:hAnsi="Book Antiqua"/>
          <w:sz w:val="22"/>
          <w:szCs w:val="22"/>
          <w:lang w:eastAsia="cs-CZ"/>
        </w:rPr>
        <w:t>o) zverejňovať a aktualizovať vždy k 20. dňu v kalendárnom mesiaci na svojom webovom sídle zoznam osôb podľa § 171.“.</w:t>
      </w:r>
    </w:p>
    <w:p w:rsidR="00533CE3" w:rsidRPr="009F0FE6" w:rsidP="00533CE3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F0FE6" w:rsidR="00533CE3">
        <w:rPr>
          <w:rFonts w:ascii="Book Antiqua" w:hAnsi="Book Antiqua"/>
          <w:b/>
          <w:sz w:val="22"/>
          <w:szCs w:val="22"/>
        </w:rPr>
        <w:t xml:space="preserve">Čl. </w:t>
      </w:r>
      <w:r w:rsidRPr="009F0FE6">
        <w:rPr>
          <w:rFonts w:ascii="Book Antiqua" w:hAnsi="Book Antiqua"/>
          <w:b/>
          <w:sz w:val="22"/>
          <w:szCs w:val="22"/>
        </w:rPr>
        <w:t>V</w:t>
      </w:r>
    </w:p>
    <w:p w:rsidR="00472FA4" w:rsidRPr="00301240" w:rsidP="00301240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</w:rPr>
      </w:pPr>
      <w:r w:rsidRPr="009F0FE6">
        <w:rPr>
          <w:rFonts w:ascii="Book Antiqua" w:hAnsi="Book Antiqua"/>
          <w:sz w:val="22"/>
          <w:szCs w:val="22"/>
        </w:rPr>
        <w:t>Tento zákon nadobúda účinnosť 1. januára 2015.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243"/>
    <w:multiLevelType w:val="multilevel"/>
    <w:tmpl w:val="7BB2B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C6506B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2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4">
    <w:nsid w:val="1A4B56A8"/>
    <w:multiLevelType w:val="singleLevel"/>
    <w:tmpl w:val="77580CA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</w:abstractNum>
  <w:abstractNum w:abstractNumId="5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7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8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9">
    <w:nsid w:val="3191525E"/>
    <w:multiLevelType w:val="singleLevel"/>
    <w:tmpl w:val="77580CA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</w:abstractNum>
  <w:abstractNum w:abstractNumId="10">
    <w:nsid w:val="332B40B7"/>
    <w:multiLevelType w:val="hybridMultilevel"/>
    <w:tmpl w:val="7BB2B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AF253F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12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3">
    <w:nsid w:val="44FD6E45"/>
    <w:multiLevelType w:val="multilevel"/>
    <w:tmpl w:val="E9F0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0A346BB"/>
    <w:multiLevelType w:val="hybridMultilevel"/>
    <w:tmpl w:val="B652FF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E4A0294"/>
    <w:multiLevelType w:val="hybridMultilevel"/>
    <w:tmpl w:val="B6569D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7992910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17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6CFE138C"/>
    <w:multiLevelType w:val="hybridMultilevel"/>
    <w:tmpl w:val="2AB4C962"/>
    <w:lvl w:ilvl="0">
      <w:start w:val="1"/>
      <w:numFmt w:val="lowerLetter"/>
      <w:lvlText w:val="%1)"/>
      <w:lvlJc w:val="left"/>
      <w:pPr>
        <w:ind w:left="120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8" w:hanging="180"/>
      </w:pPr>
      <w:rPr>
        <w:rFonts w:cs="Times New Roman"/>
        <w:rtl w:val="0"/>
        <w:cs w:val="0"/>
      </w:rPr>
    </w:lvl>
  </w:abstractNum>
  <w:abstractNum w:abstractNumId="19">
    <w:nsid w:val="7806421C"/>
    <w:multiLevelType w:val="hybridMultilevel"/>
    <w:tmpl w:val="B188555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0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3"/>
  </w:num>
  <w:num w:numId="5">
    <w:abstractNumId w:val="5"/>
  </w:num>
  <w:num w:numId="6">
    <w:abstractNumId w:val="17"/>
  </w:num>
  <w:num w:numId="7">
    <w:abstractNumId w:val="20"/>
  </w:num>
  <w:num w:numId="8">
    <w:abstractNumId w:val="7"/>
  </w:num>
  <w:num w:numId="9">
    <w:abstractNumId w:val="2"/>
  </w:num>
  <w:num w:numId="10">
    <w:abstractNumId w:val="14"/>
  </w:num>
  <w:num w:numId="11">
    <w:abstractNumId w:val="15"/>
  </w:num>
  <w:num w:numId="12">
    <w:abstractNumId w:val="0"/>
  </w:num>
  <w:num w:numId="13">
    <w:abstractNumId w:val="10"/>
  </w:num>
  <w:num w:numId="14">
    <w:abstractNumId w:val="11"/>
  </w:num>
  <w:num w:numId="15">
    <w:abstractNumId w:val="1"/>
  </w:num>
  <w:num w:numId="16">
    <w:abstractNumId w:val="16"/>
  </w:num>
  <w:num w:numId="17">
    <w:abstractNumId w:val="13"/>
  </w:num>
  <w:num w:numId="18">
    <w:abstractNumId w:val="4"/>
  </w:num>
  <w:num w:numId="19">
    <w:abstractNumId w:val="9"/>
  </w:num>
  <w:num w:numId="20">
    <w:abstractNumId w:val="18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/>
  <w:rsids>
    <w:rsidRoot w:val="00301240"/>
    <w:rsid w:val="00001E9E"/>
    <w:rsid w:val="00024F2E"/>
    <w:rsid w:val="00050426"/>
    <w:rsid w:val="000A5EB9"/>
    <w:rsid w:val="000B0DEB"/>
    <w:rsid w:val="000B4724"/>
    <w:rsid w:val="001641F3"/>
    <w:rsid w:val="00170850"/>
    <w:rsid w:val="00183A3B"/>
    <w:rsid w:val="001E7E62"/>
    <w:rsid w:val="00241FB8"/>
    <w:rsid w:val="002A45C4"/>
    <w:rsid w:val="002D6DC2"/>
    <w:rsid w:val="00301240"/>
    <w:rsid w:val="00304EAF"/>
    <w:rsid w:val="003C30F7"/>
    <w:rsid w:val="003D0308"/>
    <w:rsid w:val="004119FF"/>
    <w:rsid w:val="004479CA"/>
    <w:rsid w:val="00472FA4"/>
    <w:rsid w:val="004F4D60"/>
    <w:rsid w:val="00506233"/>
    <w:rsid w:val="00506551"/>
    <w:rsid w:val="00533CE3"/>
    <w:rsid w:val="0058200E"/>
    <w:rsid w:val="00597958"/>
    <w:rsid w:val="005A7C03"/>
    <w:rsid w:val="005C663D"/>
    <w:rsid w:val="00600F42"/>
    <w:rsid w:val="00603895"/>
    <w:rsid w:val="00613B40"/>
    <w:rsid w:val="00633819"/>
    <w:rsid w:val="00653312"/>
    <w:rsid w:val="006D5F37"/>
    <w:rsid w:val="006E44E8"/>
    <w:rsid w:val="007430B4"/>
    <w:rsid w:val="00762275"/>
    <w:rsid w:val="00765A85"/>
    <w:rsid w:val="007A30A8"/>
    <w:rsid w:val="007F4A7B"/>
    <w:rsid w:val="0082494A"/>
    <w:rsid w:val="008317D8"/>
    <w:rsid w:val="008913E2"/>
    <w:rsid w:val="008B70A1"/>
    <w:rsid w:val="008C2FAC"/>
    <w:rsid w:val="008C375A"/>
    <w:rsid w:val="00962253"/>
    <w:rsid w:val="009966F6"/>
    <w:rsid w:val="009A1585"/>
    <w:rsid w:val="009C084F"/>
    <w:rsid w:val="009F0FE6"/>
    <w:rsid w:val="00A31406"/>
    <w:rsid w:val="00A35317"/>
    <w:rsid w:val="00A40619"/>
    <w:rsid w:val="00A448C0"/>
    <w:rsid w:val="00AB7FB9"/>
    <w:rsid w:val="00AC6386"/>
    <w:rsid w:val="00B35E5C"/>
    <w:rsid w:val="00B76B9B"/>
    <w:rsid w:val="00BA2536"/>
    <w:rsid w:val="00BB5F9F"/>
    <w:rsid w:val="00BE503F"/>
    <w:rsid w:val="00BF2BA2"/>
    <w:rsid w:val="00BF2C90"/>
    <w:rsid w:val="00BF35A4"/>
    <w:rsid w:val="00C17E7C"/>
    <w:rsid w:val="00C21E63"/>
    <w:rsid w:val="00C5695C"/>
    <w:rsid w:val="00CD4B5C"/>
    <w:rsid w:val="00D712D3"/>
    <w:rsid w:val="00E5683E"/>
    <w:rsid w:val="00EB79C6"/>
    <w:rsid w:val="00F55CA4"/>
    <w:rsid w:val="00F63A5F"/>
    <w:rsid w:val="00F74EB1"/>
    <w:rsid w:val="00F869E6"/>
    <w:rsid w:val="00FD297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locked/>
    <w:rPr>
      <w:b/>
      <w:i/>
      <w:sz w:val="26"/>
    </w:rPr>
  </w:style>
  <w:style w:type="character" w:customStyle="1" w:styleId="Nadpis6Char">
    <w:name w:val="Nadpis 6 Char"/>
    <w:locked/>
    <w:rPr>
      <w:b/>
    </w:rPr>
  </w:style>
  <w:style w:type="character" w:customStyle="1" w:styleId="Nadpis7Char">
    <w:name w:val="Nadpis 7 Char"/>
    <w:locked/>
    <w:rPr>
      <w:sz w:val="24"/>
    </w:rPr>
  </w:style>
  <w:style w:type="character" w:customStyle="1" w:styleId="Nadpis8Char">
    <w:name w:val="Nadpis 8 Char"/>
    <w:locked/>
    <w:rPr>
      <w:i/>
      <w:sz w:val="24"/>
    </w:rPr>
  </w:style>
  <w:style w:type="character" w:customStyle="1" w:styleId="Nadpis9Char">
    <w:name w:val="Nadpis 9 Char"/>
    <w:locked/>
  </w:style>
  <w:style w:type="paragraph" w:customStyle="1" w:styleId="Nadpis1orobas">
    <w:name w:val="Nadpis 1.Čo robí (časť)"/>
    <w:basedOn w:val="Normal"/>
    <w:next w:val="Normal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semiHidden/>
    <w:pPr>
      <w:jc w:val="both"/>
    </w:pPr>
  </w:style>
  <w:style w:type="character" w:customStyle="1" w:styleId="ZkladntextChar">
    <w:name w:val="Základný text Char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rPr>
      <w:rFonts w:ascii="Times New Roman" w:hAnsi="Times New Roman" w:cs="Times New Roman"/>
      <w:b/>
      <w:noProof/>
      <w:kern w:val="32"/>
      <w:sz w:val="28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jc w:val="left"/>
    </w:pPr>
  </w:style>
  <w:style w:type="character" w:customStyle="1" w:styleId="TextkomentraChar">
    <w:name w:val="Text komentára Char"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ocked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semiHidden/>
    <w:unhideWhenUsed/>
    <w:pPr>
      <w:jc w:val="left"/>
    </w:pPr>
    <w:rPr>
      <w:b/>
      <w:bCs/>
    </w:rPr>
  </w:style>
  <w:style w:type="character" w:customStyle="1" w:styleId="PredmetkomentraChar">
    <w:name w:val="Predmet komentára Char"/>
    <w:semiHidden/>
    <w:locked/>
    <w:rPr>
      <w:rFonts w:ascii="Times New Roman" w:hAnsi="Times New Roman" w:cs="Times New Roman"/>
      <w:b/>
      <w:sz w:val="20"/>
    </w:rPr>
  </w:style>
  <w:style w:type="character" w:styleId="HTMLVariable">
    <w:name w:val="HTML Variable"/>
    <w:semiHidden/>
    <w:unhideWhenUsed/>
    <w:rPr>
      <w:i/>
    </w:rPr>
  </w:style>
  <w:style w:type="character" w:customStyle="1" w:styleId="apple-converted-space">
    <w:name w:val="apple-converted-space"/>
    <w:basedOn w:val="DefaultParagraphFont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7DC7A-E783-468D-B787-85FFF23EE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2107</Words>
  <Characters>12013</Characters>
  <Application>Microsoft Office Word</Application>
  <DocSecurity>0</DocSecurity>
  <Lines>0</Lines>
  <Paragraphs>0</Paragraphs>
  <ScaleCrop>false</ScaleCrop>
  <Company>Nebo</Company>
  <LinksUpToDate>false</LinksUpToDate>
  <CharactersWithSpaces>14092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Valaštínová</dc:creator>
  <cp:lastModifiedBy>Gašparíková, Jarmila</cp:lastModifiedBy>
  <cp:revision>2</cp:revision>
  <dcterms:created xsi:type="dcterms:W3CDTF">2014-02-28T20:34:00Z</dcterms:created>
  <dcterms:modified xsi:type="dcterms:W3CDTF">2014-02-28T20:34:00Z</dcterms:modified>
</cp:coreProperties>
</file>