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4A747C" w:rsidRPr="0017622F" w:rsidP="004A747C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ktorým sa mení a dopĺňa zákon č. 396/2012 Z. z. o Fonde na podporu vzdelávania</w:t>
      </w:r>
      <w:r>
        <w:rPr>
          <w:rFonts w:eastAsia="Times New Roman" w:cs="Times New Roman"/>
          <w:lang w:eastAsia="en-US" w:bidi="ar-SA"/>
        </w:rPr>
        <w:t xml:space="preserve"> v znení neskorších predpisov.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a)</w:t>
        <w:tab/>
        <w:t>nie je upravená v práve Európskej únie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4A747C" w:rsidRPr="0017622F" w:rsidP="004A747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4A747C" w:rsidRPr="00520E89" w:rsidP="004A747C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>Stupeň zlučiteľnosti - úplný</w:t>
      </w:r>
    </w:p>
    <w:p w:rsidR="004A747C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kona, ktorý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. 396/2012 Z. z. o Fonde na podporu vzdelá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vania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znení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predpisov.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5.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4268EC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kona nebude mať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vplyv na rozpoč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et verejnej sprá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vy, nakoľ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 Fond na podporu vzdelá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vania sa do tohto rozpoč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tu nezahŕň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a. 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kona bude mať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vplyv na hospodá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renie Fondu na podporu vzdelá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vania, ktorý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vš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ak vopred nie je mož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kvantifikovať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. 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Pozití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vny 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vplyv sa predpokladá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preto, lebo dlž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ní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ci Fondu na podporu vzdelá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vania, ktorí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š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tudentmi, budú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mô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cť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jednoduchš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ie a 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rý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chlejš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ie splatiť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svoju pôž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ič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ku, čí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m sa zí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skajú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pož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ič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ané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finanč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né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prostriedky skô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r. Negatí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vny vplyv sa odhaduje v 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sú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vislosti so stratou ú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r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o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kov z 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takto predč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asne vrá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tený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ch pôž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ič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iek a 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sč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asti aj z 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posunu splá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cania o 24 mesiacov v 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prí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pade narodenia dieť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ať</w:t>
      </w:r>
      <w:r w:rsidR="00FD5923">
        <w:rPr>
          <w:rFonts w:ascii="Times New Roman" w:hAnsi="Times New Roman" w:cs="Times New Roman" w:hint="default"/>
          <w:sz w:val="24"/>
          <w:szCs w:val="24"/>
          <w:lang w:val="sk-SK"/>
        </w:rPr>
        <w:t>a.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    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90548E" w:rsidRPr="0017622F" w:rsidP="0017622F">
      <w:pPr>
        <w:bidi w:val="0"/>
        <w:rPr>
          <w:b/>
        </w:rPr>
      </w:pP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66D36"/>
    <w:rsid w:val="00075997"/>
    <w:rsid w:val="00077A6C"/>
    <w:rsid w:val="000B2B2D"/>
    <w:rsid w:val="000B4E2E"/>
    <w:rsid w:val="0017622F"/>
    <w:rsid w:val="001A7996"/>
    <w:rsid w:val="001C16C5"/>
    <w:rsid w:val="001C5320"/>
    <w:rsid w:val="00271233"/>
    <w:rsid w:val="002840C1"/>
    <w:rsid w:val="002A2AC8"/>
    <w:rsid w:val="002D2DFF"/>
    <w:rsid w:val="00304EA7"/>
    <w:rsid w:val="00424490"/>
    <w:rsid w:val="004268EC"/>
    <w:rsid w:val="0045514F"/>
    <w:rsid w:val="004671E3"/>
    <w:rsid w:val="00472343"/>
    <w:rsid w:val="004A747C"/>
    <w:rsid w:val="004F3A27"/>
    <w:rsid w:val="00520E89"/>
    <w:rsid w:val="0052165C"/>
    <w:rsid w:val="00607635"/>
    <w:rsid w:val="006D6F09"/>
    <w:rsid w:val="00725031"/>
    <w:rsid w:val="00764085"/>
    <w:rsid w:val="007A02B4"/>
    <w:rsid w:val="00873B12"/>
    <w:rsid w:val="0088720C"/>
    <w:rsid w:val="008D1355"/>
    <w:rsid w:val="0090548E"/>
    <w:rsid w:val="009850EE"/>
    <w:rsid w:val="009B0620"/>
    <w:rsid w:val="00A47920"/>
    <w:rsid w:val="00A60058"/>
    <w:rsid w:val="00A94E37"/>
    <w:rsid w:val="00AA320B"/>
    <w:rsid w:val="00B26D60"/>
    <w:rsid w:val="00BB30C7"/>
    <w:rsid w:val="00BC6D0D"/>
    <w:rsid w:val="00C31244"/>
    <w:rsid w:val="00CA3A27"/>
    <w:rsid w:val="00CD5655"/>
    <w:rsid w:val="00D8244F"/>
    <w:rsid w:val="00DA4D1B"/>
    <w:rsid w:val="00E31184"/>
    <w:rsid w:val="00E50ED3"/>
    <w:rsid w:val="00ED5039"/>
    <w:rsid w:val="00EF3117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7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295</Words>
  <Characters>1686</Characters>
  <Application>Microsoft Office Word</Application>
  <DocSecurity>0</DocSecurity>
  <Lines>0</Lines>
  <Paragraphs>0</Paragraphs>
  <ScaleCrop>false</ScaleCrop>
  <Company>HP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2014-02-28T19:19:00Z</dcterms:created>
  <dcterms:modified xsi:type="dcterms:W3CDTF">2014-02-28T19:19:00Z</dcterms:modified>
</cp:coreProperties>
</file>