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0A59" w:rsidRPr="0017622F" w:rsidP="00C70A59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C70A59" w:rsidRPr="0017622F" w:rsidP="00C70A59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C70A59" w:rsidRPr="0017622F" w:rsidP="00C70A59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C70A59" w:rsidRPr="0017622F" w:rsidP="00C70A59">
      <w:pPr>
        <w:suppressAutoHyphens w:val="0"/>
        <w:autoSpaceDN w:val="0"/>
        <w:bidi w:val="0"/>
        <w:adjustRightInd w:val="0"/>
        <w:spacing w:line="200" w:lineRule="atLeast"/>
        <w:ind w:left="360" w:hanging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>skupina poslancov</w:t>
      </w:r>
      <w:r w:rsidRPr="0017622F">
        <w:rPr>
          <w:rFonts w:eastAsia="Times New Roman" w:cs="Times New Roman"/>
          <w:lang w:eastAsia="en-US" w:bidi="ar-SA"/>
        </w:rPr>
        <w:t xml:space="preserve"> Národnej rady Slovenskej republiky</w:t>
      </w:r>
    </w:p>
    <w:p w:rsidR="00C70A59" w:rsidRPr="0017622F" w:rsidP="00C70A59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C70A59" w:rsidP="00C70A59">
      <w:pPr>
        <w:suppressAutoHyphens w:val="0"/>
        <w:autoSpaceDN w:val="0"/>
        <w:bidi w:val="0"/>
        <w:adjustRightInd w:val="0"/>
        <w:spacing w:line="200" w:lineRule="atLeast"/>
        <w:jc w:val="both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2. Názov návrhu právneho predpisu:</w:t>
      </w:r>
      <w:r w:rsidRPr="0017622F">
        <w:rPr>
          <w:rFonts w:eastAsia="Times New Roman" w:cs="Times New Roman"/>
          <w:lang w:eastAsia="en-US" w:bidi="ar-SA"/>
        </w:rPr>
        <w:t xml:space="preserve"> Návrh zákona, </w:t>
      </w:r>
      <w:r w:rsidRPr="00AB04BA">
        <w:rPr>
          <w:rFonts w:eastAsia="Times New Roman" w:cs="Times New Roman"/>
          <w:lang w:eastAsia="en-US" w:bidi="ar-SA"/>
        </w:rPr>
        <w:t>ktorým sa mení a dopĺňa zákon č. 586/2003 Z. z. o advokácii a o zmene a doplnení zákona č. 455/1991 Zb. o živnostenskom podnikaní (živnostenský zákon) v znení neskorších predpisov a ktorým sa menia a dopĺňajú niektoré zákony</w:t>
      </w:r>
      <w:r>
        <w:rPr>
          <w:rFonts w:eastAsia="Times New Roman" w:cs="Times New Roman"/>
          <w:lang w:eastAsia="en-US" w:bidi="ar-SA"/>
        </w:rPr>
        <w:t>.</w:t>
      </w:r>
    </w:p>
    <w:p w:rsidR="00C70A59" w:rsidP="00C70A59">
      <w:pPr>
        <w:suppressAutoHyphens w:val="0"/>
        <w:autoSpaceDN w:val="0"/>
        <w:bidi w:val="0"/>
        <w:adjustRightInd w:val="0"/>
        <w:spacing w:line="200" w:lineRule="atLeast"/>
        <w:jc w:val="both"/>
        <w:rPr>
          <w:rFonts w:eastAsia="Times New Roman" w:cs="Times New Roman"/>
          <w:lang w:eastAsia="en-US" w:bidi="ar-SA"/>
        </w:rPr>
      </w:pPr>
    </w:p>
    <w:p w:rsidR="00C70A59" w:rsidRPr="0017622F" w:rsidP="00C70A59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3.</w:t>
        <w:tab/>
        <w:t>Problematika návrhu právneho predpisu:</w:t>
      </w:r>
    </w:p>
    <w:p w:rsidR="00C70A59" w:rsidRPr="0017622F" w:rsidP="00C70A59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C70A59" w:rsidP="00C70A59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a)</w:t>
        <w:tab/>
      </w:r>
      <w:r w:rsidRPr="0017622F">
        <w:rPr>
          <w:rFonts w:eastAsia="Times New Roman" w:cs="Times New Roman"/>
          <w:lang w:eastAsia="en-US" w:bidi="ar-SA"/>
        </w:rPr>
        <w:t>je upravená v práve Európskej únie</w:t>
      </w:r>
    </w:p>
    <w:p w:rsidR="00C70A59" w:rsidP="00C70A59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eastAsia="Times New Roman" w:cs="Times New Roman"/>
          <w:lang w:eastAsia="en-US" w:bidi="ar-SA"/>
        </w:rPr>
      </w:pPr>
    </w:p>
    <w:p w:rsidR="00C70A59" w:rsidP="00C70A59">
      <w:pPr>
        <w:pStyle w:val="ListParagraph"/>
        <w:numPr>
          <w:numId w:val="8"/>
        </w:num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Primárne právo</w:t>
      </w:r>
    </w:p>
    <w:p w:rsidR="00C70A59" w:rsidP="00C70A59">
      <w:p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</w:p>
    <w:p w:rsidR="00C70A59" w:rsidP="00C70A59">
      <w:p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- nie je upravená,</w:t>
      </w:r>
    </w:p>
    <w:p w:rsidR="00C70A59" w:rsidP="00C70A59">
      <w:p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</w:p>
    <w:p w:rsidR="00C70A59" w:rsidRPr="00944551" w:rsidP="00C70A59">
      <w:pPr>
        <w:pStyle w:val="ListParagraph"/>
        <w:widowControl/>
        <w:numPr>
          <w:numId w:val="8"/>
        </w:numPr>
        <w:tabs>
          <w:tab w:val="left" w:pos="993"/>
        </w:tabs>
        <w:suppressAutoHyphens w:val="0"/>
        <w:autoSpaceDE w:val="0"/>
        <w:autoSpaceDN w:val="0"/>
        <w:bidi w:val="0"/>
        <w:adjustRightInd w:val="0"/>
        <w:spacing w:line="200" w:lineRule="atLeast"/>
        <w:jc w:val="both"/>
      </w:pPr>
      <w:r w:rsidRPr="00EA6144">
        <w:rPr>
          <w:rFonts w:eastAsia="Times New Roman" w:cs="Times New Roman"/>
          <w:lang w:eastAsia="en-US" w:bidi="ar-SA"/>
        </w:rPr>
        <w:t>Sekundárne právo (</w:t>
      </w:r>
      <w:r w:rsidRPr="00EA6144">
        <w:rPr>
          <w:rFonts w:hint="default"/>
          <w:i/>
        </w:rPr>
        <w:t>prijaté</w:t>
      </w:r>
      <w:r w:rsidRPr="00EA6144">
        <w:rPr>
          <w:rFonts w:hint="default"/>
          <w:i/>
        </w:rPr>
        <w:t xml:space="preserve"> po nadobudnutí</w:t>
      </w:r>
      <w:r w:rsidRPr="00EA6144">
        <w:rPr>
          <w:rFonts w:hint="default"/>
          <w:i/>
        </w:rPr>
        <w:t xml:space="preserve"> platnosti Lisabonskej zmluvy, ktorou sa mení</w:t>
      </w:r>
      <w:r w:rsidRPr="00EA6144">
        <w:rPr>
          <w:rFonts w:hint="default"/>
          <w:i/>
        </w:rPr>
        <w:t xml:space="preserve"> a dopĺň</w:t>
      </w:r>
      <w:r w:rsidRPr="00EA6144">
        <w:rPr>
          <w:rFonts w:hint="default"/>
          <w:i/>
        </w:rPr>
        <w:t>a Zmluva o Euró</w:t>
      </w:r>
      <w:r w:rsidRPr="00EA6144">
        <w:rPr>
          <w:rFonts w:hint="default"/>
          <w:i/>
        </w:rPr>
        <w:t>pskom spoloč</w:t>
      </w:r>
      <w:r w:rsidRPr="00EA6144">
        <w:rPr>
          <w:rFonts w:hint="default"/>
          <w:i/>
        </w:rPr>
        <w:t xml:space="preserve">enstve a Zmluva o </w:t>
      </w:r>
      <w:r w:rsidRPr="00EA6144">
        <w:rPr>
          <w:rFonts w:hint="default"/>
          <w:i/>
        </w:rPr>
        <w:t>Euró</w:t>
      </w:r>
      <w:r w:rsidRPr="00EA6144">
        <w:rPr>
          <w:rFonts w:hint="default"/>
          <w:i/>
        </w:rPr>
        <w:t>pskej ú</w:t>
      </w:r>
      <w:r w:rsidRPr="00EA6144">
        <w:rPr>
          <w:rFonts w:hint="default"/>
          <w:i/>
        </w:rPr>
        <w:t xml:space="preserve">nii </w:t>
      </w:r>
      <w:r w:rsidRPr="00EA6144">
        <w:rPr>
          <w:rFonts w:hint="default"/>
          <w:i/>
        </w:rPr>
        <w:t>–</w:t>
      </w:r>
      <w:r w:rsidRPr="00EA6144">
        <w:rPr>
          <w:rFonts w:hint="default"/>
          <w:i/>
        </w:rPr>
        <w:t xml:space="preserve"> po 30. novembri 2009)</w:t>
      </w:r>
    </w:p>
    <w:p w:rsidR="00C70A59" w:rsidP="00C70A59">
      <w:pPr>
        <w:widowControl/>
        <w:tabs>
          <w:tab w:val="left" w:pos="993"/>
        </w:tabs>
        <w:bidi w:val="0"/>
        <w:ind w:left="709"/>
        <w:jc w:val="both"/>
      </w:pPr>
    </w:p>
    <w:p w:rsidR="00C70A59" w:rsidRPr="00EA6144" w:rsidP="00C70A59">
      <w:pPr>
        <w:widowControl/>
        <w:tabs>
          <w:tab w:val="left" w:pos="993"/>
        </w:tabs>
        <w:suppressAutoHyphens w:val="0"/>
        <w:autoSpaceDE w:val="0"/>
        <w:autoSpaceDN w:val="0"/>
        <w:bidi w:val="0"/>
        <w:adjustRightInd w:val="0"/>
        <w:jc w:val="both"/>
        <w:rPr>
          <w:rFonts w:hint="default"/>
          <w:u w:val="single"/>
        </w:rPr>
      </w:pPr>
      <w:r>
        <w:rPr>
          <w:u w:val="single"/>
        </w:rPr>
        <w:t xml:space="preserve">1. </w:t>
      </w:r>
      <w:r w:rsidRPr="00EA6144">
        <w:rPr>
          <w:rFonts w:hint="default"/>
          <w:u w:val="single"/>
        </w:rPr>
        <w:t>legislatí</w:t>
      </w:r>
      <w:r w:rsidRPr="00EA6144">
        <w:rPr>
          <w:rFonts w:hint="default"/>
          <w:u w:val="single"/>
        </w:rPr>
        <w:t>vne akty</w:t>
      </w:r>
    </w:p>
    <w:p w:rsidR="00C70A59" w:rsidP="00C70A59">
      <w:pPr>
        <w:widowControl/>
        <w:bidi w:val="0"/>
        <w:ind w:left="720"/>
        <w:jc w:val="both"/>
      </w:pPr>
    </w:p>
    <w:p w:rsidR="00C70A59" w:rsidP="00C70A59">
      <w:pPr>
        <w:widowControl/>
        <w:bidi w:val="0"/>
        <w:jc w:val="both"/>
        <w:rPr>
          <w:rFonts w:hint="default"/>
        </w:rPr>
      </w:pPr>
      <w:r>
        <w:rPr>
          <w:rFonts w:hint="default"/>
        </w:rPr>
        <w:t>- nie je upravená,</w:t>
      </w:r>
    </w:p>
    <w:p w:rsidR="00C70A59" w:rsidP="00C70A59">
      <w:pPr>
        <w:widowControl/>
        <w:tabs>
          <w:tab w:val="left" w:pos="993"/>
        </w:tabs>
        <w:bidi w:val="0"/>
        <w:ind w:left="1134"/>
        <w:jc w:val="both"/>
      </w:pPr>
    </w:p>
    <w:p w:rsidR="00C70A59" w:rsidP="00C70A59">
      <w:pPr>
        <w:widowControl/>
        <w:tabs>
          <w:tab w:val="left" w:pos="993"/>
        </w:tabs>
        <w:suppressAutoHyphens w:val="0"/>
        <w:autoSpaceDE w:val="0"/>
        <w:autoSpaceDN w:val="0"/>
        <w:bidi w:val="0"/>
        <w:adjustRightInd w:val="0"/>
        <w:jc w:val="both"/>
        <w:rPr>
          <w:u w:val="single"/>
        </w:rPr>
      </w:pPr>
      <w:r>
        <w:rPr>
          <w:u w:val="single"/>
        </w:rPr>
        <w:t xml:space="preserve">2. </w:t>
      </w:r>
      <w:r w:rsidRPr="00EA6144">
        <w:rPr>
          <w:rFonts w:hint="default"/>
          <w:u w:val="single"/>
        </w:rPr>
        <w:t>nelegislatí</w:t>
      </w:r>
      <w:r w:rsidRPr="00EA6144">
        <w:rPr>
          <w:rFonts w:hint="default"/>
          <w:u w:val="single"/>
        </w:rPr>
        <w:t>vne akty</w:t>
      </w:r>
    </w:p>
    <w:p w:rsidR="00C70A59" w:rsidP="00C70A59">
      <w:pPr>
        <w:widowControl/>
        <w:tabs>
          <w:tab w:val="left" w:pos="993"/>
        </w:tabs>
        <w:suppressAutoHyphens w:val="0"/>
        <w:autoSpaceDE w:val="0"/>
        <w:autoSpaceDN w:val="0"/>
        <w:bidi w:val="0"/>
        <w:adjustRightInd w:val="0"/>
        <w:jc w:val="both"/>
        <w:rPr>
          <w:u w:val="single"/>
        </w:rPr>
      </w:pPr>
    </w:p>
    <w:p w:rsidR="00C70A59" w:rsidRPr="00EA6144" w:rsidP="00C70A59">
      <w:pPr>
        <w:widowControl/>
        <w:tabs>
          <w:tab w:val="left" w:pos="993"/>
        </w:tabs>
        <w:suppressAutoHyphens w:val="0"/>
        <w:autoSpaceDE w:val="0"/>
        <w:autoSpaceDN w:val="0"/>
        <w:bidi w:val="0"/>
        <w:adjustRightInd w:val="0"/>
        <w:jc w:val="both"/>
      </w:pPr>
      <w:r w:rsidRPr="00EA6144">
        <w:t>- n</w:t>
      </w:r>
      <w:r>
        <w:rPr>
          <w:rFonts w:hint="default"/>
        </w:rPr>
        <w:t>ie je upravená,</w:t>
      </w:r>
    </w:p>
    <w:p w:rsidR="00C70A59" w:rsidP="00C70A59">
      <w:pPr>
        <w:widowControl/>
        <w:tabs>
          <w:tab w:val="left" w:pos="993"/>
        </w:tabs>
        <w:bidi w:val="0"/>
        <w:ind w:left="709"/>
        <w:jc w:val="both"/>
      </w:pPr>
    </w:p>
    <w:p w:rsidR="00C70A59" w:rsidRPr="00F754B5" w:rsidP="00C70A59">
      <w:pPr>
        <w:pStyle w:val="ListParagraph"/>
        <w:widowControl/>
        <w:numPr>
          <w:numId w:val="8"/>
        </w:numPr>
        <w:tabs>
          <w:tab w:val="left" w:pos="993"/>
        </w:tabs>
        <w:suppressAutoHyphens w:val="0"/>
        <w:autoSpaceDE w:val="0"/>
        <w:autoSpaceDN w:val="0"/>
        <w:bidi w:val="0"/>
        <w:adjustRightInd w:val="0"/>
        <w:ind w:left="708"/>
        <w:jc w:val="both"/>
        <w:rPr>
          <w:rFonts w:hint="default"/>
          <w:i/>
        </w:rPr>
      </w:pPr>
      <w:r w:rsidRPr="00F754B5">
        <w:rPr>
          <w:rFonts w:hint="default"/>
          <w:i/>
        </w:rPr>
        <w:t>Sekundá</w:t>
      </w:r>
      <w:r w:rsidRPr="00F754B5">
        <w:rPr>
          <w:rFonts w:hint="default"/>
          <w:i/>
        </w:rPr>
        <w:t>rne prá</w:t>
      </w:r>
      <w:r w:rsidRPr="00F754B5">
        <w:rPr>
          <w:rFonts w:hint="default"/>
          <w:i/>
        </w:rPr>
        <w:t>vo (prijaté</w:t>
      </w:r>
      <w:r w:rsidRPr="00F754B5">
        <w:rPr>
          <w:rFonts w:hint="default"/>
          <w:i/>
        </w:rPr>
        <w:t xml:space="preserve"> pred nadobudnutí</w:t>
      </w:r>
      <w:r w:rsidRPr="00F754B5">
        <w:rPr>
          <w:rFonts w:hint="default"/>
          <w:i/>
        </w:rPr>
        <w:t>m platnosti Lisabonskej zmluvy, ktorou sa mení</w:t>
      </w:r>
      <w:r w:rsidRPr="00F754B5">
        <w:rPr>
          <w:rFonts w:hint="default"/>
          <w:i/>
        </w:rPr>
        <w:t xml:space="preserve"> a dopĺň</w:t>
      </w:r>
      <w:r w:rsidRPr="00F754B5">
        <w:rPr>
          <w:rFonts w:hint="default"/>
          <w:i/>
        </w:rPr>
        <w:t>a Zmluva o Euró</w:t>
      </w:r>
      <w:r w:rsidRPr="00F754B5">
        <w:rPr>
          <w:rFonts w:hint="default"/>
          <w:i/>
        </w:rPr>
        <w:t>pskom spoloč</w:t>
      </w:r>
      <w:r w:rsidRPr="00F754B5">
        <w:rPr>
          <w:rFonts w:hint="default"/>
          <w:i/>
        </w:rPr>
        <w:t xml:space="preserve">enstve </w:t>
      </w:r>
      <w:r w:rsidRPr="00F754B5">
        <w:rPr>
          <w:rFonts w:hint="default"/>
          <w:i/>
        </w:rPr>
        <w:t>a Zmluva o Euró</w:t>
      </w:r>
      <w:r w:rsidRPr="00F754B5">
        <w:rPr>
          <w:rFonts w:hint="default"/>
          <w:i/>
        </w:rPr>
        <w:t>pskej ú</w:t>
      </w:r>
      <w:r w:rsidRPr="00F754B5">
        <w:rPr>
          <w:rFonts w:hint="default"/>
          <w:i/>
        </w:rPr>
        <w:t xml:space="preserve">nii </w:t>
      </w:r>
      <w:r w:rsidRPr="00F754B5">
        <w:rPr>
          <w:rFonts w:hint="default"/>
          <w:i/>
        </w:rPr>
        <w:t>–</w:t>
      </w:r>
      <w:r w:rsidRPr="00F754B5">
        <w:rPr>
          <w:rFonts w:hint="default"/>
          <w:i/>
        </w:rPr>
        <w:t xml:space="preserve"> do 30. novembra 2009)</w:t>
      </w:r>
    </w:p>
    <w:p w:rsidR="00C70A59" w:rsidP="00C70A59">
      <w:pPr>
        <w:widowControl/>
        <w:tabs>
          <w:tab w:val="left" w:pos="993"/>
        </w:tabs>
        <w:bidi w:val="0"/>
        <w:ind w:left="708"/>
        <w:jc w:val="both"/>
      </w:pPr>
    </w:p>
    <w:p w:rsidR="00C70A59" w:rsidP="00C70A59">
      <w:pPr>
        <w:widowControl/>
        <w:tabs>
          <w:tab w:val="left" w:pos="993"/>
        </w:tabs>
        <w:bidi w:val="0"/>
        <w:jc w:val="both"/>
      </w:pPr>
      <w:r>
        <w:t xml:space="preserve">- </w:t>
      </w:r>
      <w:r w:rsidRPr="00F015E7">
        <w:t xml:space="preserve">Smernica </w:t>
      </w:r>
      <w:r w:rsidRPr="00E70913">
        <w:t xml:space="preserve">Rady </w:t>
      </w:r>
      <w:r>
        <w:rPr>
          <w:rFonts w:hint="default"/>
        </w:rPr>
        <w:t>č</w:t>
      </w:r>
      <w:r>
        <w:rPr>
          <w:rFonts w:hint="default"/>
        </w:rPr>
        <w:t xml:space="preserve">. 77/249/EHS </w:t>
      </w:r>
      <w:r w:rsidRPr="00E70913">
        <w:t>z </w:t>
      </w:r>
      <w:r w:rsidRPr="00E70913">
        <w:rPr>
          <w:rFonts w:hint="default"/>
        </w:rPr>
        <w:t>22. marca 1977 na uľ</w:t>
      </w:r>
      <w:r w:rsidRPr="00E70913">
        <w:rPr>
          <w:rFonts w:hint="default"/>
        </w:rPr>
        <w:t>ahč</w:t>
      </w:r>
      <w:r w:rsidRPr="00E70913">
        <w:rPr>
          <w:rFonts w:hint="default"/>
        </w:rPr>
        <w:t>enie úč</w:t>
      </w:r>
      <w:r w:rsidRPr="00E70913">
        <w:rPr>
          <w:rFonts w:hint="default"/>
        </w:rPr>
        <w:t>inné</w:t>
      </w:r>
      <w:r w:rsidRPr="00E70913">
        <w:rPr>
          <w:rFonts w:hint="default"/>
        </w:rPr>
        <w:t>ho vý</w:t>
      </w:r>
      <w:r w:rsidRPr="00E70913">
        <w:rPr>
          <w:rFonts w:hint="default"/>
        </w:rPr>
        <w:t>konu slobody prá</w:t>
      </w:r>
      <w:r w:rsidRPr="00E70913">
        <w:rPr>
          <w:rFonts w:hint="default"/>
        </w:rPr>
        <w:t>vnikov poskytovať</w:t>
      </w:r>
      <w:r w:rsidRPr="00E70913">
        <w:rPr>
          <w:rFonts w:hint="default"/>
        </w:rPr>
        <w:t xml:space="preserve"> služ</w:t>
      </w:r>
      <w:r w:rsidRPr="00E70913">
        <w:rPr>
          <w:rFonts w:hint="default"/>
        </w:rPr>
        <w:t>by (Mimoriadne vydanie Ú</w:t>
      </w:r>
      <w:r w:rsidRPr="00E70913">
        <w:rPr>
          <w:rFonts w:hint="default"/>
        </w:rPr>
        <w:t>. v. EÚ</w:t>
      </w:r>
      <w:r w:rsidRPr="00E70913">
        <w:rPr>
          <w:rFonts w:hint="default"/>
        </w:rPr>
        <w:t xml:space="preserve">, kap. 6/zv. 1), </w:t>
      </w:r>
    </w:p>
    <w:p w:rsidR="00C70A59" w:rsidRPr="00E70913" w:rsidP="00C70A59">
      <w:pPr>
        <w:widowControl/>
        <w:tabs>
          <w:tab w:val="left" w:pos="993"/>
        </w:tabs>
        <w:bidi w:val="0"/>
        <w:jc w:val="both"/>
      </w:pPr>
    </w:p>
    <w:p w:rsidR="00C70A59" w:rsidRPr="0017622F" w:rsidP="00C70A59">
      <w:pPr>
        <w:widowControl/>
        <w:bidi w:val="0"/>
        <w:jc w:val="both"/>
        <w:rPr>
          <w:rFonts w:ascii="Calibri" w:hAnsi="Calibri" w:cs="Times New Roman"/>
          <w:sz w:val="22"/>
          <w:lang w:eastAsia="en-US" w:bidi="ar-SA"/>
        </w:rPr>
      </w:pPr>
      <w:r>
        <w:t xml:space="preserve">- </w:t>
      </w:r>
      <w:r w:rsidRPr="00EC0F41">
        <w:t>Smernic</w:t>
      </w:r>
      <w:r>
        <w:t>a</w:t>
      </w:r>
      <w:r w:rsidRPr="00EC0F41">
        <w:t xml:space="preserve"> </w:t>
      </w:r>
      <w:r>
        <w:rPr>
          <w:rFonts w:hint="default"/>
        </w:rPr>
        <w:t>Euró</w:t>
      </w:r>
      <w:r>
        <w:rPr>
          <w:rFonts w:hint="default"/>
        </w:rPr>
        <w:t>pskeho parlamentu a </w:t>
      </w:r>
      <w:r w:rsidRPr="00EC0F41">
        <w:t>Rady</w:t>
      </w:r>
      <w:r>
        <w:rPr>
          <w:rFonts w:hint="default"/>
        </w:rPr>
        <w:t xml:space="preserve"> č</w:t>
      </w:r>
      <w:r>
        <w:rPr>
          <w:rFonts w:hint="default"/>
        </w:rPr>
        <w:t>. 98/</w:t>
      </w:r>
      <w:r>
        <w:rPr>
          <w:rFonts w:hint="default"/>
        </w:rPr>
        <w:t>5/ES</w:t>
      </w:r>
      <w:r w:rsidRPr="00EC0F41">
        <w:t xml:space="preserve"> </w:t>
      </w:r>
      <w:r>
        <w:rPr>
          <w:rFonts w:hint="default"/>
        </w:rPr>
        <w:t>zo 16. februá</w:t>
      </w:r>
      <w:r>
        <w:rPr>
          <w:rFonts w:hint="default"/>
        </w:rPr>
        <w:t xml:space="preserve">ra </w:t>
      </w:r>
      <w:r w:rsidRPr="00E70913">
        <w:t>1998 o </w:t>
      </w:r>
      <w:r w:rsidRPr="00E70913">
        <w:rPr>
          <w:rFonts w:hint="default"/>
        </w:rPr>
        <w:t>uľ</w:t>
      </w:r>
      <w:r w:rsidRPr="00E70913">
        <w:rPr>
          <w:rFonts w:hint="default"/>
        </w:rPr>
        <w:t>ahč</w:t>
      </w:r>
      <w:r w:rsidRPr="00E70913">
        <w:rPr>
          <w:rFonts w:hint="default"/>
        </w:rPr>
        <w:t>ení</w:t>
      </w:r>
      <w:r w:rsidRPr="00E70913">
        <w:rPr>
          <w:rFonts w:hint="default"/>
        </w:rPr>
        <w:t xml:space="preserve"> trvalé</w:t>
      </w:r>
      <w:r w:rsidRPr="00E70913">
        <w:rPr>
          <w:rFonts w:hint="default"/>
        </w:rPr>
        <w:t>ho vý</w:t>
      </w:r>
      <w:r w:rsidRPr="00E70913">
        <w:rPr>
          <w:rFonts w:hint="default"/>
        </w:rPr>
        <w:t>konu prá</w:t>
      </w:r>
      <w:r w:rsidRPr="00E70913">
        <w:rPr>
          <w:rFonts w:hint="default"/>
        </w:rPr>
        <w:t>vnické</w:t>
      </w:r>
      <w:r w:rsidRPr="00E70913">
        <w:rPr>
          <w:rFonts w:hint="default"/>
        </w:rPr>
        <w:t>ho povolania v </w:t>
      </w:r>
      <w:r w:rsidRPr="00E70913">
        <w:rPr>
          <w:rFonts w:hint="default"/>
        </w:rPr>
        <w:t>inom č</w:t>
      </w:r>
      <w:r w:rsidRPr="00E70913">
        <w:rPr>
          <w:rFonts w:hint="default"/>
        </w:rPr>
        <w:t>lenskom š</w:t>
      </w:r>
      <w:r w:rsidRPr="00E70913">
        <w:rPr>
          <w:rFonts w:hint="default"/>
        </w:rPr>
        <w:t>tá</w:t>
      </w:r>
      <w:r w:rsidRPr="00E70913">
        <w:rPr>
          <w:rFonts w:hint="default"/>
        </w:rPr>
        <w:t>te ako v </w:t>
      </w:r>
      <w:r w:rsidRPr="00E70913">
        <w:rPr>
          <w:rFonts w:hint="default"/>
        </w:rPr>
        <w:t>tom, kde bola zí</w:t>
      </w:r>
      <w:r w:rsidRPr="00E70913">
        <w:rPr>
          <w:rFonts w:hint="default"/>
        </w:rPr>
        <w:t>skaná</w:t>
      </w:r>
      <w:r w:rsidRPr="00E70913">
        <w:rPr>
          <w:rFonts w:hint="default"/>
        </w:rPr>
        <w:t xml:space="preserve"> kvalifiká</w:t>
      </w:r>
      <w:r w:rsidRPr="00E70913">
        <w:rPr>
          <w:rFonts w:hint="default"/>
        </w:rPr>
        <w:t>cia (Mimoriadne vydanie Ú</w:t>
      </w:r>
      <w:r w:rsidRPr="00E70913">
        <w:rPr>
          <w:rFonts w:hint="default"/>
        </w:rPr>
        <w:t>. v. EÚ</w:t>
      </w:r>
      <w:r w:rsidRPr="00E70913">
        <w:rPr>
          <w:rFonts w:hint="default"/>
        </w:rPr>
        <w:t xml:space="preserve">, kap. </w:t>
      </w:r>
      <w:r>
        <w:t>6</w:t>
      </w:r>
      <w:r w:rsidRPr="00E70913">
        <w:t xml:space="preserve">/zv. </w:t>
      </w:r>
      <w:r>
        <w:t>3).</w:t>
      </w:r>
    </w:p>
    <w:p w:rsidR="00C70A59" w:rsidRPr="0017622F" w:rsidP="00C70A59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C70A59" w:rsidRPr="0017622F" w:rsidP="00C70A59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b)</w:t>
        <w:tab/>
        <w:t>nie je obsiahnutá v judikatúre Súdneho dvora Európskej únie.</w:t>
      </w:r>
    </w:p>
    <w:p w:rsidR="00C70A59" w:rsidRPr="0017622F" w:rsidP="00C70A59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</w:p>
    <w:p w:rsidR="00C70A59" w:rsidRPr="0017622F" w:rsidP="00C70A59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4.</w:t>
        <w:tab/>
        <w:t xml:space="preserve">Záväzky Slovenskej republiky vo vzťahu k Európskej únii: </w:t>
      </w:r>
    </w:p>
    <w:p w:rsidR="00C70A59" w:rsidRPr="0017622F" w:rsidP="00C70A59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C70A59" w:rsidRPr="0017622F" w:rsidP="00C70A59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bezpredmetné</w:t>
      </w:r>
    </w:p>
    <w:p w:rsidR="00C70A59" w:rsidRPr="0017622F" w:rsidP="00C70A59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</w:p>
    <w:p w:rsidR="00C70A59" w:rsidRPr="0017622F" w:rsidP="00C70A59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5.</w:t>
        <w:tab/>
        <w:t>Stupeň zlučiteľnosti návrhu právneho predpisu s právom Európskej únie:</w:t>
      </w:r>
    </w:p>
    <w:p w:rsidR="00C70A59" w:rsidRPr="0017622F" w:rsidP="00C70A59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C70A59" w:rsidRPr="00520E89" w:rsidP="00C70A59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cs="Times New Roman"/>
          <w:sz w:val="28"/>
          <w:szCs w:val="28"/>
        </w:rPr>
      </w:pPr>
      <w:r w:rsidRPr="0017622F">
        <w:rPr>
          <w:rFonts w:eastAsia="Times New Roman" w:cs="Times New Roman"/>
          <w:lang w:eastAsia="en-US" w:bidi="ar-SA"/>
        </w:rPr>
        <w:t>Stupeň zlučiteľnosti - úplný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AB04BA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vrh zá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kona, 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>ktorý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>m sa mení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>a dopĺň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>a zá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>kon č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>. 586/2003 Z. z. o advoká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>cii a o zmene a doplnení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>kona č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>. 455/1991 Zb. o ž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>ivnostenskom podnikaní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(ž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>ivnostenský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>kon) v znení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neskorší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>ch predpisov a ktorý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>m sa menia a dopĺň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>ajú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niektoré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AB04BA" w:rsidR="00AB04BA">
        <w:rPr>
          <w:rFonts w:ascii="Times New Roman" w:hAnsi="Times New Roman" w:cs="Times New Roman" w:hint="default"/>
          <w:sz w:val="24"/>
          <w:szCs w:val="24"/>
          <w:lang w:val="sk-SK"/>
        </w:rPr>
        <w:t>kony</w:t>
      </w:r>
      <w:r w:rsidR="00AB04BA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BB30C7" w:rsidRPr="00764085" w:rsidP="00BB30C7">
      <w:pPr>
        <w:pStyle w:val="Vchodzie"/>
        <w:bidi w:val="0"/>
        <w:spacing w:after="0" w:line="200" w:lineRule="atLeast"/>
        <w:ind w:left="360" w:hanging="360"/>
        <w:rPr>
          <w:rFonts w:cs="Times New Roman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AB04BA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03561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2C73C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2C73CB" w:rsidP="00B54479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B54479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AB04B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2C73CB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B54479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B54479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2C73C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2C73CB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B54479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AA320B" w:rsidP="00BB30C7">
      <w:pPr>
        <w:pStyle w:val="Vchodzie"/>
        <w:bidi w:val="0"/>
        <w:jc w:val="both"/>
        <w:rPr>
          <w:rFonts w:cs="Times New Roman"/>
          <w:kern w:val="24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2C73CB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sectPr w:rsidSect="001A799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66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479" w:rsidRPr="00DF2A66" w:rsidP="00DF2A66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66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66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66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66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780E"/>
    <w:multiLevelType w:val="hybridMultilevel"/>
    <w:tmpl w:val="277AD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412A5"/>
    <w:multiLevelType w:val="hybridMultilevel"/>
    <w:tmpl w:val="F34C75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520325"/>
    <w:multiLevelType w:val="hybridMultilevel"/>
    <w:tmpl w:val="81D44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3DA7293"/>
    <w:multiLevelType w:val="hybridMultilevel"/>
    <w:tmpl w:val="12803708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1091C3C"/>
    <w:multiLevelType w:val="hybridMultilevel"/>
    <w:tmpl w:val="693A4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doNotTrackMoves/>
  <w:defaultTabStop w:val="708"/>
  <w:hyphenationZone w:val="425"/>
  <w:characterSpacingControl w:val="doNotCompress"/>
  <w:compat/>
  <w:rsids>
    <w:rsidRoot w:val="00873B12"/>
    <w:rsid w:val="00026A70"/>
    <w:rsid w:val="0003434F"/>
    <w:rsid w:val="00075997"/>
    <w:rsid w:val="00077A6C"/>
    <w:rsid w:val="00091102"/>
    <w:rsid w:val="000B2B2D"/>
    <w:rsid w:val="000B4E2E"/>
    <w:rsid w:val="000C77FF"/>
    <w:rsid w:val="000E041A"/>
    <w:rsid w:val="000F5EB5"/>
    <w:rsid w:val="00112966"/>
    <w:rsid w:val="0017622F"/>
    <w:rsid w:val="001A09EB"/>
    <w:rsid w:val="001A7996"/>
    <w:rsid w:val="001C5320"/>
    <w:rsid w:val="001C7843"/>
    <w:rsid w:val="00246832"/>
    <w:rsid w:val="0025197F"/>
    <w:rsid w:val="00271233"/>
    <w:rsid w:val="00276AF3"/>
    <w:rsid w:val="002C73CB"/>
    <w:rsid w:val="002D2DFF"/>
    <w:rsid w:val="0033147A"/>
    <w:rsid w:val="00390BAE"/>
    <w:rsid w:val="00403561"/>
    <w:rsid w:val="00424490"/>
    <w:rsid w:val="004268EC"/>
    <w:rsid w:val="0045514F"/>
    <w:rsid w:val="004604D8"/>
    <w:rsid w:val="004671E3"/>
    <w:rsid w:val="004C4E9A"/>
    <w:rsid w:val="004F3A27"/>
    <w:rsid w:val="00515664"/>
    <w:rsid w:val="00520E89"/>
    <w:rsid w:val="0052165C"/>
    <w:rsid w:val="0054561D"/>
    <w:rsid w:val="00562D48"/>
    <w:rsid w:val="005A6986"/>
    <w:rsid w:val="005A76A8"/>
    <w:rsid w:val="005B3438"/>
    <w:rsid w:val="005B3517"/>
    <w:rsid w:val="005D0CF3"/>
    <w:rsid w:val="005F4463"/>
    <w:rsid w:val="006013BC"/>
    <w:rsid w:val="00632296"/>
    <w:rsid w:val="006558C0"/>
    <w:rsid w:val="006B4203"/>
    <w:rsid w:val="006D60D0"/>
    <w:rsid w:val="006D6F09"/>
    <w:rsid w:val="006E6879"/>
    <w:rsid w:val="00706813"/>
    <w:rsid w:val="00736655"/>
    <w:rsid w:val="007448D3"/>
    <w:rsid w:val="00764085"/>
    <w:rsid w:val="00774A59"/>
    <w:rsid w:val="00774B24"/>
    <w:rsid w:val="007765EA"/>
    <w:rsid w:val="007A02B4"/>
    <w:rsid w:val="007A3852"/>
    <w:rsid w:val="007D14D5"/>
    <w:rsid w:val="00801889"/>
    <w:rsid w:val="00873B12"/>
    <w:rsid w:val="008C7714"/>
    <w:rsid w:val="008D1355"/>
    <w:rsid w:val="0090548E"/>
    <w:rsid w:val="00944551"/>
    <w:rsid w:val="00975F2A"/>
    <w:rsid w:val="00977833"/>
    <w:rsid w:val="00981CED"/>
    <w:rsid w:val="00984E2A"/>
    <w:rsid w:val="009850EE"/>
    <w:rsid w:val="009A3C33"/>
    <w:rsid w:val="009E08AE"/>
    <w:rsid w:val="00A22761"/>
    <w:rsid w:val="00A267B7"/>
    <w:rsid w:val="00A60058"/>
    <w:rsid w:val="00A87A6C"/>
    <w:rsid w:val="00AA320B"/>
    <w:rsid w:val="00AB04BA"/>
    <w:rsid w:val="00B26D60"/>
    <w:rsid w:val="00B27A96"/>
    <w:rsid w:val="00B27D05"/>
    <w:rsid w:val="00B54479"/>
    <w:rsid w:val="00BB30C7"/>
    <w:rsid w:val="00BB3E13"/>
    <w:rsid w:val="00BD4E39"/>
    <w:rsid w:val="00BD666F"/>
    <w:rsid w:val="00C31244"/>
    <w:rsid w:val="00C6775B"/>
    <w:rsid w:val="00C70A59"/>
    <w:rsid w:val="00CD5655"/>
    <w:rsid w:val="00DA4D1B"/>
    <w:rsid w:val="00DD415C"/>
    <w:rsid w:val="00DF2A66"/>
    <w:rsid w:val="00E31184"/>
    <w:rsid w:val="00E313F4"/>
    <w:rsid w:val="00E32D85"/>
    <w:rsid w:val="00E50ED3"/>
    <w:rsid w:val="00E67F56"/>
    <w:rsid w:val="00E70913"/>
    <w:rsid w:val="00E76250"/>
    <w:rsid w:val="00E97A16"/>
    <w:rsid w:val="00EA6144"/>
    <w:rsid w:val="00EC0F41"/>
    <w:rsid w:val="00EC726E"/>
    <w:rsid w:val="00ED5039"/>
    <w:rsid w:val="00EE7B57"/>
    <w:rsid w:val="00F015E7"/>
    <w:rsid w:val="00F02695"/>
    <w:rsid w:val="00F232ED"/>
    <w:rsid w:val="00F30B7F"/>
    <w:rsid w:val="00F56B4E"/>
    <w:rsid w:val="00F6061C"/>
    <w:rsid w:val="00F60E00"/>
    <w:rsid w:val="00F74421"/>
    <w:rsid w:val="00F754B5"/>
    <w:rsid w:val="00FA08DC"/>
    <w:rsid w:val="00FB7CB4"/>
    <w:rsid w:val="00FC4A32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8C0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character" w:customStyle="1" w:styleId="ppp-input-value1">
    <w:name w:val="ppp-input-value1"/>
    <w:rsid w:val="00EA6144"/>
    <w:rPr>
      <w:rFonts w:ascii="Tahoma" w:hAnsi="Tahoma" w:cs="Tahoma"/>
      <w:color w:val="837A7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364</Words>
  <Characters>2078</Characters>
  <Application>Microsoft Office Word</Application>
  <DocSecurity>0</DocSecurity>
  <Lines>0</Lines>
  <Paragraphs>0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2014-02-28T18:59:00Z</dcterms:created>
  <dcterms:modified xsi:type="dcterms:W3CDTF">2014-02-28T18:59:00Z</dcterms:modified>
</cp:coreProperties>
</file>