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55DF8" w:rsidRPr="001E5E02" w:rsidP="00AF3E6D">
      <w:pPr>
        <w:pBdr>
          <w:bottom w:val="single" w:sz="12" w:space="1" w:color="auto"/>
        </w:pBdr>
        <w:bidi w:val="0"/>
        <w:spacing w:before="120" w:line="276" w:lineRule="auto"/>
        <w:jc w:val="center"/>
        <w:rPr>
          <w:rFonts w:ascii="Book Antiqua" w:hAnsi="Book Antiqua"/>
          <w:b/>
          <w:spacing w:val="20"/>
          <w:sz w:val="22"/>
          <w:szCs w:val="22"/>
        </w:rPr>
      </w:pPr>
      <w:r w:rsidRPr="001E5E02">
        <w:rPr>
          <w:rFonts w:ascii="Book Antiqua" w:hAnsi="Book Antiqua"/>
          <w:b/>
          <w:spacing w:val="20"/>
          <w:sz w:val="22"/>
          <w:szCs w:val="22"/>
        </w:rPr>
        <w:t>NÁRODNÁ  RADA  SLOVENSKEJ  REPUBLIKY</w:t>
      </w:r>
    </w:p>
    <w:p w:rsidR="00355DF8" w:rsidRPr="001E5E02" w:rsidP="00AF3E6D">
      <w:pPr>
        <w:bidi w:val="0"/>
        <w:spacing w:before="120" w:line="276" w:lineRule="auto"/>
        <w:jc w:val="center"/>
        <w:rPr>
          <w:rFonts w:ascii="Book Antiqua" w:hAnsi="Book Antiqua"/>
          <w:spacing w:val="20"/>
          <w:sz w:val="22"/>
          <w:szCs w:val="22"/>
        </w:rPr>
      </w:pPr>
    </w:p>
    <w:p w:rsidR="00355DF8" w:rsidRPr="001E5E02" w:rsidP="00AF3E6D">
      <w:pPr>
        <w:bidi w:val="0"/>
        <w:spacing w:before="120" w:line="276" w:lineRule="auto"/>
        <w:jc w:val="center"/>
        <w:rPr>
          <w:rFonts w:ascii="Book Antiqua" w:hAnsi="Book Antiqua"/>
          <w:spacing w:val="20"/>
          <w:sz w:val="22"/>
          <w:szCs w:val="22"/>
        </w:rPr>
      </w:pPr>
      <w:r w:rsidRPr="001E5E02">
        <w:rPr>
          <w:rFonts w:ascii="Book Antiqua" w:hAnsi="Book Antiqua"/>
          <w:spacing w:val="20"/>
          <w:sz w:val="22"/>
          <w:szCs w:val="22"/>
        </w:rPr>
        <w:t>VI. volebné obdobie</w:t>
      </w:r>
    </w:p>
    <w:p w:rsidR="006A2A48" w:rsidRPr="001E5E02" w:rsidP="00AF3E6D">
      <w:pPr>
        <w:bidi w:val="0"/>
        <w:spacing w:before="120" w:line="276" w:lineRule="auto"/>
        <w:rPr>
          <w:rFonts w:ascii="Book Antiqua" w:hAnsi="Book Antiqua"/>
          <w:b/>
          <w:spacing w:val="30"/>
          <w:sz w:val="22"/>
          <w:szCs w:val="22"/>
        </w:rPr>
      </w:pPr>
    </w:p>
    <w:p w:rsidR="00355DF8" w:rsidRPr="001E5E02" w:rsidP="00AF3E6D">
      <w:pPr>
        <w:bidi w:val="0"/>
        <w:spacing w:before="120" w:line="276" w:lineRule="auto"/>
        <w:jc w:val="center"/>
        <w:rPr>
          <w:rFonts w:ascii="Book Antiqua" w:hAnsi="Book Antiqua"/>
          <w:b/>
          <w:spacing w:val="30"/>
          <w:sz w:val="22"/>
          <w:szCs w:val="22"/>
        </w:rPr>
      </w:pPr>
      <w:r w:rsidRPr="001E5E02">
        <w:rPr>
          <w:rFonts w:ascii="Book Antiqua" w:hAnsi="Book Antiqua"/>
          <w:b/>
          <w:spacing w:val="30"/>
          <w:sz w:val="22"/>
          <w:szCs w:val="22"/>
        </w:rPr>
        <w:t>Návrh</w:t>
      </w:r>
    </w:p>
    <w:p w:rsidR="00450A28" w:rsidRPr="001E5E02" w:rsidP="00AF3E6D">
      <w:pPr>
        <w:bidi w:val="0"/>
        <w:spacing w:before="120" w:line="276" w:lineRule="auto"/>
        <w:jc w:val="center"/>
        <w:rPr>
          <w:rFonts w:ascii="Book Antiqua" w:hAnsi="Book Antiqua"/>
          <w:b/>
          <w:spacing w:val="30"/>
          <w:sz w:val="22"/>
          <w:szCs w:val="22"/>
        </w:rPr>
      </w:pPr>
    </w:p>
    <w:p w:rsidR="00450A28" w:rsidRPr="001E5E02" w:rsidP="00AF3E6D">
      <w:pPr>
        <w:bidi w:val="0"/>
        <w:spacing w:before="120" w:line="276" w:lineRule="auto"/>
        <w:jc w:val="center"/>
        <w:rPr>
          <w:rFonts w:ascii="Book Antiqua" w:hAnsi="Book Antiqua"/>
          <w:b/>
          <w:caps/>
          <w:spacing w:val="30"/>
          <w:sz w:val="22"/>
          <w:szCs w:val="22"/>
        </w:rPr>
      </w:pPr>
      <w:r w:rsidRPr="001E5E02" w:rsidR="00355DF8">
        <w:rPr>
          <w:rFonts w:ascii="Book Antiqua" w:hAnsi="Book Antiqua"/>
          <w:b/>
          <w:caps/>
          <w:spacing w:val="30"/>
          <w:sz w:val="22"/>
          <w:szCs w:val="22"/>
        </w:rPr>
        <w:t>ÚSTAVNÝ zákon</w:t>
      </w:r>
    </w:p>
    <w:p w:rsidR="00450A28" w:rsidRPr="001E5E02" w:rsidP="00AF3E6D">
      <w:pPr>
        <w:bidi w:val="0"/>
        <w:spacing w:before="120" w:line="276" w:lineRule="auto"/>
        <w:jc w:val="center"/>
        <w:rPr>
          <w:rFonts w:ascii="Book Antiqua" w:hAnsi="Book Antiqua"/>
          <w:sz w:val="22"/>
          <w:szCs w:val="22"/>
        </w:rPr>
      </w:pPr>
    </w:p>
    <w:p w:rsidR="00355DF8" w:rsidRPr="001E5E02" w:rsidP="00AF3E6D">
      <w:pPr>
        <w:bidi w:val="0"/>
        <w:spacing w:before="120" w:line="276" w:lineRule="auto"/>
        <w:jc w:val="center"/>
        <w:rPr>
          <w:rFonts w:ascii="Book Antiqua" w:hAnsi="Book Antiqua"/>
          <w:sz w:val="22"/>
          <w:szCs w:val="22"/>
        </w:rPr>
      </w:pPr>
      <w:r w:rsidRPr="001E5E02" w:rsidR="00AF3E6D">
        <w:rPr>
          <w:rFonts w:ascii="Book Antiqua" w:hAnsi="Book Antiqua"/>
          <w:sz w:val="22"/>
          <w:szCs w:val="22"/>
        </w:rPr>
        <w:t>z ... 2014</w:t>
      </w:r>
      <w:r w:rsidRPr="001E5E02">
        <w:rPr>
          <w:rFonts w:ascii="Book Antiqua" w:hAnsi="Book Antiqua"/>
          <w:sz w:val="22"/>
          <w:szCs w:val="22"/>
        </w:rPr>
        <w:t>,</w:t>
      </w:r>
    </w:p>
    <w:p w:rsidR="00355DF8" w:rsidRPr="001E5E02" w:rsidP="00AF3E6D">
      <w:pPr>
        <w:bidi w:val="0"/>
        <w:spacing w:before="120" w:line="276" w:lineRule="auto"/>
        <w:jc w:val="center"/>
        <w:rPr>
          <w:rFonts w:ascii="Book Antiqua" w:hAnsi="Book Antiqua"/>
          <w:sz w:val="22"/>
          <w:szCs w:val="22"/>
        </w:rPr>
      </w:pPr>
    </w:p>
    <w:p w:rsidR="00355DF8" w:rsidRPr="001E5E02" w:rsidP="00AF3E6D">
      <w:pPr>
        <w:bidi w:val="0"/>
        <w:spacing w:before="120" w:line="276" w:lineRule="auto"/>
        <w:jc w:val="center"/>
        <w:rPr>
          <w:rFonts w:ascii="Book Antiqua" w:hAnsi="Book Antiqua"/>
          <w:b/>
          <w:sz w:val="22"/>
          <w:szCs w:val="22"/>
        </w:rPr>
      </w:pPr>
      <w:r w:rsidRPr="001E5E02">
        <w:rPr>
          <w:rFonts w:ascii="Book Antiqua" w:hAnsi="Book Antiqua"/>
          <w:b/>
          <w:sz w:val="22"/>
          <w:szCs w:val="22"/>
        </w:rPr>
        <w:t xml:space="preserve">ktorým sa </w:t>
      </w:r>
      <w:r w:rsidRPr="001E5E02" w:rsidR="00496A32">
        <w:rPr>
          <w:rFonts w:ascii="Book Antiqua" w:hAnsi="Book Antiqua"/>
          <w:b/>
          <w:sz w:val="22"/>
          <w:szCs w:val="22"/>
        </w:rPr>
        <w:t xml:space="preserve">mení a </w:t>
      </w:r>
      <w:r w:rsidRPr="001E5E02">
        <w:rPr>
          <w:rFonts w:ascii="Book Antiqua" w:hAnsi="Book Antiqua"/>
          <w:b/>
          <w:sz w:val="22"/>
          <w:szCs w:val="22"/>
        </w:rPr>
        <w:t xml:space="preserve">dopĺňa Ústava Slovenskej republiky č. 460/1992 Zb. v znení neskorších predpisov </w:t>
      </w:r>
    </w:p>
    <w:p w:rsidR="00355DF8" w:rsidRPr="001E5E02" w:rsidP="00AF3E6D">
      <w:pPr>
        <w:bidi w:val="0"/>
        <w:spacing w:before="120" w:line="276" w:lineRule="auto"/>
        <w:jc w:val="both"/>
        <w:rPr>
          <w:rFonts w:ascii="Book Antiqua" w:hAnsi="Book Antiqua"/>
          <w:sz w:val="22"/>
          <w:szCs w:val="22"/>
        </w:rPr>
      </w:pPr>
    </w:p>
    <w:p w:rsidR="00355DF8" w:rsidRPr="001E5E02" w:rsidP="00AF3E6D">
      <w:pPr>
        <w:bidi w:val="0"/>
        <w:spacing w:before="120" w:line="276" w:lineRule="auto"/>
        <w:jc w:val="both"/>
        <w:rPr>
          <w:rFonts w:ascii="Book Antiqua" w:hAnsi="Book Antiqua"/>
          <w:sz w:val="22"/>
          <w:szCs w:val="22"/>
        </w:rPr>
      </w:pPr>
      <w:r w:rsidRPr="001E5E02">
        <w:rPr>
          <w:rFonts w:ascii="Book Antiqua" w:hAnsi="Book Antiqua"/>
          <w:sz w:val="22"/>
          <w:szCs w:val="22"/>
        </w:rPr>
        <w:t xml:space="preserve">Národná rada Slovenskej republiky sa uzniesla na tomto ústavnom zákone: </w:t>
      </w:r>
    </w:p>
    <w:p w:rsidR="00355DF8" w:rsidRPr="001E5E02" w:rsidP="00AF3E6D">
      <w:pPr>
        <w:bidi w:val="0"/>
        <w:spacing w:before="120" w:line="276" w:lineRule="auto"/>
        <w:jc w:val="both"/>
        <w:rPr>
          <w:rFonts w:ascii="Book Antiqua" w:hAnsi="Book Antiqua"/>
          <w:b/>
          <w:sz w:val="22"/>
          <w:szCs w:val="22"/>
        </w:rPr>
      </w:pPr>
    </w:p>
    <w:p w:rsidR="00355DF8" w:rsidRPr="001E5E02" w:rsidP="00AF3E6D">
      <w:pPr>
        <w:bidi w:val="0"/>
        <w:spacing w:before="120" w:line="276" w:lineRule="auto"/>
        <w:jc w:val="center"/>
        <w:rPr>
          <w:rFonts w:ascii="Book Antiqua" w:hAnsi="Book Antiqua"/>
          <w:b/>
          <w:sz w:val="22"/>
          <w:szCs w:val="22"/>
        </w:rPr>
      </w:pPr>
      <w:r w:rsidRPr="001E5E02" w:rsidR="00AF3E6D">
        <w:rPr>
          <w:rFonts w:ascii="Book Antiqua" w:hAnsi="Book Antiqua"/>
          <w:b/>
          <w:sz w:val="22"/>
          <w:szCs w:val="22"/>
        </w:rPr>
        <w:t>Čl. I</w:t>
      </w:r>
    </w:p>
    <w:p w:rsidR="00355DF8" w:rsidRPr="001E5E02" w:rsidP="00AF3E6D">
      <w:pPr>
        <w:autoSpaceDE w:val="0"/>
        <w:autoSpaceDN w:val="0"/>
        <w:bidi w:val="0"/>
        <w:adjustRightInd w:val="0"/>
        <w:spacing w:before="120" w:line="276" w:lineRule="auto"/>
        <w:ind w:firstLine="360"/>
        <w:jc w:val="both"/>
        <w:rPr>
          <w:rFonts w:ascii="Book Antiqua" w:hAnsi="Book Antiqua"/>
          <w:color w:val="231F20"/>
          <w:sz w:val="22"/>
          <w:szCs w:val="22"/>
          <w:lang w:eastAsia="en-US"/>
        </w:rPr>
      </w:pPr>
      <w:r w:rsidRPr="001E5E02">
        <w:rPr>
          <w:rFonts w:ascii="Book Antiqua" w:hAnsi="Book Antiqua"/>
          <w:color w:val="231F20"/>
          <w:sz w:val="22"/>
          <w:szCs w:val="22"/>
          <w:lang w:eastAsia="en-US"/>
        </w:rPr>
        <w:t>Ústava Slovenskej republiky č. 460/1992 Zb. v znení ústavného zákona č. 244/1998 Z. z., ústavného zákona č. 9/1999 Z. z., ústavného zákona č. 90/2001 Z. z, ústavného zákona</w:t>
      </w:r>
      <w:r w:rsidRPr="001E5E02" w:rsidR="009B3C7E">
        <w:rPr>
          <w:rFonts w:ascii="Book Antiqua" w:hAnsi="Book Antiqua"/>
          <w:color w:val="231F20"/>
          <w:sz w:val="22"/>
          <w:szCs w:val="22"/>
          <w:lang w:eastAsia="en-US"/>
        </w:rPr>
        <w:t xml:space="preserve"> </w:t>
      </w:r>
      <w:r w:rsidRPr="001E5E02" w:rsidR="00496A32">
        <w:rPr>
          <w:rFonts w:ascii="Book Antiqua" w:hAnsi="Book Antiqua"/>
          <w:color w:val="231F20"/>
          <w:sz w:val="22"/>
          <w:szCs w:val="22"/>
          <w:lang w:eastAsia="en-US"/>
        </w:rPr>
        <w:t xml:space="preserve">         </w:t>
      </w:r>
      <w:r w:rsidRPr="001E5E02">
        <w:rPr>
          <w:rFonts w:ascii="Book Antiqua" w:hAnsi="Book Antiqua"/>
          <w:color w:val="231F20"/>
          <w:sz w:val="22"/>
          <w:szCs w:val="22"/>
          <w:lang w:eastAsia="en-US"/>
        </w:rPr>
        <w:t xml:space="preserve">č. 140/2004 Z. z., ústavného zákona č. 323/2004 Z. z., ústavného zákona č. 463/2005 Z. z., ústavného zákona č. 92/2006 Z. z., ústavného zákona č. 210/2006 Z. z., ústavného zákona </w:t>
      </w:r>
      <w:r w:rsidRPr="001E5E02" w:rsidR="00496A32">
        <w:rPr>
          <w:rFonts w:ascii="Book Antiqua" w:hAnsi="Book Antiqua"/>
          <w:color w:val="231F20"/>
          <w:sz w:val="22"/>
          <w:szCs w:val="22"/>
          <w:lang w:eastAsia="en-US"/>
        </w:rPr>
        <w:t xml:space="preserve">    </w:t>
      </w:r>
      <w:r w:rsidRPr="001E5E02">
        <w:rPr>
          <w:rFonts w:ascii="Book Antiqua" w:hAnsi="Book Antiqua"/>
          <w:color w:val="231F20"/>
          <w:sz w:val="22"/>
          <w:szCs w:val="22"/>
          <w:lang w:eastAsia="en-US"/>
        </w:rPr>
        <w:t xml:space="preserve">č. 100/2010 Z. z., ústavného zákona č. 356/2011 Z. z. a ústavného zákona č. 232/2012 Z. z. sa </w:t>
      </w:r>
      <w:r w:rsidRPr="001E5E02" w:rsidR="00472D5D">
        <w:rPr>
          <w:rFonts w:ascii="Book Antiqua" w:hAnsi="Book Antiqua"/>
          <w:color w:val="231F20"/>
          <w:sz w:val="22"/>
          <w:szCs w:val="22"/>
          <w:lang w:eastAsia="en-US"/>
        </w:rPr>
        <w:t xml:space="preserve">mení a </w:t>
      </w:r>
      <w:r w:rsidRPr="001E5E02">
        <w:rPr>
          <w:rFonts w:ascii="Book Antiqua" w:hAnsi="Book Antiqua"/>
          <w:color w:val="231F20"/>
          <w:sz w:val="22"/>
          <w:szCs w:val="22"/>
          <w:lang w:eastAsia="en-US"/>
        </w:rPr>
        <w:t>dopĺňa takto:</w:t>
      </w:r>
    </w:p>
    <w:p w:rsidR="00355DF8" w:rsidRPr="001E5E02" w:rsidP="00AF3E6D">
      <w:pPr>
        <w:autoSpaceDE w:val="0"/>
        <w:autoSpaceDN w:val="0"/>
        <w:bidi w:val="0"/>
        <w:adjustRightInd w:val="0"/>
        <w:spacing w:before="120" w:line="276" w:lineRule="auto"/>
        <w:jc w:val="both"/>
        <w:rPr>
          <w:rFonts w:ascii="Book Antiqua" w:hAnsi="Book Antiqua"/>
          <w:bCs/>
          <w:sz w:val="22"/>
          <w:szCs w:val="22"/>
        </w:rPr>
      </w:pPr>
    </w:p>
    <w:p w:rsidR="00B92160" w:rsidRPr="001E5E02" w:rsidP="00393EA5">
      <w:pPr>
        <w:numPr>
          <w:numId w:val="3"/>
        </w:numPr>
        <w:bidi w:val="0"/>
        <w:spacing w:before="120" w:line="276" w:lineRule="auto"/>
        <w:jc w:val="both"/>
        <w:rPr>
          <w:rFonts w:ascii="Book Antiqua" w:hAnsi="Book Antiqua"/>
          <w:bCs/>
          <w:sz w:val="22"/>
          <w:szCs w:val="22"/>
        </w:rPr>
      </w:pPr>
      <w:r w:rsidRPr="001E5E02">
        <w:rPr>
          <w:rFonts w:ascii="Book Antiqua" w:hAnsi="Book Antiqua"/>
          <w:bCs/>
          <w:sz w:val="22"/>
          <w:szCs w:val="22"/>
        </w:rPr>
        <w:t xml:space="preserve">V čl. 102 sa </w:t>
      </w:r>
      <w:r w:rsidRPr="001E5E02" w:rsidR="00444BCC">
        <w:rPr>
          <w:rFonts w:ascii="Book Antiqua" w:hAnsi="Book Antiqua"/>
          <w:bCs/>
          <w:sz w:val="22"/>
          <w:szCs w:val="22"/>
        </w:rPr>
        <w:t xml:space="preserve">za odsek  3 </w:t>
      </w:r>
      <w:r w:rsidRPr="001E5E02">
        <w:rPr>
          <w:rFonts w:ascii="Book Antiqua" w:hAnsi="Book Antiqua"/>
          <w:bCs/>
          <w:sz w:val="22"/>
          <w:szCs w:val="22"/>
        </w:rPr>
        <w:t>vkladá nový odsek</w:t>
      </w:r>
      <w:r w:rsidRPr="001E5E02" w:rsidR="00444BCC">
        <w:rPr>
          <w:rFonts w:ascii="Book Antiqua" w:hAnsi="Book Antiqua"/>
          <w:bCs/>
          <w:sz w:val="22"/>
          <w:szCs w:val="22"/>
        </w:rPr>
        <w:t xml:space="preserve"> 4</w:t>
      </w:r>
      <w:r w:rsidRPr="001E5E02">
        <w:rPr>
          <w:rFonts w:ascii="Book Antiqua" w:hAnsi="Book Antiqua"/>
          <w:bCs/>
          <w:sz w:val="22"/>
          <w:szCs w:val="22"/>
        </w:rPr>
        <w:t>, ktorý znie:</w:t>
      </w:r>
    </w:p>
    <w:p w:rsidR="00B92160" w:rsidRPr="001E5E02" w:rsidP="00393EA5">
      <w:pPr>
        <w:bidi w:val="0"/>
        <w:spacing w:before="120" w:line="276" w:lineRule="auto"/>
        <w:ind w:left="709" w:firstLine="11"/>
        <w:jc w:val="both"/>
        <w:rPr>
          <w:rFonts w:ascii="Book Antiqua" w:hAnsi="Book Antiqua"/>
          <w:bCs/>
          <w:sz w:val="22"/>
          <w:szCs w:val="22"/>
        </w:rPr>
      </w:pPr>
      <w:r w:rsidRPr="001E5E02" w:rsidR="00444BCC">
        <w:rPr>
          <w:rFonts w:ascii="Book Antiqua" w:hAnsi="Book Antiqua"/>
          <w:bCs/>
          <w:sz w:val="22"/>
          <w:szCs w:val="22"/>
        </w:rPr>
        <w:t xml:space="preserve">„(4) </w:t>
      </w:r>
      <w:r w:rsidRPr="001E5E02" w:rsidR="00393EA5">
        <w:rPr>
          <w:rFonts w:ascii="Book Antiqua" w:hAnsi="Book Antiqua"/>
          <w:bCs/>
          <w:sz w:val="22"/>
          <w:szCs w:val="22"/>
        </w:rPr>
        <w:t xml:space="preserve">Rozhodnutie prezidenta </w:t>
      </w:r>
      <w:r w:rsidRPr="001E5E02" w:rsidR="00444BCC">
        <w:rPr>
          <w:rFonts w:ascii="Book Antiqua" w:hAnsi="Book Antiqua"/>
          <w:bCs/>
          <w:sz w:val="22"/>
          <w:szCs w:val="22"/>
        </w:rPr>
        <w:t xml:space="preserve">podľa čl. 102 </w:t>
      </w:r>
      <w:r w:rsidRPr="001E5E02" w:rsidR="00393EA5">
        <w:rPr>
          <w:rFonts w:ascii="Book Antiqua" w:hAnsi="Book Antiqua"/>
          <w:bCs/>
          <w:sz w:val="22"/>
          <w:szCs w:val="22"/>
        </w:rPr>
        <w:t>ods. 1 písm. c), g), h) s) a</w:t>
      </w:r>
      <w:r w:rsidRPr="001E5E02" w:rsidR="00444BCC">
        <w:rPr>
          <w:rFonts w:ascii="Book Antiqua" w:hAnsi="Book Antiqua"/>
          <w:bCs/>
          <w:sz w:val="22"/>
          <w:szCs w:val="22"/>
        </w:rPr>
        <w:t xml:space="preserve"> t) mus</w:t>
      </w:r>
      <w:r w:rsidRPr="001E5E02" w:rsidR="00393EA5">
        <w:rPr>
          <w:rFonts w:ascii="Book Antiqua" w:hAnsi="Book Antiqua"/>
          <w:bCs/>
          <w:sz w:val="22"/>
          <w:szCs w:val="22"/>
        </w:rPr>
        <w:t xml:space="preserve">í byť vydané a sľub podľa čl. 102 ods. 1 písm. s) a t) musí byť prijatý do </w:t>
      </w:r>
      <w:r w:rsidRPr="001E5E02" w:rsidR="00444BCC">
        <w:rPr>
          <w:rFonts w:ascii="Book Antiqua" w:hAnsi="Book Antiqua"/>
          <w:bCs/>
          <w:sz w:val="22"/>
          <w:szCs w:val="22"/>
        </w:rPr>
        <w:t>60</w:t>
      </w:r>
      <w:r w:rsidRPr="001E5E02" w:rsidR="00E36B8E">
        <w:rPr>
          <w:rFonts w:ascii="Book Antiqua" w:hAnsi="Book Antiqua"/>
          <w:bCs/>
          <w:sz w:val="22"/>
          <w:szCs w:val="22"/>
        </w:rPr>
        <w:t xml:space="preserve"> dní od splnenia ústavných a</w:t>
      </w:r>
      <w:r w:rsidRPr="001E5E02" w:rsidR="00444BCC">
        <w:rPr>
          <w:rFonts w:ascii="Book Antiqua" w:hAnsi="Book Antiqua"/>
          <w:bCs/>
          <w:sz w:val="22"/>
          <w:szCs w:val="22"/>
        </w:rPr>
        <w:t xml:space="preserve"> zákonných predpokladov pre výkon týchto ústavných právom</w:t>
      </w:r>
      <w:r w:rsidRPr="001E5E02" w:rsidR="00EA5452">
        <w:rPr>
          <w:rFonts w:ascii="Book Antiqua" w:hAnsi="Book Antiqua"/>
          <w:bCs/>
          <w:sz w:val="22"/>
          <w:szCs w:val="22"/>
        </w:rPr>
        <w:t>ocí</w:t>
      </w:r>
      <w:r w:rsidRPr="001E5E02" w:rsidR="00393EA5">
        <w:rPr>
          <w:rFonts w:ascii="Book Antiqua" w:hAnsi="Book Antiqua"/>
          <w:bCs/>
          <w:sz w:val="22"/>
          <w:szCs w:val="22"/>
        </w:rPr>
        <w:t>.</w:t>
      </w:r>
      <w:r w:rsidRPr="001E5E02" w:rsidR="00444BCC">
        <w:rPr>
          <w:rFonts w:ascii="Book Antiqua" w:hAnsi="Book Antiqua"/>
          <w:bCs/>
          <w:sz w:val="22"/>
          <w:szCs w:val="22"/>
        </w:rPr>
        <w:t>“.</w:t>
      </w:r>
    </w:p>
    <w:p w:rsidR="00444BCC" w:rsidRPr="001E5E02" w:rsidP="00393EA5">
      <w:pPr>
        <w:bidi w:val="0"/>
        <w:spacing w:before="120" w:line="276" w:lineRule="auto"/>
        <w:ind w:firstLine="708"/>
        <w:jc w:val="both"/>
        <w:rPr>
          <w:rFonts w:ascii="Book Antiqua" w:hAnsi="Book Antiqua"/>
          <w:bCs/>
          <w:sz w:val="22"/>
          <w:szCs w:val="22"/>
        </w:rPr>
      </w:pPr>
      <w:r w:rsidRPr="001E5E02">
        <w:rPr>
          <w:rFonts w:ascii="Book Antiqua" w:hAnsi="Book Antiqua"/>
          <w:bCs/>
          <w:sz w:val="22"/>
          <w:szCs w:val="22"/>
        </w:rPr>
        <w:t>Doterajší odsek 4 sa označuje ako odsek 5.</w:t>
      </w:r>
    </w:p>
    <w:p w:rsidR="00444BCC" w:rsidRPr="001E5E02" w:rsidP="00AF3E6D">
      <w:pPr>
        <w:bidi w:val="0"/>
        <w:spacing w:before="120" w:line="276" w:lineRule="auto"/>
        <w:jc w:val="both"/>
        <w:rPr>
          <w:rFonts w:ascii="Book Antiqua" w:hAnsi="Book Antiqua"/>
          <w:bCs/>
          <w:sz w:val="22"/>
          <w:szCs w:val="22"/>
        </w:rPr>
      </w:pPr>
    </w:p>
    <w:p w:rsidR="0039747B" w:rsidRPr="001E5E02" w:rsidP="00AF3E6D">
      <w:pPr>
        <w:numPr>
          <w:numId w:val="3"/>
        </w:numPr>
        <w:bidi w:val="0"/>
        <w:spacing w:before="120" w:line="276" w:lineRule="auto"/>
        <w:jc w:val="both"/>
        <w:rPr>
          <w:rFonts w:ascii="Book Antiqua" w:hAnsi="Book Antiqua"/>
          <w:bCs/>
          <w:sz w:val="22"/>
          <w:szCs w:val="22"/>
        </w:rPr>
      </w:pPr>
      <w:r w:rsidRPr="001E5E02" w:rsidR="00B519D3">
        <w:rPr>
          <w:rFonts w:ascii="Book Antiqua" w:hAnsi="Book Antiqua"/>
          <w:bCs/>
          <w:sz w:val="22"/>
          <w:szCs w:val="22"/>
        </w:rPr>
        <w:t xml:space="preserve">Čl. </w:t>
      </w:r>
      <w:r w:rsidRPr="001E5E02">
        <w:rPr>
          <w:rFonts w:ascii="Book Antiqua" w:hAnsi="Book Antiqua"/>
          <w:bCs/>
          <w:sz w:val="22"/>
          <w:szCs w:val="22"/>
        </w:rPr>
        <w:t>1</w:t>
      </w:r>
      <w:r w:rsidRPr="001E5E02" w:rsidR="00B519D3">
        <w:rPr>
          <w:rFonts w:ascii="Book Antiqua" w:hAnsi="Book Antiqua"/>
          <w:bCs/>
          <w:sz w:val="22"/>
          <w:szCs w:val="22"/>
        </w:rPr>
        <w:t>07</w:t>
      </w:r>
      <w:r w:rsidRPr="001E5E02">
        <w:rPr>
          <w:rFonts w:ascii="Book Antiqua" w:hAnsi="Book Antiqua"/>
          <w:bCs/>
          <w:sz w:val="22"/>
          <w:szCs w:val="22"/>
        </w:rPr>
        <w:t xml:space="preserve"> znie:</w:t>
      </w:r>
    </w:p>
    <w:p w:rsidR="002F5EBF" w:rsidRPr="001E5E02" w:rsidP="00AF3E6D">
      <w:pPr>
        <w:bidi w:val="0"/>
        <w:spacing w:before="120" w:line="276" w:lineRule="auto"/>
        <w:ind w:left="720"/>
        <w:jc w:val="center"/>
        <w:rPr>
          <w:rFonts w:ascii="Book Antiqua" w:hAnsi="Book Antiqua"/>
          <w:b/>
          <w:bCs/>
          <w:sz w:val="22"/>
          <w:szCs w:val="22"/>
        </w:rPr>
      </w:pPr>
      <w:r w:rsidRPr="001E5E02" w:rsidR="0039747B">
        <w:rPr>
          <w:rFonts w:ascii="Book Antiqua" w:hAnsi="Book Antiqua"/>
          <w:bCs/>
          <w:sz w:val="22"/>
          <w:szCs w:val="22"/>
        </w:rPr>
        <w:t>„</w:t>
      </w:r>
      <w:r w:rsidRPr="001E5E02" w:rsidR="00AF3E6D">
        <w:rPr>
          <w:rFonts w:ascii="Book Antiqua" w:hAnsi="Book Antiqua"/>
          <w:b/>
          <w:bCs/>
          <w:sz w:val="22"/>
          <w:szCs w:val="22"/>
        </w:rPr>
        <w:t>Čl. 107</w:t>
      </w:r>
    </w:p>
    <w:p w:rsidR="00EA5452" w:rsidRPr="001E5E02" w:rsidP="00EA5452">
      <w:pPr>
        <w:tabs>
          <w:tab w:val="left" w:pos="709"/>
        </w:tabs>
        <w:bidi w:val="0"/>
        <w:spacing w:before="120" w:line="276" w:lineRule="auto"/>
        <w:ind w:left="720"/>
        <w:jc w:val="both"/>
        <w:rPr>
          <w:rFonts w:ascii="Book Antiqua" w:hAnsi="Book Antiqua"/>
          <w:bCs/>
          <w:sz w:val="22"/>
          <w:szCs w:val="22"/>
        </w:rPr>
      </w:pPr>
      <w:r w:rsidRPr="001E5E02" w:rsidR="00AF3E6D">
        <w:rPr>
          <w:rFonts w:ascii="Book Antiqua" w:hAnsi="Book Antiqua"/>
          <w:bCs/>
          <w:sz w:val="22"/>
          <w:szCs w:val="22"/>
        </w:rPr>
        <w:t xml:space="preserve">(1) </w:t>
      </w:r>
      <w:r w:rsidRPr="001E5E02" w:rsidR="002F5EBF">
        <w:rPr>
          <w:rFonts w:ascii="Book Antiqua" w:hAnsi="Book Antiqua"/>
          <w:bCs/>
          <w:sz w:val="22"/>
          <w:szCs w:val="22"/>
        </w:rPr>
        <w:t>Prezidenta nemožno trestne stíhať za výroky pri výkone jeho funkcie, a to ani po skončení jeho funkčného obdobia.</w:t>
      </w:r>
    </w:p>
    <w:p w:rsidR="00AF3E6D" w:rsidRPr="001E5E02" w:rsidP="00EA5452">
      <w:pPr>
        <w:tabs>
          <w:tab w:val="left" w:pos="709"/>
        </w:tabs>
        <w:bidi w:val="0"/>
        <w:spacing w:before="120" w:line="276" w:lineRule="auto"/>
        <w:ind w:left="720"/>
        <w:jc w:val="both"/>
        <w:rPr>
          <w:rFonts w:ascii="Book Antiqua" w:hAnsi="Book Antiqua"/>
          <w:bCs/>
          <w:sz w:val="22"/>
          <w:szCs w:val="22"/>
        </w:rPr>
      </w:pPr>
      <w:r w:rsidRPr="001E5E02">
        <w:rPr>
          <w:rFonts w:ascii="Book Antiqua" w:hAnsi="Book Antiqua"/>
          <w:bCs/>
          <w:sz w:val="22"/>
          <w:szCs w:val="22"/>
        </w:rPr>
        <w:t xml:space="preserve">(2) </w:t>
      </w:r>
      <w:r w:rsidRPr="001E5E02" w:rsidR="002F5EBF">
        <w:rPr>
          <w:rFonts w:ascii="Book Antiqua" w:hAnsi="Book Antiqua"/>
          <w:bCs/>
          <w:sz w:val="22"/>
          <w:szCs w:val="22"/>
        </w:rPr>
        <w:t>Prezidenta nemožno vziať do väzby bez súhlasu Ústavného súdu Slovenskej republiky.</w:t>
      </w:r>
      <w:r w:rsidRPr="001E5E02" w:rsidR="00195FF0">
        <w:rPr>
          <w:rFonts w:ascii="Book Antiqua" w:hAnsi="Book Antiqua"/>
          <w:bCs/>
          <w:sz w:val="22"/>
          <w:szCs w:val="22"/>
        </w:rPr>
        <w:t xml:space="preserve"> </w:t>
      </w:r>
      <w:r w:rsidRPr="001E5E02" w:rsidR="00902E8E">
        <w:rPr>
          <w:rFonts w:ascii="Book Antiqua" w:hAnsi="Book Antiqua"/>
          <w:bCs/>
          <w:sz w:val="22"/>
          <w:szCs w:val="22"/>
        </w:rPr>
        <w:t>Funkčné obdobie prezidenta sa skončí v nasledujúci deň</w:t>
      </w:r>
      <w:r w:rsidRPr="001E5E02" w:rsidR="00195FF0">
        <w:rPr>
          <w:rFonts w:ascii="Book Antiqua" w:hAnsi="Book Antiqua"/>
          <w:bCs/>
          <w:sz w:val="22"/>
          <w:szCs w:val="22"/>
        </w:rPr>
        <w:t xml:space="preserve"> po dni, kedy Ústavný súd Slovenskej republiky dá súhlas na vzatie preziden</w:t>
      </w:r>
      <w:r w:rsidRPr="001E5E02" w:rsidR="00902E8E">
        <w:rPr>
          <w:rFonts w:ascii="Book Antiqua" w:hAnsi="Book Antiqua"/>
          <w:bCs/>
          <w:sz w:val="22"/>
          <w:szCs w:val="22"/>
        </w:rPr>
        <w:t>ta do väzby</w:t>
      </w:r>
      <w:r w:rsidRPr="001E5E02" w:rsidR="00195FF0">
        <w:rPr>
          <w:rFonts w:ascii="Book Antiqua" w:hAnsi="Book Antiqua"/>
          <w:bCs/>
          <w:sz w:val="22"/>
          <w:szCs w:val="22"/>
        </w:rPr>
        <w:t>.</w:t>
      </w:r>
    </w:p>
    <w:p w:rsidR="00AF3E6D" w:rsidRPr="001E5E02" w:rsidP="00AF3E6D">
      <w:pPr>
        <w:tabs>
          <w:tab w:val="left" w:pos="709"/>
        </w:tabs>
        <w:bidi w:val="0"/>
        <w:spacing w:before="120" w:line="276" w:lineRule="auto"/>
        <w:ind w:left="720"/>
        <w:jc w:val="both"/>
        <w:rPr>
          <w:rFonts w:ascii="Book Antiqua" w:hAnsi="Book Antiqua"/>
          <w:bCs/>
          <w:sz w:val="22"/>
          <w:szCs w:val="22"/>
        </w:rPr>
      </w:pPr>
      <w:r w:rsidRPr="001E5E02">
        <w:rPr>
          <w:rFonts w:ascii="Book Antiqua" w:hAnsi="Book Antiqua"/>
          <w:bCs/>
          <w:sz w:val="22"/>
          <w:szCs w:val="22"/>
        </w:rPr>
        <w:t xml:space="preserve">(3) </w:t>
      </w:r>
      <w:r w:rsidRPr="001E5E02" w:rsidR="009374D4">
        <w:rPr>
          <w:rFonts w:ascii="Book Antiqua" w:hAnsi="Book Antiqua"/>
          <w:bCs/>
          <w:sz w:val="22"/>
          <w:szCs w:val="22"/>
        </w:rPr>
        <w:t>Ak bol prezident pristihnutý a zadržaný pri trestnom čine, príslušný orgán je povinný to ihneď oznámiť predsedovi Ústavného súdu Slovenskej republiky. Ak Ústavný súd Slovenskej republiky následný súhlas na zadržanie nedá, prezident musí byť ihneď prepustený.</w:t>
      </w:r>
    </w:p>
    <w:p w:rsidR="00AF3E6D" w:rsidRPr="001E5E02" w:rsidP="00AF3E6D">
      <w:pPr>
        <w:tabs>
          <w:tab w:val="left" w:pos="709"/>
        </w:tabs>
        <w:bidi w:val="0"/>
        <w:spacing w:before="120" w:line="276" w:lineRule="auto"/>
        <w:ind w:left="720"/>
        <w:jc w:val="both"/>
        <w:rPr>
          <w:rFonts w:ascii="Book Antiqua" w:hAnsi="Book Antiqua"/>
          <w:bCs/>
          <w:sz w:val="22"/>
          <w:szCs w:val="22"/>
        </w:rPr>
      </w:pPr>
      <w:r w:rsidRPr="001E5E02">
        <w:rPr>
          <w:rFonts w:ascii="Book Antiqua" w:hAnsi="Book Antiqua"/>
          <w:bCs/>
          <w:sz w:val="22"/>
          <w:szCs w:val="22"/>
        </w:rPr>
        <w:t xml:space="preserve">(4) </w:t>
      </w:r>
      <w:r w:rsidRPr="001E5E02" w:rsidR="00EA5452">
        <w:rPr>
          <w:rFonts w:ascii="Book Antiqua" w:hAnsi="Book Antiqua"/>
          <w:bCs/>
          <w:sz w:val="22"/>
          <w:szCs w:val="22"/>
        </w:rPr>
        <w:t>Prezidenta možno obžalovať za úmyselné porušenie ústavy</w:t>
      </w:r>
      <w:r w:rsidRPr="001E5E02" w:rsidR="00B519D3">
        <w:rPr>
          <w:rFonts w:ascii="Book Antiqua" w:hAnsi="Book Antiqua"/>
          <w:bCs/>
          <w:sz w:val="22"/>
          <w:szCs w:val="22"/>
        </w:rPr>
        <w:t>. O podaní obžaloby</w:t>
      </w:r>
      <w:r w:rsidRPr="001E5E02" w:rsidR="002F5EBF">
        <w:rPr>
          <w:rFonts w:ascii="Book Antiqua" w:hAnsi="Book Antiqua"/>
          <w:bCs/>
          <w:sz w:val="22"/>
          <w:szCs w:val="22"/>
        </w:rPr>
        <w:t xml:space="preserve"> </w:t>
      </w:r>
      <w:r w:rsidRPr="001E5E02" w:rsidR="00195FF0">
        <w:rPr>
          <w:rFonts w:ascii="Book Antiqua" w:hAnsi="Book Antiqua"/>
          <w:bCs/>
          <w:sz w:val="22"/>
          <w:szCs w:val="22"/>
        </w:rPr>
        <w:t xml:space="preserve">na prezidenta </w:t>
      </w:r>
      <w:r w:rsidRPr="001E5E02" w:rsidR="00B519D3">
        <w:rPr>
          <w:rFonts w:ascii="Book Antiqua" w:hAnsi="Book Antiqua"/>
          <w:bCs/>
          <w:sz w:val="22"/>
          <w:szCs w:val="22"/>
        </w:rPr>
        <w:t>rozhoduje Národná rada Slovenskej republiky trojpätinovou väčš</w:t>
      </w:r>
      <w:r w:rsidRPr="001E5E02">
        <w:rPr>
          <w:rFonts w:ascii="Book Antiqua" w:hAnsi="Book Antiqua"/>
          <w:bCs/>
          <w:sz w:val="22"/>
          <w:szCs w:val="22"/>
        </w:rPr>
        <w:t>inou hlasov všetkých poslancov.</w:t>
      </w:r>
    </w:p>
    <w:p w:rsidR="00934976" w:rsidRPr="001E5E02" w:rsidP="00AF3E6D">
      <w:pPr>
        <w:tabs>
          <w:tab w:val="left" w:pos="709"/>
        </w:tabs>
        <w:bidi w:val="0"/>
        <w:spacing w:before="120" w:line="276" w:lineRule="auto"/>
        <w:ind w:left="720"/>
        <w:jc w:val="both"/>
        <w:rPr>
          <w:rFonts w:ascii="Book Antiqua" w:hAnsi="Book Antiqua"/>
          <w:bCs/>
          <w:sz w:val="22"/>
          <w:szCs w:val="22"/>
        </w:rPr>
      </w:pPr>
      <w:r w:rsidRPr="001E5E02" w:rsidR="00AF3E6D">
        <w:rPr>
          <w:rFonts w:ascii="Book Antiqua" w:hAnsi="Book Antiqua"/>
          <w:bCs/>
          <w:sz w:val="22"/>
          <w:szCs w:val="22"/>
        </w:rPr>
        <w:t xml:space="preserve">(5) </w:t>
      </w:r>
      <w:r w:rsidRPr="001E5E02" w:rsidR="00B519D3">
        <w:rPr>
          <w:rFonts w:ascii="Book Antiqua" w:hAnsi="Book Antiqua"/>
          <w:bCs/>
          <w:sz w:val="22"/>
          <w:szCs w:val="22"/>
        </w:rPr>
        <w:t>Obžalobu podáva Národná rada Slovenskej republiky na Ústavný súd Slovenskej republiky, ktorý o nej rozhodne v pléne. Odsudzujúce rozhodnutie Ústavného súdu Slovenskej republiky znamená stratu funkcie prezidenta a spôsobilosti túto funkciu opätovne získať.</w:t>
      </w:r>
      <w:r w:rsidRPr="001E5E02" w:rsidR="009374D4">
        <w:rPr>
          <w:rFonts w:ascii="Book Antiqua" w:hAnsi="Book Antiqua"/>
          <w:bCs/>
          <w:sz w:val="22"/>
          <w:szCs w:val="22"/>
        </w:rPr>
        <w:t>“.</w:t>
      </w:r>
    </w:p>
    <w:p w:rsidR="009374D4" w:rsidRPr="001E5E02" w:rsidP="00AF3E6D">
      <w:pPr>
        <w:tabs>
          <w:tab w:val="left" w:pos="1134"/>
        </w:tabs>
        <w:bidi w:val="0"/>
        <w:spacing w:before="120" w:line="276" w:lineRule="auto"/>
        <w:ind w:left="1080"/>
        <w:jc w:val="both"/>
        <w:rPr>
          <w:rFonts w:ascii="Book Antiqua" w:hAnsi="Book Antiqua"/>
          <w:bCs/>
          <w:sz w:val="22"/>
          <w:szCs w:val="22"/>
        </w:rPr>
      </w:pPr>
    </w:p>
    <w:p w:rsidR="00384A20" w:rsidRPr="001E5E02" w:rsidP="00AF3E6D">
      <w:pPr>
        <w:numPr>
          <w:numId w:val="3"/>
        </w:numPr>
        <w:tabs>
          <w:tab w:val="left" w:pos="709"/>
        </w:tabs>
        <w:bidi w:val="0"/>
        <w:spacing w:before="120" w:line="276" w:lineRule="auto"/>
        <w:jc w:val="both"/>
        <w:rPr>
          <w:rFonts w:ascii="Book Antiqua" w:hAnsi="Book Antiqua"/>
          <w:bCs/>
          <w:sz w:val="22"/>
          <w:szCs w:val="22"/>
        </w:rPr>
      </w:pPr>
      <w:r w:rsidRPr="001E5E02" w:rsidR="009374D4">
        <w:rPr>
          <w:rFonts w:ascii="Book Antiqua" w:hAnsi="Book Antiqua"/>
          <w:bCs/>
          <w:sz w:val="22"/>
          <w:szCs w:val="22"/>
        </w:rPr>
        <w:t>V čl.</w:t>
      </w:r>
      <w:r w:rsidRPr="001E5E02" w:rsidR="00AF3E6D">
        <w:rPr>
          <w:rFonts w:ascii="Book Antiqua" w:hAnsi="Book Antiqua"/>
          <w:bCs/>
          <w:sz w:val="22"/>
          <w:szCs w:val="22"/>
        </w:rPr>
        <w:t xml:space="preserve"> </w:t>
      </w:r>
      <w:r w:rsidRPr="001E5E02" w:rsidR="009374D4">
        <w:rPr>
          <w:rFonts w:ascii="Book Antiqua" w:hAnsi="Book Antiqua"/>
          <w:bCs/>
          <w:sz w:val="22"/>
          <w:szCs w:val="22"/>
        </w:rPr>
        <w:t xml:space="preserve">129 ods. 5 </w:t>
      </w:r>
      <w:r w:rsidRPr="001E5E02" w:rsidR="00AF3E6D">
        <w:rPr>
          <w:rFonts w:ascii="Book Antiqua" w:hAnsi="Book Antiqua"/>
          <w:bCs/>
          <w:sz w:val="22"/>
          <w:szCs w:val="22"/>
        </w:rPr>
        <w:t xml:space="preserve">sa </w:t>
      </w:r>
      <w:r w:rsidRPr="001E5E02">
        <w:rPr>
          <w:rFonts w:ascii="Book Antiqua" w:hAnsi="Book Antiqua"/>
          <w:bCs/>
          <w:sz w:val="22"/>
          <w:szCs w:val="22"/>
        </w:rPr>
        <w:t>vypúšťajú slová „alebo vlastizrady“.</w:t>
      </w:r>
    </w:p>
    <w:p w:rsidR="00384A20" w:rsidRPr="001E5E02" w:rsidP="00AF3E6D">
      <w:pPr>
        <w:tabs>
          <w:tab w:val="left" w:pos="1134"/>
        </w:tabs>
        <w:bidi w:val="0"/>
        <w:spacing w:before="120" w:line="276" w:lineRule="auto"/>
        <w:ind w:left="720"/>
        <w:jc w:val="both"/>
        <w:rPr>
          <w:rFonts w:ascii="Book Antiqua" w:hAnsi="Book Antiqua"/>
          <w:bCs/>
          <w:sz w:val="22"/>
          <w:szCs w:val="22"/>
        </w:rPr>
      </w:pPr>
      <w:r w:rsidRPr="001E5E02">
        <w:rPr>
          <w:rFonts w:ascii="Book Antiqua" w:hAnsi="Book Antiqua"/>
          <w:bCs/>
          <w:sz w:val="22"/>
          <w:szCs w:val="22"/>
        </w:rPr>
        <w:t xml:space="preserve"> </w:t>
      </w:r>
    </w:p>
    <w:p w:rsidR="00384A20" w:rsidRPr="001E5E02" w:rsidP="00AF3E6D">
      <w:pPr>
        <w:numPr>
          <w:numId w:val="3"/>
        </w:numPr>
        <w:tabs>
          <w:tab w:val="left" w:pos="709"/>
        </w:tabs>
        <w:bidi w:val="0"/>
        <w:spacing w:before="120" w:line="276" w:lineRule="auto"/>
        <w:ind w:left="709" w:hanging="349"/>
        <w:jc w:val="both"/>
        <w:rPr>
          <w:rFonts w:ascii="Book Antiqua" w:hAnsi="Book Antiqua"/>
          <w:bCs/>
          <w:sz w:val="22"/>
          <w:szCs w:val="22"/>
        </w:rPr>
      </w:pPr>
      <w:r w:rsidRPr="001E5E02">
        <w:rPr>
          <w:rFonts w:ascii="Book Antiqua" w:hAnsi="Book Antiqua"/>
          <w:bCs/>
          <w:sz w:val="22"/>
          <w:szCs w:val="22"/>
        </w:rPr>
        <w:t>V čl. 136</w:t>
      </w:r>
      <w:r w:rsidRPr="001E5E02" w:rsidR="00AF3E6D">
        <w:rPr>
          <w:rFonts w:ascii="Book Antiqua" w:hAnsi="Book Antiqua"/>
          <w:bCs/>
          <w:sz w:val="22"/>
          <w:szCs w:val="22"/>
        </w:rPr>
        <w:t xml:space="preserve"> ods. 2 </w:t>
      </w:r>
      <w:r w:rsidRPr="001E5E02" w:rsidR="00C975EF">
        <w:rPr>
          <w:rFonts w:ascii="Book Antiqua" w:hAnsi="Book Antiqua"/>
          <w:bCs/>
          <w:sz w:val="22"/>
          <w:szCs w:val="22"/>
        </w:rPr>
        <w:t>prvej vete</w:t>
      </w:r>
      <w:r w:rsidRPr="001E5E02" w:rsidR="00902E8E">
        <w:rPr>
          <w:rFonts w:ascii="Book Antiqua" w:hAnsi="Book Antiqua"/>
          <w:bCs/>
          <w:sz w:val="22"/>
          <w:szCs w:val="22"/>
        </w:rPr>
        <w:t xml:space="preserve"> sa za slovo „väzby“ vkladá </w:t>
      </w:r>
      <w:r w:rsidRPr="001E5E02" w:rsidR="00C975EF">
        <w:rPr>
          <w:rFonts w:ascii="Book Antiqua" w:hAnsi="Book Antiqua"/>
          <w:bCs/>
          <w:sz w:val="22"/>
          <w:szCs w:val="22"/>
        </w:rPr>
        <w:t>slovo „prezidenta</w:t>
      </w:r>
      <w:r w:rsidRPr="001E5E02" w:rsidR="00902E8E">
        <w:rPr>
          <w:rFonts w:ascii="Book Antiqua" w:hAnsi="Book Antiqua"/>
          <w:bCs/>
          <w:sz w:val="22"/>
          <w:szCs w:val="22"/>
        </w:rPr>
        <w:t>,</w:t>
      </w:r>
      <w:r w:rsidRPr="001E5E02" w:rsidR="00C975EF">
        <w:rPr>
          <w:rFonts w:ascii="Book Antiqua" w:hAnsi="Book Antiqua"/>
          <w:bCs/>
          <w:sz w:val="22"/>
          <w:szCs w:val="22"/>
        </w:rPr>
        <w:t>“.</w:t>
      </w:r>
    </w:p>
    <w:p w:rsidR="00C975EF" w:rsidRPr="001E5E02" w:rsidP="00AF3E6D">
      <w:pPr>
        <w:pStyle w:val="ListParagraph"/>
        <w:bidi w:val="0"/>
        <w:spacing w:before="120" w:line="276" w:lineRule="auto"/>
        <w:ind w:left="0"/>
        <w:rPr>
          <w:rFonts w:ascii="Book Antiqua" w:hAnsi="Book Antiqua"/>
          <w:bCs/>
          <w:sz w:val="22"/>
          <w:szCs w:val="22"/>
        </w:rPr>
      </w:pPr>
    </w:p>
    <w:p w:rsidR="00C975EF" w:rsidRPr="001E5E02" w:rsidP="00AF3E6D">
      <w:pPr>
        <w:numPr>
          <w:numId w:val="3"/>
        </w:numPr>
        <w:tabs>
          <w:tab w:val="left" w:pos="709"/>
        </w:tabs>
        <w:bidi w:val="0"/>
        <w:spacing w:before="120" w:line="276" w:lineRule="auto"/>
        <w:jc w:val="both"/>
        <w:rPr>
          <w:rFonts w:ascii="Book Antiqua" w:hAnsi="Book Antiqua"/>
          <w:bCs/>
          <w:sz w:val="22"/>
          <w:szCs w:val="22"/>
        </w:rPr>
      </w:pPr>
      <w:r w:rsidRPr="001E5E02">
        <w:rPr>
          <w:rFonts w:ascii="Book Antiqua" w:hAnsi="Book Antiqua"/>
          <w:bCs/>
          <w:sz w:val="22"/>
          <w:szCs w:val="22"/>
        </w:rPr>
        <w:t>V č</w:t>
      </w:r>
      <w:r w:rsidRPr="001E5E02" w:rsidR="00902E8E">
        <w:rPr>
          <w:rFonts w:ascii="Book Antiqua" w:hAnsi="Book Antiqua"/>
          <w:bCs/>
          <w:sz w:val="22"/>
          <w:szCs w:val="22"/>
        </w:rPr>
        <w:t>l. 136 ods. 3 sa za slovo „trvania“ vkladajú slová</w:t>
      </w:r>
      <w:r w:rsidRPr="001E5E02">
        <w:rPr>
          <w:rFonts w:ascii="Book Antiqua" w:hAnsi="Book Antiqua"/>
          <w:bCs/>
          <w:sz w:val="22"/>
          <w:szCs w:val="22"/>
        </w:rPr>
        <w:t xml:space="preserve"> „</w:t>
      </w:r>
      <w:r w:rsidRPr="001E5E02" w:rsidR="00902E8E">
        <w:rPr>
          <w:rFonts w:ascii="Book Antiqua" w:hAnsi="Book Antiqua"/>
          <w:bCs/>
          <w:sz w:val="22"/>
          <w:szCs w:val="22"/>
        </w:rPr>
        <w:t xml:space="preserve">funkcie </w:t>
      </w:r>
      <w:r w:rsidRPr="001E5E02">
        <w:rPr>
          <w:rFonts w:ascii="Book Antiqua" w:hAnsi="Book Antiqua"/>
          <w:bCs/>
          <w:sz w:val="22"/>
          <w:szCs w:val="22"/>
        </w:rPr>
        <w:t>prezidenta</w:t>
      </w:r>
      <w:r w:rsidRPr="001E5E02" w:rsidR="00902E8E">
        <w:rPr>
          <w:rFonts w:ascii="Book Antiqua" w:hAnsi="Book Antiqua"/>
          <w:bCs/>
          <w:sz w:val="22"/>
          <w:szCs w:val="22"/>
        </w:rPr>
        <w:t>,</w:t>
      </w:r>
      <w:r w:rsidRPr="001E5E02">
        <w:rPr>
          <w:rFonts w:ascii="Book Antiqua" w:hAnsi="Book Antiqua"/>
          <w:bCs/>
          <w:sz w:val="22"/>
          <w:szCs w:val="22"/>
        </w:rPr>
        <w:t>“.</w:t>
      </w:r>
    </w:p>
    <w:p w:rsidR="00384A20" w:rsidRPr="001E5E02" w:rsidP="00AF3E6D">
      <w:pPr>
        <w:bidi w:val="0"/>
        <w:spacing w:before="120" w:line="276" w:lineRule="auto"/>
        <w:rPr>
          <w:rFonts w:ascii="Book Antiqua" w:hAnsi="Book Antiqua"/>
          <w:bCs/>
          <w:sz w:val="22"/>
          <w:szCs w:val="22"/>
        </w:rPr>
      </w:pPr>
    </w:p>
    <w:p w:rsidR="00AF3E6D" w:rsidRPr="001E5E02" w:rsidP="00AF3E6D">
      <w:pPr>
        <w:bidi w:val="0"/>
        <w:spacing w:before="120" w:line="276" w:lineRule="auto"/>
        <w:rPr>
          <w:rFonts w:ascii="Book Antiqua" w:hAnsi="Book Antiqua"/>
          <w:bCs/>
          <w:sz w:val="22"/>
          <w:szCs w:val="22"/>
        </w:rPr>
      </w:pPr>
    </w:p>
    <w:p w:rsidR="00F444F8" w:rsidRPr="001E5E02" w:rsidP="00AF3E6D">
      <w:pPr>
        <w:bidi w:val="0"/>
        <w:spacing w:before="120" w:line="276" w:lineRule="auto"/>
        <w:jc w:val="center"/>
        <w:rPr>
          <w:rFonts w:ascii="Book Antiqua" w:hAnsi="Book Antiqua"/>
          <w:b/>
          <w:sz w:val="22"/>
          <w:szCs w:val="22"/>
        </w:rPr>
      </w:pPr>
      <w:r w:rsidRPr="001E5E02" w:rsidR="000E310D">
        <w:rPr>
          <w:rFonts w:ascii="Book Antiqua" w:hAnsi="Book Antiqua"/>
          <w:b/>
          <w:sz w:val="22"/>
          <w:szCs w:val="22"/>
        </w:rPr>
        <w:t>Čl. II</w:t>
      </w:r>
    </w:p>
    <w:p w:rsidR="00355DF8" w:rsidRPr="004A3E2C" w:rsidP="00AF3E6D">
      <w:pPr>
        <w:bidi w:val="0"/>
        <w:spacing w:before="120" w:line="276" w:lineRule="auto"/>
        <w:ind w:left="708"/>
        <w:jc w:val="both"/>
        <w:rPr>
          <w:rFonts w:ascii="Book Antiqua" w:hAnsi="Book Antiqua"/>
          <w:sz w:val="22"/>
          <w:szCs w:val="22"/>
        </w:rPr>
      </w:pPr>
      <w:r w:rsidRPr="001E5E02">
        <w:rPr>
          <w:rFonts w:ascii="Book Antiqua" w:hAnsi="Book Antiqua"/>
          <w:sz w:val="22"/>
          <w:szCs w:val="22"/>
        </w:rPr>
        <w:t xml:space="preserve">Tento </w:t>
      </w:r>
      <w:r w:rsidRPr="001E5E02" w:rsidR="00F444F8">
        <w:rPr>
          <w:rFonts w:ascii="Book Antiqua" w:hAnsi="Book Antiqua"/>
          <w:sz w:val="22"/>
          <w:szCs w:val="22"/>
        </w:rPr>
        <w:t xml:space="preserve">ústavný </w:t>
      </w:r>
      <w:r w:rsidRPr="001E5E02" w:rsidR="007B2565">
        <w:rPr>
          <w:rFonts w:ascii="Book Antiqua" w:hAnsi="Book Antiqua"/>
          <w:sz w:val="22"/>
          <w:szCs w:val="22"/>
        </w:rPr>
        <w:t>zákon n</w:t>
      </w:r>
      <w:r w:rsidRPr="001E5E02" w:rsidR="005741B6">
        <w:rPr>
          <w:rFonts w:ascii="Book Antiqua" w:hAnsi="Book Antiqua"/>
          <w:sz w:val="22"/>
          <w:szCs w:val="22"/>
        </w:rPr>
        <w:t>a</w:t>
      </w:r>
      <w:r w:rsidRPr="001E5E02" w:rsidR="009374D4">
        <w:rPr>
          <w:rFonts w:ascii="Book Antiqua" w:hAnsi="Book Antiqua"/>
          <w:sz w:val="22"/>
          <w:szCs w:val="22"/>
        </w:rPr>
        <w:t>do</w:t>
      </w:r>
      <w:r w:rsidRPr="001E5E02" w:rsidR="00AF3E6D">
        <w:rPr>
          <w:rFonts w:ascii="Book Antiqua" w:hAnsi="Book Antiqua"/>
          <w:sz w:val="22"/>
          <w:szCs w:val="22"/>
        </w:rPr>
        <w:t>búda účinnosť 1. júna</w:t>
      </w:r>
      <w:r w:rsidRPr="001E5E02" w:rsidR="009374D4">
        <w:rPr>
          <w:rFonts w:ascii="Book Antiqua" w:hAnsi="Book Antiqua"/>
          <w:sz w:val="22"/>
          <w:szCs w:val="22"/>
        </w:rPr>
        <w:t xml:space="preserve"> 2014</w:t>
      </w:r>
      <w:r w:rsidRPr="001E5E02" w:rsidR="005741B6">
        <w:rPr>
          <w:rFonts w:ascii="Book Antiqua" w:hAnsi="Book Antiqua"/>
          <w:sz w:val="22"/>
          <w:szCs w:val="22"/>
        </w:rPr>
        <w:t>.</w:t>
      </w:r>
    </w:p>
    <w:sectPr w:rsidSect="00450A28">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Book Antiqua">
    <w:panose1 w:val="02040602050305030304"/>
    <w:charset w:val="EE"/>
    <w:family w:val="roman"/>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34E3B"/>
    <w:multiLevelType w:val="hybridMultilevel"/>
    <w:tmpl w:val="A4FCFA4C"/>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
    <w:nsid w:val="0B08526B"/>
    <w:multiLevelType w:val="hybridMultilevel"/>
    <w:tmpl w:val="A1A02162"/>
    <w:lvl w:ilvl="0">
      <w:start w:val="1"/>
      <w:numFmt w:val="decimal"/>
      <w:lvlText w:val="%1."/>
      <w:lvlJc w:val="left"/>
      <w:pPr>
        <w:ind w:left="720" w:hanging="360"/>
      </w:pPr>
      <w:rPr>
        <w:rFonts w:eastAsia="Times New Roman" w:cs="Times New Roman" w:hint="default"/>
        <w:b w:val="0"/>
        <w:color w:val="231F2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2D362570"/>
    <w:multiLevelType w:val="hybridMultilevel"/>
    <w:tmpl w:val="E41CA14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3C6123F0"/>
    <w:multiLevelType w:val="hybridMultilevel"/>
    <w:tmpl w:val="A4DC1C92"/>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4">
    <w:nsid w:val="499B1377"/>
    <w:multiLevelType w:val="hybridMultilevel"/>
    <w:tmpl w:val="916EA4C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4E1F30A5"/>
    <w:multiLevelType w:val="hybridMultilevel"/>
    <w:tmpl w:val="F5A8D00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2"/>
  </w:num>
  <w:num w:numId="2">
    <w:abstractNumId w:val="1"/>
  </w:num>
  <w:num w:numId="3">
    <w:abstractNumId w:val="5"/>
  </w:num>
  <w:num w:numId="4">
    <w:abstractNumId w:val="4"/>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doNotUseIndentAsNumberingTabStop/>
    <w:allowSpaceOfSameStyleInTable/>
    <w:splitPgBreakAndParaMark/>
    <w:useAnsiKerningPairs/>
  </w:compat>
  <w:rsids>
    <w:rsidRoot w:val="00355DF8"/>
    <w:rsid w:val="00026FF8"/>
    <w:rsid w:val="000D2E53"/>
    <w:rsid w:val="000E310D"/>
    <w:rsid w:val="000F4272"/>
    <w:rsid w:val="00113A5A"/>
    <w:rsid w:val="0011595B"/>
    <w:rsid w:val="00120770"/>
    <w:rsid w:val="00122FC2"/>
    <w:rsid w:val="00134A54"/>
    <w:rsid w:val="00144062"/>
    <w:rsid w:val="0015522B"/>
    <w:rsid w:val="001717B1"/>
    <w:rsid w:val="00191453"/>
    <w:rsid w:val="00195FF0"/>
    <w:rsid w:val="001E271E"/>
    <w:rsid w:val="001E5E02"/>
    <w:rsid w:val="00220626"/>
    <w:rsid w:val="0022529E"/>
    <w:rsid w:val="00243657"/>
    <w:rsid w:val="00251AFB"/>
    <w:rsid w:val="002637A5"/>
    <w:rsid w:val="00273F9E"/>
    <w:rsid w:val="002835DF"/>
    <w:rsid w:val="0029474D"/>
    <w:rsid w:val="002A10BC"/>
    <w:rsid w:val="002D3D18"/>
    <w:rsid w:val="002F1482"/>
    <w:rsid w:val="002F5EBF"/>
    <w:rsid w:val="00315A87"/>
    <w:rsid w:val="00317EA7"/>
    <w:rsid w:val="003375F9"/>
    <w:rsid w:val="00355DF8"/>
    <w:rsid w:val="00384A20"/>
    <w:rsid w:val="00392D5C"/>
    <w:rsid w:val="00393EA5"/>
    <w:rsid w:val="0039747B"/>
    <w:rsid w:val="003A3B7B"/>
    <w:rsid w:val="003A5A0D"/>
    <w:rsid w:val="003C59B5"/>
    <w:rsid w:val="00444BCC"/>
    <w:rsid w:val="00450A28"/>
    <w:rsid w:val="00452619"/>
    <w:rsid w:val="00472D5D"/>
    <w:rsid w:val="00474ADD"/>
    <w:rsid w:val="004931CF"/>
    <w:rsid w:val="00496A32"/>
    <w:rsid w:val="00496EE0"/>
    <w:rsid w:val="004A3E2C"/>
    <w:rsid w:val="004A567E"/>
    <w:rsid w:val="00511153"/>
    <w:rsid w:val="00532326"/>
    <w:rsid w:val="005514DF"/>
    <w:rsid w:val="005741B6"/>
    <w:rsid w:val="005748BA"/>
    <w:rsid w:val="005A2487"/>
    <w:rsid w:val="005B0047"/>
    <w:rsid w:val="005D18E8"/>
    <w:rsid w:val="00661B75"/>
    <w:rsid w:val="00663192"/>
    <w:rsid w:val="006A2A48"/>
    <w:rsid w:val="0071290A"/>
    <w:rsid w:val="00723FC1"/>
    <w:rsid w:val="00740E04"/>
    <w:rsid w:val="00764629"/>
    <w:rsid w:val="00774D36"/>
    <w:rsid w:val="00791D62"/>
    <w:rsid w:val="007A60C4"/>
    <w:rsid w:val="007B2565"/>
    <w:rsid w:val="007B5ED5"/>
    <w:rsid w:val="007D10BF"/>
    <w:rsid w:val="007D7456"/>
    <w:rsid w:val="007F3CB7"/>
    <w:rsid w:val="008078FC"/>
    <w:rsid w:val="00823364"/>
    <w:rsid w:val="008553F9"/>
    <w:rsid w:val="00902E8E"/>
    <w:rsid w:val="00911577"/>
    <w:rsid w:val="00934976"/>
    <w:rsid w:val="00936F27"/>
    <w:rsid w:val="009374D4"/>
    <w:rsid w:val="00943BA1"/>
    <w:rsid w:val="0094671B"/>
    <w:rsid w:val="00950795"/>
    <w:rsid w:val="00972F78"/>
    <w:rsid w:val="009B3C7E"/>
    <w:rsid w:val="009C4F09"/>
    <w:rsid w:val="00A10A36"/>
    <w:rsid w:val="00A26DF2"/>
    <w:rsid w:val="00A37F27"/>
    <w:rsid w:val="00A62BA4"/>
    <w:rsid w:val="00A65321"/>
    <w:rsid w:val="00A90DCB"/>
    <w:rsid w:val="00AA0244"/>
    <w:rsid w:val="00AD61AB"/>
    <w:rsid w:val="00AE4888"/>
    <w:rsid w:val="00AF3E6D"/>
    <w:rsid w:val="00B16FB6"/>
    <w:rsid w:val="00B32B22"/>
    <w:rsid w:val="00B519D3"/>
    <w:rsid w:val="00B56A74"/>
    <w:rsid w:val="00B92160"/>
    <w:rsid w:val="00BA26F3"/>
    <w:rsid w:val="00BC4E65"/>
    <w:rsid w:val="00BE3A84"/>
    <w:rsid w:val="00C210C5"/>
    <w:rsid w:val="00C61FB1"/>
    <w:rsid w:val="00C66B12"/>
    <w:rsid w:val="00C85130"/>
    <w:rsid w:val="00C975EF"/>
    <w:rsid w:val="00CD076A"/>
    <w:rsid w:val="00D03809"/>
    <w:rsid w:val="00D24847"/>
    <w:rsid w:val="00D33F44"/>
    <w:rsid w:val="00D51FC3"/>
    <w:rsid w:val="00D72D34"/>
    <w:rsid w:val="00D822E9"/>
    <w:rsid w:val="00DB26F1"/>
    <w:rsid w:val="00DB457A"/>
    <w:rsid w:val="00DD7574"/>
    <w:rsid w:val="00DE56A9"/>
    <w:rsid w:val="00E129F9"/>
    <w:rsid w:val="00E21846"/>
    <w:rsid w:val="00E31D48"/>
    <w:rsid w:val="00E36B8E"/>
    <w:rsid w:val="00E8769E"/>
    <w:rsid w:val="00E92C16"/>
    <w:rsid w:val="00EA5452"/>
    <w:rsid w:val="00F444F8"/>
    <w:rsid w:val="00F63AF2"/>
    <w:rsid w:val="00F94E39"/>
    <w:rsid w:val="00FC34C8"/>
    <w:rsid w:val="00FE3A0B"/>
    <w:rsid w:val="00FF34B9"/>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DF8"/>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ListParagraph">
    <w:name w:val="List Paragraph"/>
    <w:basedOn w:val="Normal"/>
    <w:uiPriority w:val="34"/>
    <w:qFormat/>
    <w:rsid w:val="00355DF8"/>
    <w:pPr>
      <w:ind w:left="720"/>
      <w:contextualSpacing/>
      <w:jc w:val="left"/>
    </w:pPr>
  </w:style>
  <w:style w:type="character" w:styleId="CommentReference">
    <w:name w:val="annotation reference"/>
    <w:uiPriority w:val="99"/>
    <w:semiHidden/>
    <w:unhideWhenUsed/>
    <w:rsid w:val="002835DF"/>
    <w:rPr>
      <w:sz w:val="16"/>
    </w:rPr>
  </w:style>
  <w:style w:type="paragraph" w:styleId="CommentText">
    <w:name w:val="annotation text"/>
    <w:basedOn w:val="Normal"/>
    <w:link w:val="CommentTextChar"/>
    <w:uiPriority w:val="99"/>
    <w:unhideWhenUsed/>
    <w:rsid w:val="002835DF"/>
    <w:pPr>
      <w:jc w:val="left"/>
    </w:pPr>
    <w:rPr>
      <w:sz w:val="20"/>
      <w:szCs w:val="20"/>
    </w:rPr>
  </w:style>
  <w:style w:type="character" w:customStyle="1" w:styleId="CommentTextChar">
    <w:name w:val="Comment Text Char"/>
    <w:link w:val="CommentText"/>
    <w:uiPriority w:val="99"/>
    <w:locked/>
    <w:rsid w:val="002835DF"/>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2835DF"/>
    <w:pPr>
      <w:jc w:val="left"/>
    </w:pPr>
    <w:rPr>
      <w:b/>
      <w:bCs/>
    </w:rPr>
  </w:style>
  <w:style w:type="character" w:customStyle="1" w:styleId="CommentSubjectChar">
    <w:name w:val="Comment Subject Char"/>
    <w:link w:val="CommentSubject"/>
    <w:uiPriority w:val="99"/>
    <w:semiHidden/>
    <w:locked/>
    <w:rsid w:val="002835DF"/>
    <w:rPr>
      <w:rFonts w:ascii="Times New Roman" w:hAnsi="Times New Roman" w:cs="Times New Roman"/>
      <w:b/>
    </w:rPr>
  </w:style>
  <w:style w:type="paragraph" w:styleId="BalloonText">
    <w:name w:val="Balloon Text"/>
    <w:basedOn w:val="Normal"/>
    <w:link w:val="BalloonTextChar"/>
    <w:uiPriority w:val="99"/>
    <w:semiHidden/>
    <w:unhideWhenUsed/>
    <w:rsid w:val="002835DF"/>
    <w:pPr>
      <w:jc w:val="left"/>
    </w:pPr>
    <w:rPr>
      <w:rFonts w:ascii="Tahoma" w:hAnsi="Tahoma" w:cs="Tahoma"/>
      <w:sz w:val="16"/>
      <w:szCs w:val="16"/>
    </w:rPr>
  </w:style>
  <w:style w:type="character" w:customStyle="1" w:styleId="BalloonTextChar">
    <w:name w:val="Balloon Text Char"/>
    <w:link w:val="BalloonText"/>
    <w:uiPriority w:val="99"/>
    <w:semiHidden/>
    <w:locked/>
    <w:rsid w:val="002835DF"/>
    <w:rPr>
      <w:rFonts w:ascii="Tahoma" w:hAnsi="Tahoma" w:cs="Tahoma"/>
      <w:sz w:val="16"/>
    </w:rPr>
  </w:style>
  <w:style w:type="paragraph" w:styleId="FootnoteText">
    <w:name w:val="footnote text"/>
    <w:basedOn w:val="Normal"/>
    <w:link w:val="FootnoteTextChar"/>
    <w:uiPriority w:val="99"/>
    <w:semiHidden/>
    <w:unhideWhenUsed/>
    <w:rsid w:val="00315A87"/>
    <w:pPr>
      <w:jc w:val="left"/>
    </w:pPr>
    <w:rPr>
      <w:sz w:val="20"/>
      <w:szCs w:val="20"/>
    </w:rPr>
  </w:style>
  <w:style w:type="character" w:customStyle="1" w:styleId="FootnoteTextChar">
    <w:name w:val="Footnote Text Char"/>
    <w:link w:val="FootnoteText"/>
    <w:uiPriority w:val="99"/>
    <w:semiHidden/>
    <w:locked/>
    <w:rsid w:val="00315A87"/>
    <w:rPr>
      <w:rFonts w:ascii="Times New Roman" w:hAnsi="Times New Roman" w:cs="Times New Roman"/>
    </w:rPr>
  </w:style>
  <w:style w:type="character" w:styleId="FootnoteReference">
    <w:name w:val="footnote reference"/>
    <w:uiPriority w:val="99"/>
    <w:semiHidden/>
    <w:unhideWhenUsed/>
    <w:rsid w:val="00315A87"/>
    <w:rPr>
      <w:vertAlign w:val="superscript"/>
    </w:rPr>
  </w:style>
  <w:style w:type="paragraph" w:styleId="Revision">
    <w:name w:val="Revision"/>
    <w:hidden/>
    <w:uiPriority w:val="99"/>
    <w:semiHidden/>
    <w:rsid w:val="00972F78"/>
    <w:pPr>
      <w:framePr w:wrap="auto"/>
      <w:widowControl/>
      <w:autoSpaceDE/>
      <w:autoSpaceDN/>
      <w:adjustRightInd/>
      <w:ind w:left="0" w:right="0"/>
      <w:jc w:val="left"/>
      <w:textAlignment w:val="auto"/>
    </w:pPr>
    <w:rPr>
      <w:rFonts w:cs="Times New Roman"/>
      <w:sz w:val="24"/>
      <w:szCs w:val="24"/>
      <w:rtl w:val="0"/>
      <w:cs w:val="0"/>
      <w:lang w:val="sk-SK" w:eastAsia="sk-SK"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E497EB-2433-4907-9475-A45EE2166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TotalTime>
  <Pages>2</Pages>
  <Words>367</Words>
  <Characters>2092</Characters>
  <Application>Microsoft Office Word</Application>
  <DocSecurity>0</DocSecurity>
  <Lines>0</Lines>
  <Paragraphs>0</Paragraphs>
  <ScaleCrop>false</ScaleCrop>
  <Company>Kancelaria NR SR</Company>
  <LinksUpToDate>false</LinksUpToDate>
  <CharactersWithSpaces>2455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Meszaros</dc:creator>
  <cp:lastModifiedBy>Gašparíková, Jarmila</cp:lastModifiedBy>
  <cp:revision>2</cp:revision>
  <cp:lastPrinted>2013-01-10T16:21:00Z</cp:lastPrinted>
  <dcterms:created xsi:type="dcterms:W3CDTF">2014-02-28T17:37:00Z</dcterms:created>
  <dcterms:modified xsi:type="dcterms:W3CDTF">2014-02-28T17:37:00Z</dcterms:modified>
</cp:coreProperties>
</file>