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556A" w:rsidRPr="007B1258" w:rsidP="000C556A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7B1258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0C556A" w:rsidRPr="007B1258" w:rsidP="000C556A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B1258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7B1258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0C556A" w:rsidRPr="007B1258" w:rsidP="000C556A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0C556A" w:rsidP="000C556A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0C556A" w:rsidRPr="007B1258" w:rsidP="000C556A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B1258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7B1258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 xml:space="preserve">poslanci Národnej rady Slovenskej republiky </w:t>
      </w:r>
      <w:r w:rsidR="003B030F">
        <w:rPr>
          <w:rFonts w:ascii="Times New Roman" w:hAnsi="Times New Roman"/>
          <w:sz w:val="24"/>
          <w:szCs w:val="24"/>
          <w:lang w:val="sk-SK"/>
        </w:rPr>
        <w:t>Miroslav Kadúc a</w:t>
      </w:r>
      <w:r w:rsidR="00847D37">
        <w:rPr>
          <w:rFonts w:ascii="Times New Roman" w:hAnsi="Times New Roman"/>
          <w:sz w:val="24"/>
          <w:szCs w:val="24"/>
          <w:lang w:val="sk-SK"/>
        </w:rPr>
        <w:t> </w:t>
      </w:r>
      <w:r w:rsidR="003B030F">
        <w:rPr>
          <w:rFonts w:ascii="Times New Roman" w:hAnsi="Times New Roman"/>
          <w:sz w:val="24"/>
          <w:szCs w:val="24"/>
          <w:lang w:val="sk-SK"/>
        </w:rPr>
        <w:t>Martin</w:t>
      </w:r>
      <w:r w:rsidR="00847D3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B030F">
        <w:rPr>
          <w:rFonts w:ascii="Times New Roman" w:hAnsi="Times New Roman"/>
          <w:sz w:val="24"/>
          <w:szCs w:val="24"/>
          <w:lang w:val="sk-SK"/>
        </w:rPr>
        <w:t>Chren</w:t>
      </w:r>
    </w:p>
    <w:p w:rsidR="000C556A" w:rsidRPr="007B1258" w:rsidP="000C556A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 w:rsidRPr="007B1258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0C556A" w:rsidRPr="007B1258" w:rsidP="000C556A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B1258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7B125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47D37">
        <w:rPr>
          <w:rFonts w:ascii="Times New Roman" w:hAnsi="Times New Roman"/>
          <w:sz w:val="24"/>
          <w:szCs w:val="24"/>
          <w:highlight w:val="yellow"/>
          <w:lang w:val="sk-SK"/>
        </w:rPr>
        <w:t>návrh</w:t>
      </w:r>
      <w:r>
        <w:rPr>
          <w:rFonts w:ascii="Times New Roman" w:hAnsi="Times New Roman"/>
          <w:sz w:val="24"/>
          <w:szCs w:val="24"/>
          <w:lang w:val="sk-SK"/>
        </w:rPr>
        <w:t xml:space="preserve"> z</w:t>
      </w:r>
      <w:r w:rsidRPr="007B1258">
        <w:rPr>
          <w:rFonts w:ascii="Times New Roman" w:hAnsi="Times New Roman"/>
          <w:sz w:val="24"/>
          <w:szCs w:val="24"/>
          <w:lang w:val="sk-SK"/>
        </w:rPr>
        <w:t>ákon</w:t>
      </w:r>
      <w:r>
        <w:rPr>
          <w:rFonts w:ascii="Times New Roman" w:hAnsi="Times New Roman"/>
          <w:sz w:val="24"/>
          <w:szCs w:val="24"/>
          <w:lang w:val="sk-SK"/>
        </w:rPr>
        <w:t>a</w:t>
      </w:r>
      <w:r w:rsidRPr="007B1258">
        <w:rPr>
          <w:rFonts w:ascii="Times New Roman" w:hAnsi="Times New Roman"/>
          <w:sz w:val="24"/>
          <w:szCs w:val="24"/>
          <w:lang w:val="sk-SK"/>
        </w:rPr>
        <w:t xml:space="preserve">, ktorým sa mení a dopĺňa zákon </w:t>
      </w:r>
      <w:r>
        <w:rPr>
          <w:rFonts w:ascii="Times New Roman" w:hAnsi="Times New Roman"/>
          <w:sz w:val="24"/>
          <w:szCs w:val="24"/>
          <w:lang w:val="sk-SK"/>
        </w:rPr>
        <w:t>č</w:t>
      </w:r>
      <w:r w:rsidRPr="007B1258">
        <w:rPr>
          <w:rFonts w:ascii="Times New Roman" w:hAnsi="Times New Roman"/>
          <w:sz w:val="24"/>
          <w:szCs w:val="24"/>
          <w:lang w:val="sk-SK"/>
        </w:rPr>
        <w:t>. 513/1991 Zb. Obchodný zákonník v znení neskorších predpisov</w:t>
      </w:r>
    </w:p>
    <w:p w:rsidR="000C556A" w:rsidRPr="007B1258" w:rsidP="000C556A">
      <w:pPr>
        <w:bidi w:val="0"/>
        <w:spacing w:after="0" w:line="240" w:lineRule="auto"/>
        <w:jc w:val="both"/>
        <w:rPr>
          <w:rFonts w:ascii="Times New Roman" w:hAnsi="Times New Roman" w:cs="Verdana"/>
          <w:sz w:val="24"/>
          <w:szCs w:val="24"/>
          <w:lang w:val="sk-SK"/>
        </w:rPr>
      </w:pPr>
    </w:p>
    <w:p w:rsidR="000C556A" w:rsidRPr="007B1258" w:rsidP="000C556A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B1258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0C556A" w:rsidRPr="007B1258" w:rsidP="000C556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C556A" w:rsidP="000C556A">
      <w:pPr>
        <w:numPr>
          <w:numId w:val="2"/>
        </w:num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7B1258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0C556A" w:rsidP="000C556A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0C556A" w:rsidRPr="007B1258" w:rsidP="000C556A">
      <w:pPr>
        <w:bidi w:val="0"/>
        <w:spacing w:after="0" w:line="240" w:lineRule="auto"/>
        <w:ind w:left="720"/>
        <w:rPr>
          <w:rFonts w:ascii="Times New Roman" w:hAnsi="Times New Roman" w:cs="Verdana"/>
          <w:i/>
          <w:sz w:val="24"/>
          <w:szCs w:val="24"/>
          <w:lang w:val="sk-SK"/>
        </w:rPr>
      </w:pPr>
      <w:r w:rsidRPr="007B1258">
        <w:rPr>
          <w:rFonts w:ascii="Times New Roman" w:hAnsi="Times New Roman" w:cs="Verdana"/>
          <w:i/>
          <w:sz w:val="24"/>
          <w:szCs w:val="24"/>
          <w:lang w:val="sk-SK"/>
        </w:rPr>
        <w:t xml:space="preserve">v primárnom </w:t>
      </w:r>
    </w:p>
    <w:p w:rsidR="000C556A" w:rsidRPr="007B1258" w:rsidP="000C556A">
      <w:pPr>
        <w:bidi w:val="0"/>
        <w:spacing w:after="0" w:line="240" w:lineRule="auto"/>
        <w:ind w:left="720"/>
        <w:rPr>
          <w:rFonts w:ascii="Times New Roman" w:hAnsi="Times New Roman" w:cs="Verdana"/>
          <w:sz w:val="24"/>
          <w:szCs w:val="24"/>
          <w:lang w:val="sk-SK"/>
        </w:rPr>
      </w:pPr>
    </w:p>
    <w:p w:rsidR="000C556A" w:rsidRPr="007B1258" w:rsidP="000C556A">
      <w:pPr>
        <w:bidi w:val="0"/>
        <w:spacing w:after="0" w:line="240" w:lineRule="auto"/>
        <w:ind w:left="720"/>
        <w:jc w:val="both"/>
        <w:rPr>
          <w:rFonts w:ascii="Times New Roman" w:hAnsi="Times New Roman" w:cs="Verdana"/>
          <w:sz w:val="24"/>
          <w:szCs w:val="24"/>
          <w:lang w:val="sk-SK"/>
        </w:rPr>
      </w:pPr>
      <w:r>
        <w:rPr>
          <w:rFonts w:ascii="Times New Roman" w:hAnsi="Times New Roman" w:cs="Verdana"/>
          <w:sz w:val="24"/>
          <w:szCs w:val="24"/>
          <w:lang w:val="sk-SK"/>
        </w:rPr>
        <w:t xml:space="preserve">- </w:t>
      </w:r>
      <w:r w:rsidRPr="007B1258">
        <w:rPr>
          <w:rFonts w:ascii="Times New Roman" w:hAnsi="Times New Roman" w:cs="Verdana"/>
          <w:sz w:val="24"/>
          <w:szCs w:val="24"/>
          <w:lang w:val="sk-SK"/>
        </w:rPr>
        <w:t>člán</w:t>
      </w:r>
      <w:r>
        <w:rPr>
          <w:rFonts w:ascii="Times New Roman" w:hAnsi="Times New Roman" w:cs="Verdana"/>
          <w:sz w:val="24"/>
          <w:szCs w:val="24"/>
          <w:lang w:val="sk-SK"/>
        </w:rPr>
        <w:t>o</w:t>
      </w:r>
      <w:r w:rsidRPr="007B1258">
        <w:rPr>
          <w:rFonts w:ascii="Times New Roman" w:hAnsi="Times New Roman" w:cs="Verdana"/>
          <w:sz w:val="24"/>
          <w:szCs w:val="24"/>
          <w:lang w:val="sk-SK"/>
        </w:rPr>
        <w:t xml:space="preserve">k </w:t>
      </w:r>
      <w:r>
        <w:rPr>
          <w:rFonts w:ascii="Times New Roman" w:hAnsi="Times New Roman" w:cs="Verdana"/>
          <w:sz w:val="24"/>
          <w:szCs w:val="24"/>
          <w:lang w:val="sk-SK"/>
        </w:rPr>
        <w:t>50 ods. 1 a ods. 2 písm. g)</w:t>
      </w:r>
      <w:r w:rsidRPr="007B1258">
        <w:rPr>
          <w:rFonts w:ascii="Times New Roman" w:hAnsi="Times New Roman" w:cs="Verdana"/>
          <w:sz w:val="24"/>
          <w:szCs w:val="24"/>
          <w:lang w:val="sk-SK"/>
        </w:rPr>
        <w:t xml:space="preserve"> Zmluvy o </w:t>
      </w:r>
      <w:r>
        <w:rPr>
          <w:rFonts w:ascii="Times New Roman" w:hAnsi="Times New Roman" w:cs="Verdana"/>
          <w:sz w:val="24"/>
          <w:szCs w:val="24"/>
          <w:lang w:val="sk-SK"/>
        </w:rPr>
        <w:t>fungovaní</w:t>
      </w:r>
      <w:r w:rsidRPr="007B1258">
        <w:rPr>
          <w:rFonts w:ascii="Times New Roman" w:hAnsi="Times New Roman" w:cs="Verdana"/>
          <w:sz w:val="24"/>
          <w:szCs w:val="24"/>
          <w:lang w:val="sk-SK"/>
        </w:rPr>
        <w:t xml:space="preserve"> Európske</w:t>
      </w:r>
      <w:r>
        <w:rPr>
          <w:rFonts w:ascii="Times New Roman" w:hAnsi="Times New Roman" w:cs="Verdana"/>
          <w:sz w:val="24"/>
          <w:szCs w:val="24"/>
          <w:lang w:val="sk-SK"/>
        </w:rPr>
        <w:t>j únie</w:t>
      </w:r>
      <w:r w:rsidRPr="007B1258">
        <w:rPr>
          <w:rFonts w:ascii="Times New Roman" w:hAnsi="Times New Roman" w:cs="Verdana"/>
          <w:sz w:val="24"/>
          <w:szCs w:val="24"/>
          <w:lang w:val="sk-SK"/>
        </w:rPr>
        <w:t>,</w:t>
      </w:r>
    </w:p>
    <w:p w:rsidR="000C556A" w:rsidP="000C556A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0C556A" w:rsidP="000C556A">
      <w:pPr>
        <w:bidi w:val="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265596">
        <w:rPr>
          <w:rFonts w:ascii="Times New Roman" w:hAnsi="Times New Roman"/>
          <w:i/>
          <w:sz w:val="24"/>
          <w:szCs w:val="24"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0C556A" w:rsidP="000C556A">
      <w:pPr>
        <w:bidi w:val="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0C556A" w:rsidRPr="00F60E3B" w:rsidP="000C556A">
      <w:pPr>
        <w:pStyle w:val="ListParagraph"/>
        <w:numPr>
          <w:numId w:val="5"/>
        </w:num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F60E3B">
        <w:rPr>
          <w:rFonts w:ascii="Times New Roman" w:hAnsi="Times New Roman"/>
          <w:sz w:val="24"/>
          <w:szCs w:val="24"/>
          <w:lang w:val="sk-SK"/>
        </w:rPr>
        <w:t xml:space="preserve">legislatívne akty </w:t>
      </w:r>
    </w:p>
    <w:p w:rsidR="000C556A" w:rsidP="000C556A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0C556A" w:rsidP="000C556A">
      <w:pPr>
        <w:pStyle w:val="ListParagraph"/>
        <w:numPr>
          <w:numId w:val="4"/>
        </w:numPr>
        <w:bidi w:val="0"/>
        <w:spacing w:after="0" w:line="240" w:lineRule="auto"/>
        <w:ind w:left="1196" w:hanging="357"/>
        <w:jc w:val="both"/>
        <w:rPr>
          <w:rFonts w:ascii="Times New Roman" w:hAnsi="Times New Roman"/>
          <w:sz w:val="24"/>
          <w:szCs w:val="24"/>
          <w:lang w:val="sk-SK"/>
        </w:rPr>
      </w:pPr>
      <w:r w:rsidRPr="00692614">
        <w:rPr>
          <w:rFonts w:ascii="Times New Roman" w:hAnsi="Times New Roman"/>
          <w:sz w:val="24"/>
          <w:szCs w:val="24"/>
          <w:lang w:val="sk-SK"/>
        </w:rPr>
        <w:t>smernic</w:t>
      </w:r>
      <w:r>
        <w:rPr>
          <w:rFonts w:ascii="Times New Roman" w:hAnsi="Times New Roman"/>
          <w:sz w:val="24"/>
          <w:szCs w:val="24"/>
          <w:lang w:val="sk-SK"/>
        </w:rPr>
        <w:t>a</w:t>
      </w:r>
      <w:r w:rsidRPr="00692614">
        <w:rPr>
          <w:rFonts w:ascii="Times New Roman" w:hAnsi="Times New Roman"/>
          <w:sz w:val="24"/>
          <w:szCs w:val="24"/>
          <w:lang w:val="sk-SK"/>
        </w:rPr>
        <w:t xml:space="preserve"> Európskeho parlamentu a Rady 2012/17/EÚ z 13. júna 2012, ktorou sa mení a dopĺňa smernica Rady 89/666/EHS a smernice Európskeho parlamentu a Rady 2005/56/ES a 2009/101/ES, pokiaľ ide o prepojenie centrálnych registrov, obchodných registrov a registrov spoločností  (Ú. v. EÚ L 156, 16.6.201</w:t>
      </w:r>
      <w:r>
        <w:rPr>
          <w:rFonts w:ascii="Times New Roman" w:hAnsi="Times New Roman"/>
          <w:sz w:val="24"/>
          <w:szCs w:val="24"/>
          <w:lang w:val="sk-SK"/>
        </w:rPr>
        <w:t>2);</w:t>
      </w:r>
    </w:p>
    <w:p w:rsidR="000C556A" w:rsidRPr="00692614" w:rsidP="000C556A">
      <w:pPr>
        <w:pStyle w:val="ListParagraph"/>
        <w:bidi w:val="0"/>
        <w:spacing w:after="0" w:line="240" w:lineRule="auto"/>
        <w:ind w:left="1196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C556A" w:rsidP="000C556A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smernica </w:t>
      </w:r>
      <w:r w:rsidRPr="00C97485">
        <w:rPr>
          <w:rFonts w:ascii="Times New Roman" w:hAnsi="Times New Roman"/>
          <w:sz w:val="24"/>
          <w:szCs w:val="24"/>
          <w:lang w:val="sk-SK"/>
        </w:rPr>
        <w:t>E</w:t>
      </w:r>
      <w:r>
        <w:rPr>
          <w:rFonts w:ascii="Times New Roman" w:hAnsi="Times New Roman"/>
          <w:sz w:val="24"/>
          <w:szCs w:val="24"/>
          <w:lang w:val="sk-SK"/>
        </w:rPr>
        <w:t>urópskeho parlamentu a </w:t>
      </w:r>
      <w:r w:rsidRPr="00C97485">
        <w:rPr>
          <w:rFonts w:ascii="Times New Roman" w:hAnsi="Times New Roman"/>
          <w:sz w:val="24"/>
          <w:szCs w:val="24"/>
          <w:lang w:val="sk-SK"/>
        </w:rPr>
        <w:t>R</w:t>
      </w:r>
      <w:r>
        <w:rPr>
          <w:rFonts w:ascii="Times New Roman" w:hAnsi="Times New Roman"/>
          <w:sz w:val="24"/>
          <w:szCs w:val="24"/>
          <w:lang w:val="sk-SK"/>
        </w:rPr>
        <w:t xml:space="preserve">ady č. </w:t>
      </w:r>
      <w:r w:rsidRPr="00C97485">
        <w:rPr>
          <w:rFonts w:ascii="Times New Roman" w:hAnsi="Times New Roman"/>
          <w:sz w:val="24"/>
          <w:szCs w:val="24"/>
          <w:lang w:val="sk-SK"/>
        </w:rPr>
        <w:t>2012/30/EÚ z 25. októbra 2012 o koordinácii ochranných opatrení, ktoré členské štáty vyžadujú od obchodných spoločností na ochranu záujmov spoločníkov a tretích osôb v zmysle druhého odseku článku 54 Zmluvy o fungovaní Európskej únie, pokiaľ ide o zakladanie akciových spoločností a udržiavanie a zmenu ich základného imania, s cieľom dosiahnuť rovnocennosť týchto opatrení (prepracované znenie)</w:t>
      </w:r>
      <w:r>
        <w:rPr>
          <w:rFonts w:ascii="Times New Roman" w:hAnsi="Times New Roman"/>
          <w:sz w:val="24"/>
          <w:szCs w:val="24"/>
          <w:lang w:val="sk-SK"/>
        </w:rPr>
        <w:t xml:space="preserve"> (</w:t>
      </w:r>
      <w:r w:rsidRPr="00D852B4">
        <w:rPr>
          <w:rFonts w:ascii="Times New Roman" w:hAnsi="Times New Roman"/>
          <w:sz w:val="24"/>
          <w:szCs w:val="24"/>
          <w:lang w:val="sk-SK"/>
        </w:rPr>
        <w:t xml:space="preserve">Ú. v. EÚ L </w:t>
      </w:r>
      <w:r>
        <w:rPr>
          <w:rFonts w:ascii="Times New Roman" w:hAnsi="Times New Roman"/>
          <w:sz w:val="24"/>
          <w:szCs w:val="24"/>
          <w:lang w:val="sk-SK"/>
        </w:rPr>
        <w:t>315</w:t>
      </w:r>
      <w:r w:rsidRPr="00D852B4">
        <w:rPr>
          <w:rFonts w:ascii="Times New Roman" w:hAnsi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/>
          <w:sz w:val="24"/>
          <w:szCs w:val="24"/>
          <w:lang w:val="sk-SK"/>
        </w:rPr>
        <w:t>14.11.2012);</w:t>
      </w:r>
    </w:p>
    <w:p w:rsidR="000C556A" w:rsidP="000C556A">
      <w:pPr>
        <w:bidi w:val="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0C556A" w:rsidRPr="00F60E3B" w:rsidP="000C556A">
      <w:pPr>
        <w:pStyle w:val="ListParagraph"/>
        <w:numPr>
          <w:numId w:val="5"/>
        </w:num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F60E3B">
        <w:rPr>
          <w:rFonts w:ascii="Times New Roman" w:hAnsi="Times New Roman"/>
          <w:sz w:val="24"/>
          <w:szCs w:val="24"/>
          <w:lang w:val="sk-SK"/>
        </w:rPr>
        <w:t>nelegislatívne akty</w:t>
      </w:r>
    </w:p>
    <w:p w:rsidR="000C556A" w:rsidP="000C556A">
      <w:pPr>
        <w:bidi w:val="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0C556A" w:rsidRPr="007B1258" w:rsidP="000C556A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0C556A" w:rsidP="000C556A">
      <w:pPr>
        <w:numPr>
          <w:numId w:val="2"/>
        </w:num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7B1258">
        <w:rPr>
          <w:rFonts w:ascii="Times New Roman" w:hAnsi="Times New Roman"/>
          <w:sz w:val="24"/>
          <w:szCs w:val="24"/>
          <w:lang w:val="sk-SK"/>
        </w:rPr>
        <w:t>je obsiahnutá v judikatú</w:t>
      </w:r>
      <w:r>
        <w:rPr>
          <w:rFonts w:ascii="Times New Roman" w:hAnsi="Times New Roman"/>
          <w:sz w:val="24"/>
          <w:szCs w:val="24"/>
          <w:lang w:val="sk-SK"/>
        </w:rPr>
        <w:t>re Súdneho dvora Európskej únie</w:t>
      </w:r>
    </w:p>
    <w:p w:rsidR="000C556A" w:rsidP="000C556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0C556A" w:rsidP="000C556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0C556A" w:rsidRPr="003B030F" w:rsidP="000C556A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  <w:r w:rsidRPr="007B1258">
        <w:rPr>
          <w:rFonts w:ascii="Times New Roman" w:hAnsi="Times New Roman"/>
          <w:b/>
          <w:bCs/>
          <w:sz w:val="24"/>
          <w:szCs w:val="24"/>
          <w:lang w:val="sk-SK"/>
        </w:rPr>
        <w:t>4. Záväzky Slovenskej republiky vo vzťahu k Európskym spoločenstvám a Európskej únii:</w:t>
      </w:r>
      <w:r w:rsidR="003B030F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r w:rsidR="003B030F">
        <w:rPr>
          <w:rFonts w:ascii="Times New Roman" w:hAnsi="Times New Roman"/>
          <w:bCs/>
          <w:sz w:val="24"/>
          <w:szCs w:val="24"/>
          <w:lang w:val="sk-SK"/>
        </w:rPr>
        <w:t>bezpredmetné.</w:t>
      </w:r>
    </w:p>
    <w:p w:rsidR="000C556A" w:rsidP="000C556A">
      <w:pPr>
        <w:bidi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0C556A" w:rsidRPr="003B030F" w:rsidP="000C556A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  <w:r w:rsidRPr="007B1258">
        <w:rPr>
          <w:rFonts w:ascii="Times New Roman" w:hAnsi="Times New Roman"/>
          <w:b/>
          <w:bCs/>
          <w:sz w:val="24"/>
          <w:szCs w:val="24"/>
          <w:lang w:val="sk-SK"/>
        </w:rPr>
        <w:t>5. Stupeň zlučiteľnosti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>:</w:t>
      </w:r>
      <w:r w:rsidRPr="007B1258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r w:rsidR="003B030F">
        <w:rPr>
          <w:rFonts w:ascii="Times New Roman" w:hAnsi="Times New Roman"/>
          <w:bCs/>
          <w:sz w:val="24"/>
          <w:szCs w:val="24"/>
          <w:lang w:val="sk-SK"/>
        </w:rPr>
        <w:t>úplný.</w:t>
      </w:r>
    </w:p>
    <w:p w:rsidR="000C556A" w:rsidRPr="007B1258" w:rsidP="000C556A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</w:p>
    <w:p w:rsidR="000C556A" w:rsidRPr="003B030F" w:rsidP="000C556A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  <w:r w:rsidRPr="007B1258">
        <w:rPr>
          <w:rFonts w:ascii="Times New Roman" w:hAnsi="Times New Roman"/>
          <w:b/>
          <w:bCs/>
          <w:sz w:val="24"/>
          <w:szCs w:val="24"/>
          <w:lang w:val="sk-SK"/>
        </w:rPr>
        <w:t>6. Gestor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>:</w:t>
      </w:r>
      <w:r w:rsidRPr="007B1258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r w:rsidR="003B030F">
        <w:rPr>
          <w:rFonts w:ascii="Times New Roman" w:hAnsi="Times New Roman"/>
          <w:bCs/>
          <w:sz w:val="24"/>
          <w:szCs w:val="24"/>
          <w:lang w:val="sk-SK"/>
        </w:rPr>
        <w:t>bezpredmetné.</w:t>
      </w:r>
    </w:p>
    <w:p w:rsidR="000C556A" w:rsidP="000C556A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</w:p>
    <w:p w:rsidR="005434FA" w:rsidP="005434FA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5434FA" w:rsidP="005434FA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5434FA" w:rsidP="005434FA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434FA" w:rsidP="005434FA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434FA" w:rsidP="005434FA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A.1. Názov materiálu: </w:t>
      </w:r>
      <w:r w:rsidRPr="00847D37">
        <w:rPr>
          <w:rFonts w:ascii="Times New Roman" w:hAnsi="Times New Roman"/>
          <w:bCs/>
          <w:color w:val="000000"/>
          <w:sz w:val="24"/>
          <w:szCs w:val="24"/>
          <w:highlight w:val="yellow"/>
          <w:lang w:val="sk-SK"/>
        </w:rPr>
        <w:t>n</w:t>
      </w:r>
      <w:r w:rsidRPr="00847D37">
        <w:rPr>
          <w:rFonts w:ascii="Times New Roman" w:hAnsi="Times New Roman"/>
          <w:color w:val="000000"/>
          <w:sz w:val="24"/>
          <w:szCs w:val="24"/>
          <w:highlight w:val="yellow"/>
          <w:lang w:val="sk-SK"/>
        </w:rPr>
        <w:t>ávrh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 zákona, ktorým sa mení a dopĺňa zákon č. 513/1991 Zb. Obchodný zákonník v znení neskorších predpisov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</w:t>
      </w:r>
    </w:p>
    <w:p w:rsidR="005434FA" w:rsidP="005434FA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434FA" w:rsidP="005434FA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434FA" w:rsidP="005434FA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34FA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5434FA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5434FA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5434FA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5434FA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5434FA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34FA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5434FA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5434FA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5434FA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34FA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5434FA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5434FA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34FA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5434FA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34FA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5434FA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34FA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5434FA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34FA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5434FA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34FA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5434FA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34FA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5434FA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34FA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5434FA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34FA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5434FA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34FA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5434FA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34FA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5434FA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34FA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5434FA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34FA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5434FA" w:rsidP="005434FA">
      <w:pPr>
        <w:widowControl/>
        <w:bidi w:val="0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434FA" w:rsidP="005434FA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 Poznámky</w:t>
      </w:r>
    </w:p>
    <w:p w:rsidR="005434FA" w:rsidP="005434FA">
      <w:pPr>
        <w:bidi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  <w:t xml:space="preserve">  </w:t>
      </w:r>
    </w:p>
    <w:p w:rsidR="005434FA" w:rsidRPr="005434FA" w:rsidP="005434FA">
      <w:pPr>
        <w:bidi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iCs/>
          <w:color w:val="000000"/>
          <w:sz w:val="24"/>
          <w:szCs w:val="24"/>
          <w:lang w:val="sk-SK"/>
        </w:rPr>
        <w:t>Návrh zákona bude mať pozitívny vplyv na podnikateľské prostredie. Jeho cieľom je zamedzenie vzniku záväzkov spoločností, ktorých spoločníci prevedú svoje obchodné podiely na iné osoby, tzv. biele kone a subjekty, majúce pohľadávky voči takýmto spoločnostiam s ručením obmedzeným, sa svojich pohľadávok nikdy nedomôžu. Zvyšuje sa zodpovednosť spoločníkov – ich ručenie – vo vyššej miere, ako je tomu doteraz. Zároveň sa uľahčuje prístup zakladateľov – budúcich spoločníkov k založeniu a vzniku spoločnosti s ručením obmedzeným, pretože sa znižuje minimálna výška základného imania na 1 euro, resp. vklad každého spoločníka na minimálne 1 euro.</w:t>
      </w:r>
    </w:p>
    <w:p w:rsidR="005434FA" w:rsidP="005434FA">
      <w:pPr>
        <w:bidi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  <w:t xml:space="preserve">    </w:t>
      </w:r>
    </w:p>
    <w:p w:rsidR="005434FA" w:rsidP="005434FA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:rsidR="005434FA" w:rsidP="005434FA">
      <w:pPr>
        <w:widowControl/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434FA" w:rsidP="005434FA">
      <w:pPr>
        <w:widowControl/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A.5. Stanovisko gestorov</w:t>
      </w:r>
    </w:p>
    <w:p w:rsidR="005434FA" w:rsidP="005434FA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5434FA" w:rsidP="005434FA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5434FA" w:rsidP="005434FA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5434FA" w:rsidP="005434FA">
      <w:pPr>
        <w:bidi w:val="0"/>
      </w:pPr>
    </w:p>
    <w:p w:rsidR="003C35A1" w:rsidRPr="00165A85">
      <w:pPr>
        <w:bidi w:val="0"/>
        <w:rPr>
          <w:rFonts w:ascii="Times New Roman" w:hAnsi="Times New Roman"/>
          <w:sz w:val="24"/>
          <w:szCs w:val="24"/>
        </w:rPr>
      </w:pPr>
    </w:p>
    <w:sectPr w:rsidSect="0011244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4D5"/>
    <w:multiLevelType w:val="hybridMultilevel"/>
    <w:tmpl w:val="7CFC389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2BC555A5"/>
    <w:multiLevelType w:val="hybridMultilevel"/>
    <w:tmpl w:val="E86E59FC"/>
    <w:lvl w:ilvl="0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01520"/>
    <w:multiLevelType w:val="hybridMultilevel"/>
    <w:tmpl w:val="77F45E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48C4236"/>
    <w:multiLevelType w:val="hybridMultilevel"/>
    <w:tmpl w:val="28EEA4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8AE40DC"/>
    <w:multiLevelType w:val="hybridMultilevel"/>
    <w:tmpl w:val="11A43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65A85"/>
    <w:rsid w:val="000C556A"/>
    <w:rsid w:val="00112445"/>
    <w:rsid w:val="00157FB4"/>
    <w:rsid w:val="00165A85"/>
    <w:rsid w:val="00265596"/>
    <w:rsid w:val="003B030F"/>
    <w:rsid w:val="003C35A1"/>
    <w:rsid w:val="005434FA"/>
    <w:rsid w:val="00692614"/>
    <w:rsid w:val="007B1258"/>
    <w:rsid w:val="00847D37"/>
    <w:rsid w:val="00C97485"/>
    <w:rsid w:val="00D84087"/>
    <w:rsid w:val="00D852B4"/>
    <w:rsid w:val="00F60E3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FA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4FA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450</Words>
  <Characters>2568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2014-02-28T17:09:00Z</dcterms:created>
  <dcterms:modified xsi:type="dcterms:W3CDTF">2014-02-28T17:09:00Z</dcterms:modified>
</cp:coreProperties>
</file>