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1AB8" w:rsidRPr="00F21AB8" w:rsidP="00F21AB8">
      <w:pPr>
        <w:bidi w:val="0"/>
        <w:spacing w:after="0" w:line="240" w:lineRule="auto"/>
        <w:jc w:val="center"/>
        <w:rPr>
          <w:rFonts w:ascii="Times New Roman" w:hAnsi="Times New Roman" w:cs="Times New Roman"/>
          <w:b/>
          <w:caps/>
          <w:color w:val="000000"/>
          <w:spacing w:val="30"/>
          <w:sz w:val="24"/>
          <w:szCs w:val="24"/>
          <w:lang w:eastAsia="sk-SK"/>
        </w:rPr>
      </w:pPr>
      <w:r w:rsidRPr="00F21AB8">
        <w:rPr>
          <w:rFonts w:ascii="Times New Roman" w:hAnsi="Times New Roman" w:cs="Times New Roman"/>
          <w:b/>
          <w:caps/>
          <w:color w:val="000000"/>
          <w:spacing w:val="30"/>
          <w:sz w:val="24"/>
          <w:szCs w:val="24"/>
          <w:lang w:eastAsia="sk-SK"/>
        </w:rPr>
        <w:t>Dôvodová správa</w:t>
      </w:r>
    </w:p>
    <w:p w:rsidR="00F21AB8" w:rsidRPr="00F21AB8" w:rsidP="00F21AB8">
      <w:pPr>
        <w:bidi w:val="0"/>
        <w:spacing w:after="0" w:line="240" w:lineRule="auto"/>
        <w:jc w:val="both"/>
        <w:rPr>
          <w:rFonts w:ascii="Times New Roman" w:hAnsi="Times New Roman" w:cs="Times New Roman"/>
          <w:color w:val="000000"/>
          <w:sz w:val="24"/>
          <w:szCs w:val="24"/>
          <w:lang w:eastAsia="sk-SK"/>
        </w:rPr>
      </w:pPr>
    </w:p>
    <w:p w:rsidR="00F21AB8" w:rsidRPr="00F21AB8" w:rsidP="00F21AB8">
      <w:pPr>
        <w:bidi w:val="0"/>
        <w:spacing w:after="0" w:line="240" w:lineRule="auto"/>
        <w:jc w:val="both"/>
        <w:rPr>
          <w:rFonts w:ascii="Times New Roman" w:hAnsi="Times New Roman" w:cs="Times New Roman"/>
          <w:color w:val="000000"/>
          <w:sz w:val="24"/>
          <w:szCs w:val="24"/>
          <w:lang w:eastAsia="sk-SK"/>
        </w:rPr>
      </w:pPr>
    </w:p>
    <w:p w:rsidR="00F21AB8" w:rsidRPr="00F21AB8" w:rsidP="00F21AB8">
      <w:pPr>
        <w:bidi w:val="0"/>
        <w:spacing w:after="0" w:line="240" w:lineRule="auto"/>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A. Všeobecná časť</w:t>
      </w:r>
    </w:p>
    <w:p w:rsidR="00F21AB8" w:rsidRPr="00F21AB8" w:rsidP="00F21AB8">
      <w:pPr>
        <w:bidi w:val="0"/>
        <w:spacing w:after="0" w:line="240" w:lineRule="auto"/>
        <w:ind w:firstLine="709"/>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Vypracovanie nového zákona o verejných zbierkach vyplýva najmä z objektívnej potreby dosiahnuť súlad s Ústavou Slovenskej republiky a s právnym poriadkom Slovenskej republiky ako celkom, keďže v súčasnosti platný zákon a vyhláška upravujúca verejné zbierky je z roku 1973 a nezohľadňuje nové ústavné a spoločensko-ekonomické podmienky determinujúce predmet úpravy. Zároveň s navrhovaným zákonom sa novelizujú aj väzbové právne predpisy (zákon o správnych poplatkoch a zákon o neinvestičných fondoch).</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Navrhovaná právna úprava vychádza predovšetkým z analýz a praktických skúseností, podnetov mimovládnych neziskových organizácií vykonávajúcich verejné zbierky v Slovenskej republike, ako aj zo získaných skúseností z niektorých štátov Európskej únie (napríklad Fínska republika, Česká republika, Litovská republika, Republika Malta, Spojené kráľovstvo Veľkej Británie a Severného Írska) v tejto oblasti, v ktorých existuje povoľovací systém verejnej zbierky alebo registrácia verejnej zbierky príslušným orgánom štátu. Zároveň za porušovanie zákonných povinností pri vykonávaní verejnej zbierky sa uplatňuje inštitút ukladania sankcií.</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Cieľom navrhovaného zákona o verejných zbierkach je ustanoviť najmä</w:t>
      </w:r>
    </w:p>
    <w:p w:rsidR="00F21AB8" w:rsidRPr="00F21AB8" w:rsidP="00F21AB8">
      <w:pPr>
        <w:bidi w:val="0"/>
        <w:spacing w:after="0" w:line="240" w:lineRule="auto"/>
        <w:ind w:left="284" w:hanging="284"/>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a) vymedzenie základných pojmov, a to verejná zbierka, všeobecne prospešný účel, hrubý výnos verejnej zbierky, čistý výnos verejnej zbierky a náklady verejnej zbierky na účely tohto zákona,</w:t>
      </w:r>
    </w:p>
    <w:p w:rsidR="00F21AB8" w:rsidRPr="00F21AB8" w:rsidP="00F21AB8">
      <w:pPr>
        <w:bidi w:val="0"/>
        <w:spacing w:after="0" w:line="240" w:lineRule="auto"/>
        <w:ind w:left="284" w:hanging="284"/>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b) všeobecné podmienky vykonávania verejnej zbierky, právnické osoby oprávnené vykonávať verejnú zbierku,</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c) pôsobnosť správnych orgánov a konanie o registrácii verejnej zbierky,</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d) register verejných zbierok, ktorý má konštitutívny charakter,</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e) spôsoby vykonávania verejnej zbierky,</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f) povinnosti oprávnených právnických osôb pri vykonávaní verejnej zbierky,</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g) kontrolu vykonávania verejnej zbierky orgánmi štátnej správy,</w:t>
      </w: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h) skutkové podstaty správnych deliktov a sankcie za ich naplnenie.</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Podľa predloženého návrhu zákona budú môcť vykonávať verejnú zbierku len právnické osoby ustanovené týmto zákonom na vopred určený všeobecne prospešný účel po platnom zápise orgánom štátnej správy do registra verejných zbierok (konštitutívny charakter zápisu). Register verejných zbierok bude viesť Ministerstvo vnútra Slovenskej republiky ako verejný zoznam, do ktorého budú zapisovať zákonom ustanovené údaje Ministerstvo vnútra Slovenskej republiky a okresné úrady.</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Okrem zaužívaných spôsobov vykonávania verejnej zbierky sa navrhujú aj ďalšie, pričom sa vychádza zo súčasných telekomunikačných možností a informačných technológií (darcovské správy SMS a volania na skrátené číslo).</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Návrh zákona prináša výrazné zvýšenie transparentnosti pri vykonávaní verejnej zbierky a pri použití jej čistého výnosu na ustanovený všeobecne prospešný účel.</w:t>
      </w: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 xml:space="preserve">Pri príprave návrhu zákona aktívne spolupracovali aj zástupcovia mimovládnych neziskových organizácií (Centrum pre filantropiu n. o., Liga proti rakovine Slovenskej republiky a </w:t>
      </w:r>
      <w:r w:rsidRPr="00F21AB8">
        <w:rPr>
          <w:rFonts w:ascii="Times New Roman" w:eastAsia="MS Mincho" w:hAnsi="Times New Roman" w:cs="Times New Roman" w:hint="default"/>
          <w:sz w:val="24"/>
          <w:szCs w:val="24"/>
          <w:lang w:eastAsia="sk-SK"/>
        </w:rPr>
        <w:t>eRko - Hnutie kresť</w:t>
      </w:r>
      <w:r w:rsidRPr="00F21AB8">
        <w:rPr>
          <w:rFonts w:ascii="Times New Roman" w:eastAsia="MS Mincho" w:hAnsi="Times New Roman" w:cs="Times New Roman" w:hint="default"/>
          <w:sz w:val="24"/>
          <w:szCs w:val="24"/>
          <w:lang w:eastAsia="sk-SK"/>
        </w:rPr>
        <w:t>anský</w:t>
      </w:r>
      <w:r w:rsidRPr="00F21AB8">
        <w:rPr>
          <w:rFonts w:ascii="Times New Roman" w:eastAsia="MS Mincho" w:hAnsi="Times New Roman" w:cs="Times New Roman" w:hint="default"/>
          <w:sz w:val="24"/>
          <w:szCs w:val="24"/>
          <w:lang w:eastAsia="sk-SK"/>
        </w:rPr>
        <w:t>ch spoloč</w:t>
      </w:r>
      <w:r w:rsidRPr="00F21AB8">
        <w:rPr>
          <w:rFonts w:ascii="Times New Roman" w:eastAsia="MS Mincho" w:hAnsi="Times New Roman" w:cs="Times New Roman" w:hint="default"/>
          <w:sz w:val="24"/>
          <w:szCs w:val="24"/>
          <w:lang w:eastAsia="sk-SK"/>
        </w:rPr>
        <w:t>enstiev detí</w:t>
      </w:r>
      <w:r w:rsidRPr="00F21AB8">
        <w:rPr>
          <w:rFonts w:ascii="Times New Roman" w:eastAsia="MS Mincho" w:hAnsi="Times New Roman" w:cs="Times New Roman" w:hint="default"/>
          <w:sz w:val="24"/>
          <w:szCs w:val="24"/>
          <w:lang w:eastAsia="sk-SK"/>
        </w:rPr>
        <w:t>)</w:t>
      </w:r>
      <w:r w:rsidRPr="00F21AB8">
        <w:rPr>
          <w:rFonts w:ascii="Times New Roman" w:hAnsi="Times New Roman" w:cs="Times New Roman"/>
          <w:sz w:val="24"/>
          <w:szCs w:val="24"/>
          <w:lang w:eastAsia="sk-SK"/>
        </w:rPr>
        <w:t>.</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Schválenie navrhovaného zákona nebude mať negatívny vplyv na verejné financie, podnikateľské prostredie, sociálny vplyv a vplyv na životné prostredie; bude mať však pozitívny vplyv na informatizáciu spoločnosti.</w:t>
      </w:r>
    </w:p>
    <w:p w:rsidR="00F21AB8" w:rsidRPr="00F21AB8" w:rsidP="00F21AB8">
      <w:pPr>
        <w:bidi w:val="0"/>
        <w:spacing w:after="0" w:line="240" w:lineRule="auto"/>
        <w:ind w:firstLine="708"/>
        <w:jc w:val="both"/>
        <w:rPr>
          <w:rFonts w:ascii="Times New Roman" w:hAnsi="Times New Roman" w:cs="Times New Roman"/>
          <w:sz w:val="24"/>
          <w:szCs w:val="24"/>
          <w:lang w:eastAsia="sk-SK"/>
        </w:rPr>
      </w:pPr>
    </w:p>
    <w:p w:rsidR="00F21AB8" w:rsidRPr="00F21AB8" w:rsidP="00F21AB8">
      <w:pPr>
        <w:bidi w:val="0"/>
        <w:spacing w:after="0" w:line="240" w:lineRule="auto"/>
        <w:ind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Návrh zákona je v súlade s Ústavou Slovenskej republiky, ústavnými zákonmi a zákonmi a medzinárodnými zmluvami, ktorými je Slovenská republika viazaná, ako aj s právom Európskej únie.</w:t>
      </w:r>
    </w:p>
    <w:p w:rsidR="00F21AB8" w:rsidRPr="00F21AB8" w:rsidP="00F21AB8">
      <w:pPr>
        <w:bidi w:val="0"/>
        <w:spacing w:after="0" w:line="240" w:lineRule="auto"/>
        <w:rPr>
          <w:rFonts w:ascii="Times New Roman" w:hAnsi="Times New Roman" w:cs="Times New Roman"/>
          <w:sz w:val="24"/>
          <w:szCs w:val="24"/>
          <w:lang w:eastAsia="sk-SK"/>
        </w:rPr>
      </w:pPr>
      <w:r w:rsidRPr="00F21AB8">
        <w:rPr>
          <w:rFonts w:ascii="Times New Roman" w:hAnsi="Times New Roman" w:cs="Times New Roman"/>
          <w:color w:val="808080"/>
          <w:sz w:val="24"/>
          <w:szCs w:val="24"/>
          <w:lang w:eastAsia="sk-SK"/>
        </w:rPr>
        <w:br w:type="page"/>
      </w:r>
    </w:p>
    <w:p w:rsidR="00F21AB8" w:rsidRPr="00F21AB8" w:rsidP="00F21AB8">
      <w:pPr>
        <w:bidi w:val="0"/>
        <w:spacing w:after="0" w:line="240" w:lineRule="auto"/>
        <w:jc w:val="center"/>
        <w:rPr>
          <w:rFonts w:ascii="Times New Roman" w:hAnsi="Times New Roman" w:cs="Times New Roman"/>
          <w:b/>
          <w:bCs/>
          <w:caps/>
          <w:color w:val="000000"/>
          <w:spacing w:val="30"/>
          <w:sz w:val="24"/>
          <w:szCs w:val="24"/>
          <w:lang w:eastAsia="sk-SK"/>
        </w:rPr>
      </w:pPr>
      <w:r w:rsidRPr="00F21AB8">
        <w:rPr>
          <w:rFonts w:ascii="Times New Roman" w:hAnsi="Times New Roman" w:cs="Times New Roman"/>
          <w:b/>
          <w:bCs/>
          <w:caps/>
          <w:color w:val="000000"/>
          <w:spacing w:val="30"/>
          <w:sz w:val="24"/>
          <w:szCs w:val="24"/>
          <w:lang w:eastAsia="sk-SK"/>
        </w:rPr>
        <w:t>Doložka</w:t>
      </w:r>
    </w:p>
    <w:p w:rsidR="00F21AB8" w:rsidRPr="00F21AB8" w:rsidP="00F21AB8">
      <w:pPr>
        <w:bidi w:val="0"/>
        <w:spacing w:after="0" w:line="240" w:lineRule="auto"/>
        <w:jc w:val="center"/>
        <w:rPr>
          <w:rFonts w:ascii="Times New Roman" w:hAnsi="Times New Roman" w:cs="Times New Roman"/>
          <w:b/>
          <w:bCs/>
          <w:color w:val="000000"/>
          <w:sz w:val="24"/>
          <w:szCs w:val="24"/>
          <w:lang w:eastAsia="sk-SK"/>
        </w:rPr>
      </w:pPr>
      <w:r w:rsidRPr="00F21AB8">
        <w:rPr>
          <w:rFonts w:ascii="Times New Roman" w:hAnsi="Times New Roman" w:cs="Times New Roman"/>
          <w:b/>
          <w:bCs/>
          <w:color w:val="000000"/>
          <w:sz w:val="24"/>
          <w:szCs w:val="24"/>
          <w:lang w:eastAsia="sk-SK"/>
        </w:rPr>
        <w:t>vybraných vplyvov</w:t>
      </w:r>
    </w:p>
    <w:p w:rsidR="00F21AB8" w:rsidRPr="00F21AB8" w:rsidP="00F21AB8">
      <w:pPr>
        <w:bidi w:val="0"/>
        <w:spacing w:after="0" w:line="240" w:lineRule="auto"/>
        <w:rPr>
          <w:rFonts w:ascii="Times New Roman" w:hAnsi="Times New Roman" w:cs="Times New Roman"/>
          <w:color w:val="000000"/>
          <w:sz w:val="24"/>
          <w:szCs w:val="24"/>
          <w:lang w:eastAsia="sk-SK"/>
        </w:rPr>
      </w:pPr>
    </w:p>
    <w:p w:rsidR="00F21AB8" w:rsidRPr="00F21AB8" w:rsidP="00F21AB8">
      <w:pPr>
        <w:bidi w:val="0"/>
        <w:spacing w:after="0" w:line="240" w:lineRule="auto"/>
        <w:rPr>
          <w:rFonts w:ascii="Times New Roman" w:hAnsi="Times New Roman" w:cs="Times New Roman"/>
          <w:color w:val="000000"/>
          <w:sz w:val="24"/>
          <w:szCs w:val="24"/>
          <w:lang w:eastAsia="sk-SK"/>
        </w:rPr>
      </w:pPr>
    </w:p>
    <w:p w:rsidR="00F21AB8" w:rsidRPr="00F21AB8" w:rsidP="00F21AB8">
      <w:pPr>
        <w:bidi w:val="0"/>
        <w:spacing w:after="0" w:line="240" w:lineRule="auto"/>
        <w:ind w:left="2410" w:hanging="2410"/>
        <w:jc w:val="both"/>
        <w:rPr>
          <w:rFonts w:ascii="Times New Roman" w:hAnsi="Times New Roman" w:cs="Times New Roman"/>
          <w:color w:val="000000"/>
          <w:sz w:val="24"/>
          <w:szCs w:val="24"/>
          <w:lang w:eastAsia="sk-SK"/>
        </w:rPr>
      </w:pPr>
      <w:r w:rsidRPr="00F21AB8">
        <w:rPr>
          <w:rFonts w:ascii="Times New Roman" w:hAnsi="Times New Roman" w:cs="Times New Roman"/>
          <w:b/>
          <w:bCs/>
          <w:color w:val="000000"/>
          <w:sz w:val="24"/>
          <w:szCs w:val="24"/>
          <w:lang w:eastAsia="sk-SK"/>
        </w:rPr>
        <w:t xml:space="preserve">A.1. Názov materiálu: </w:t>
      </w:r>
      <w:r w:rsidRPr="00F21AB8">
        <w:rPr>
          <w:rFonts w:ascii="Times New Roman" w:hAnsi="Times New Roman" w:cs="Times New Roman"/>
          <w:color w:val="000000"/>
          <w:sz w:val="24"/>
          <w:szCs w:val="24"/>
          <w:lang w:eastAsia="sk-SK"/>
        </w:rPr>
        <w:t>Návrh zákona o verejných zbierkach a o zmene a doplnení niektorých zákonov</w:t>
      </w:r>
    </w:p>
    <w:p w:rsidR="00F21AB8" w:rsidRPr="00F21AB8" w:rsidP="00F21AB8">
      <w:pPr>
        <w:bidi w:val="0"/>
        <w:spacing w:after="0" w:line="240" w:lineRule="auto"/>
        <w:ind w:firstLine="567"/>
        <w:jc w:val="both"/>
        <w:rPr>
          <w:rFonts w:ascii="Times New Roman" w:hAnsi="Times New Roman" w:cs="Times New Roman"/>
          <w:color w:val="000000"/>
          <w:sz w:val="24"/>
          <w:szCs w:val="24"/>
          <w:lang w:eastAsia="sk-SK"/>
        </w:rPr>
      </w:pPr>
      <w:r w:rsidRPr="00F21AB8">
        <w:rPr>
          <w:rFonts w:ascii="Times New Roman" w:hAnsi="Times New Roman" w:cs="Times New Roman"/>
          <w:b/>
          <w:bCs/>
          <w:color w:val="000000"/>
          <w:sz w:val="24"/>
          <w:szCs w:val="24"/>
          <w:lang w:eastAsia="sk-SK"/>
        </w:rPr>
        <w:t>Termín začatia a ukončenia PPK:</w:t>
      </w:r>
      <w:r w:rsidRPr="00F21AB8">
        <w:rPr>
          <w:rFonts w:ascii="Times New Roman" w:hAnsi="Times New Roman" w:cs="Times New Roman"/>
          <w:color w:val="000000"/>
          <w:sz w:val="24"/>
          <w:szCs w:val="24"/>
          <w:lang w:eastAsia="sk-SK"/>
        </w:rPr>
        <w:t xml:space="preserve"> –</w:t>
      </w: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r w:rsidRPr="00F21AB8">
        <w:rPr>
          <w:rFonts w:ascii="Times New Roman" w:hAnsi="Times New Roman" w:cs="Times New Roman"/>
          <w:b/>
          <w:bCs/>
          <w:color w:val="000000"/>
          <w:sz w:val="24"/>
          <w:szCs w:val="24"/>
          <w:lang w:eastAsia="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07"/>
        <w:gridCol w:w="1197"/>
        <w:gridCol w:w="1183"/>
        <w:gridCol w:w="1201"/>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Pozitívne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Žiadne </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Negatívne </w:t>
            </w: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1. Vplyvy na rozpočet verejnej správy</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2. Vplyvy na podnikateľské prostredie – dochádza k zvýšeniu regulačného zaťaženia?</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3. Sociálne vplyvy</w:t>
            </w:r>
          </w:p>
        </w:tc>
        <w:tc>
          <w:tcPr>
            <w:tcW w:w="1206" w:type="dxa"/>
            <w:vMerge w:val="restart"/>
            <w:tcBorders>
              <w:top w:val="outset" w:sz="6"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vMerge w:val="restart"/>
            <w:tcBorders>
              <w:top w:val="outset" w:sz="6"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x</w:t>
            </w:r>
          </w:p>
        </w:tc>
        <w:tc>
          <w:tcPr>
            <w:tcW w:w="1206" w:type="dxa"/>
            <w:vMerge w:val="restart"/>
            <w:tcBorders>
              <w:top w:val="outset" w:sz="6"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vplyvy na hospodárenie obyvateľstva,</w:t>
            </w:r>
          </w:p>
        </w:tc>
        <w:tc>
          <w:tcPr>
            <w:tcW w:w="0" w:type="auto"/>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0" w:type="auto"/>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0" w:type="auto"/>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sociálnu exklúziu,</w:t>
            </w:r>
          </w:p>
        </w:tc>
        <w:tc>
          <w:tcPr>
            <w:tcW w:w="1206" w:type="dxa"/>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vMerge/>
            <w:tcBorders>
              <w:top w:val="none" w:sz="0" w:space="0" w:color="auto"/>
              <w:left w:val="outset" w:sz="6" w:space="0" w:color="auto"/>
              <w:bottom w:val="none" w:sz="0"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 rovnosť príležitostí a rodovú rovnosť a vplyvy na zamestnanosť</w:t>
            </w:r>
          </w:p>
        </w:tc>
        <w:tc>
          <w:tcPr>
            <w:tcW w:w="1206" w:type="dxa"/>
            <w:vMerge/>
            <w:tcBorders>
              <w:top w:val="none" w:sz="0"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vMerge/>
            <w:tcBorders>
              <w:top w:val="none" w:sz="0"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vMerge/>
            <w:tcBorders>
              <w:top w:val="none" w:sz="0"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4. Vplyvy na životné prostredie</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r>
        <w:tblPrEx>
          <w:tblW w:w="5000" w:type="pct"/>
          <w:tblInd w:w="1" w:type="dxa"/>
          <w:tblCellMar>
            <w:left w:w="0" w:type="dxa"/>
            <w:right w:w="0" w:type="dxa"/>
          </w:tblCellMar>
        </w:tblPrEx>
        <w:tc>
          <w:tcPr>
            <w:tcW w:w="5758"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5. Vplyvy na informatizáciu spoločnosti</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x</w:t>
            </w: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c>
          <w:tcPr>
            <w:tcW w:w="1206" w:type="dxa"/>
            <w:tcBorders>
              <w:top w:val="outset" w:sz="6" w:space="0" w:color="auto"/>
              <w:left w:val="outset" w:sz="6" w:space="0" w:color="auto"/>
              <w:bottom w:val="outset" w:sz="6" w:space="0" w:color="auto"/>
              <w:right w:val="outset" w:sz="6" w:space="0" w:color="auto"/>
            </w:tcBorders>
            <w:textDirection w:val="lrTb"/>
            <w:vAlign w:val="center"/>
          </w:tcPr>
          <w:p w:rsidR="00F21AB8" w:rsidRPr="00F21AB8" w:rsidP="00F21AB8">
            <w:pPr>
              <w:bidi w:val="0"/>
              <w:spacing w:after="0" w:line="240" w:lineRule="auto"/>
              <w:jc w:val="center"/>
              <w:rPr>
                <w:rFonts w:ascii="Times New Roman" w:hAnsi="Times New Roman" w:cs="Times New Roman"/>
                <w:color w:val="000000"/>
                <w:sz w:val="24"/>
                <w:szCs w:val="24"/>
                <w:lang w:eastAsia="sk-SK"/>
              </w:rPr>
            </w:pPr>
          </w:p>
        </w:tc>
      </w:tr>
    </w:tbl>
    <w:p w:rsidR="00F21AB8" w:rsidRPr="00F21AB8" w:rsidP="00F21AB8">
      <w:pPr>
        <w:bidi w:val="0"/>
        <w:spacing w:after="0" w:line="240" w:lineRule="auto"/>
        <w:rPr>
          <w:rFonts w:ascii="Times New Roman" w:hAnsi="Times New Roman" w:cs="Times New Roman"/>
          <w:color w:val="000000"/>
          <w:sz w:val="24"/>
          <w:szCs w:val="24"/>
          <w:lang w:eastAsia="sk-SK"/>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r w:rsidRPr="00F21AB8">
        <w:rPr>
          <w:rFonts w:ascii="Times New Roman" w:hAnsi="Times New Roman" w:cs="Times New Roman"/>
          <w:b/>
          <w:bCs/>
          <w:color w:val="000000"/>
          <w:sz w:val="24"/>
          <w:szCs w:val="24"/>
          <w:lang w:eastAsia="sk-SK"/>
        </w:rPr>
        <w:t>A.3. Poznámky</w:t>
      </w:r>
    </w:p>
    <w:p w:rsidR="00F21AB8" w:rsidRPr="00F21AB8" w:rsidP="00F21AB8">
      <w:pPr>
        <w:bidi w:val="0"/>
        <w:spacing w:after="0" w:line="240" w:lineRule="auto"/>
        <w:ind w:firstLine="567"/>
        <w:jc w:val="both"/>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Návrh zákona o verejných zbierkach a o zmene a doplnení niektorých zákonov môže mať mierny vplyv na rozpočet verejnej správy pri úprave aplikačného programu registra verejných zbierok (v súčasnosti existuje evidencia verejných zbierok, ktorá nemá konštitutívny charakter). Prípadné negatívne dopady na štátny rozpočet budú uhradené z rozpočtovej kapitoly Ministerstva vnútra Slovenskej republiky.</w:t>
      </w:r>
    </w:p>
    <w:p w:rsidR="00F21AB8" w:rsidRPr="00F21AB8" w:rsidP="00F21AB8">
      <w:pPr>
        <w:bidi w:val="0"/>
        <w:spacing w:after="0" w:line="240" w:lineRule="auto"/>
        <w:jc w:val="both"/>
        <w:rPr>
          <w:rFonts w:ascii="Times New Roman" w:hAnsi="Times New Roman" w:cs="Times New Roman"/>
          <w:iCs/>
          <w:color w:val="000000"/>
          <w:sz w:val="24"/>
          <w:szCs w:val="24"/>
          <w:lang w:eastAsia="sk-SK"/>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r w:rsidRPr="00F21AB8">
        <w:rPr>
          <w:rFonts w:ascii="Times New Roman" w:hAnsi="Times New Roman" w:cs="Times New Roman"/>
          <w:b/>
          <w:bCs/>
          <w:color w:val="000000"/>
          <w:sz w:val="24"/>
          <w:szCs w:val="24"/>
          <w:lang w:eastAsia="sk-SK"/>
        </w:rPr>
        <w:t>A.4. Alternatívne riešenia</w:t>
      </w:r>
    </w:p>
    <w:p w:rsidR="00F21AB8" w:rsidRPr="00F21AB8" w:rsidP="00F21AB8">
      <w:pPr>
        <w:bidi w:val="0"/>
        <w:spacing w:after="0" w:line="240" w:lineRule="auto"/>
        <w:ind w:firstLine="567"/>
        <w:jc w:val="both"/>
        <w:rPr>
          <w:rFonts w:ascii="Times New Roman" w:hAnsi="Times New Roman" w:cs="Times New Roman"/>
          <w:b/>
          <w:bCs/>
          <w:color w:val="000000"/>
          <w:sz w:val="24"/>
          <w:szCs w:val="24"/>
          <w:lang w:eastAsia="sk-SK"/>
        </w:rPr>
      </w:pPr>
      <w:r w:rsidRPr="00F21AB8">
        <w:rPr>
          <w:rFonts w:ascii="Times New Roman" w:hAnsi="Times New Roman" w:cs="Times New Roman"/>
          <w:color w:val="000000"/>
          <w:sz w:val="24"/>
          <w:szCs w:val="24"/>
          <w:lang w:eastAsia="sk-SK"/>
        </w:rPr>
        <w:t>bezpredmetné</w:t>
      </w: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r w:rsidRPr="00F21AB8">
        <w:rPr>
          <w:rFonts w:ascii="Times New Roman" w:hAnsi="Times New Roman" w:cs="Times New Roman"/>
          <w:b/>
          <w:bCs/>
          <w:color w:val="000000"/>
          <w:sz w:val="24"/>
          <w:szCs w:val="24"/>
          <w:lang w:eastAsia="sk-SK"/>
        </w:rPr>
        <w:t>A.5. Stanovisko gestorov</w:t>
      </w:r>
    </w:p>
    <w:p w:rsidR="00F21AB8" w:rsidRPr="00F21AB8" w:rsidP="00F21AB8">
      <w:pPr>
        <w:bidi w:val="0"/>
        <w:spacing w:after="0" w:line="240" w:lineRule="auto"/>
        <w:ind w:firstLine="567"/>
        <w:jc w:val="both"/>
        <w:rPr>
          <w:rFonts w:ascii="Times New Roman" w:hAnsi="Times New Roman" w:cs="Times New Roman"/>
          <w:color w:val="000000"/>
          <w:sz w:val="24"/>
          <w:szCs w:val="24"/>
          <w:lang w:eastAsia="sk-SK"/>
        </w:rPr>
      </w:pPr>
      <w:r w:rsidRPr="00F21AB8">
        <w:rPr>
          <w:rFonts w:ascii="Times New Roman" w:hAnsi="Times New Roman" w:cs="Times New Roman"/>
          <w:color w:val="000000"/>
          <w:sz w:val="24"/>
          <w:szCs w:val="24"/>
          <w:lang w:eastAsia="sk-SK"/>
        </w:rPr>
        <w:t>bezpredmetné</w:t>
      </w:r>
    </w:p>
    <w:p w:rsidR="00F21AB8" w:rsidRPr="00F21AB8" w:rsidP="00F21AB8">
      <w:pPr>
        <w:bidi w:val="0"/>
        <w:spacing w:after="0" w:line="240" w:lineRule="auto"/>
        <w:jc w:val="both"/>
        <w:rPr>
          <w:rFonts w:ascii="Times New Roman" w:hAnsi="Times New Roman" w:cs="Times New Roman"/>
          <w:color w:val="000000"/>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jc w:val="right"/>
        <w:rPr>
          <w:rFonts w:ascii="Times New Roman" w:hAnsi="Times New Roman" w:cs="Tahoma"/>
          <w:lang w:eastAsia="sk-SK"/>
        </w:rPr>
      </w:pPr>
      <w:r w:rsidRPr="00F21AB8">
        <w:rPr>
          <w:rFonts w:ascii="Times New Roman" w:hAnsi="Times New Roman" w:cs="Tahoma"/>
          <w:lang w:eastAsia="sk-SK"/>
        </w:rPr>
        <w:t>Príloha č. 13.e</w:t>
      </w:r>
    </w:p>
    <w:p w:rsidR="00F21AB8" w:rsidRPr="00F21AB8" w:rsidP="00F21AB8">
      <w:pPr>
        <w:bidi w:val="0"/>
        <w:spacing w:after="0" w:line="240" w:lineRule="auto"/>
        <w:jc w:val="center"/>
        <w:rPr>
          <w:rFonts w:ascii="Times New Roman" w:hAnsi="Times New Roman" w:cs="Tahoma"/>
          <w:sz w:val="24"/>
          <w:szCs w:val="24"/>
          <w:lang w:eastAsia="sk-SK"/>
        </w:rPr>
      </w:pPr>
    </w:p>
    <w:p w:rsidR="00F21AB8" w:rsidRPr="00F21AB8" w:rsidP="00F21AB8">
      <w:pPr>
        <w:bidi w:val="0"/>
        <w:spacing w:after="0" w:line="240" w:lineRule="auto"/>
        <w:jc w:val="center"/>
        <w:rPr>
          <w:rFonts w:ascii="Times New Roman" w:hAnsi="Times New Roman" w:cs="Times New Roman"/>
          <w:bCs/>
          <w:sz w:val="28"/>
          <w:szCs w:val="28"/>
          <w:lang w:eastAsia="sk-SK"/>
        </w:rPr>
      </w:pPr>
      <w:r w:rsidRPr="00F21AB8">
        <w:rPr>
          <w:rFonts w:ascii="Times New Roman" w:hAnsi="Times New Roman" w:cs="Times New Roman"/>
          <w:bCs/>
          <w:sz w:val="28"/>
          <w:szCs w:val="28"/>
          <w:lang w:eastAsia="sk-SK"/>
        </w:rPr>
        <w:t>Vplyvy na informatizáciu spoločnosti</w:t>
      </w:r>
    </w:p>
    <w:p w:rsidR="00F21AB8" w:rsidRPr="00F21AB8" w:rsidP="00F21AB8">
      <w:pPr>
        <w:bidi w:val="0"/>
        <w:spacing w:after="0" w:line="240" w:lineRule="auto"/>
        <w:jc w:val="center"/>
        <w:rPr>
          <w:rFonts w:ascii="Times New Roman" w:hAnsi="Times New Roman" w:cs="Times New Roman"/>
          <w:bCs/>
          <w:sz w:val="24"/>
          <w:szCs w:val="24"/>
          <w:lang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0" w:lineRule="atLeast"/>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40" w:lineRule="auto"/>
              <w:rPr>
                <w:rFonts w:ascii="Times New Roman" w:hAnsi="Times New Roman" w:cs="Times New Roman"/>
                <w:b/>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1AB8" w:rsidRPr="00F21AB8" w:rsidP="00F21AB8">
            <w:pPr>
              <w:bidi w:val="0"/>
              <w:spacing w:after="0" w:line="20" w:lineRule="atLeast"/>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1422"/>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w:t>
            </w:r>
            <w:r w:rsidRPr="00F21AB8">
              <w:rPr>
                <w:rFonts w:ascii="Times New Roman" w:hAnsi="Times New Roman" w:cs="Times New Roman"/>
                <w:sz w:val="24"/>
                <w:szCs w:val="24"/>
                <w:lang w:eastAsia="sk-SK"/>
              </w:rPr>
              <w:t xml:space="preserve"> Rozširujú alebo inovujú sa existujúce alebo vytvárajú sa či zavádzajú sa nové elektronické služby?</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r w:rsidRPr="00F21AB8">
              <w:rPr>
                <w:rFonts w:ascii="Times New Roman" w:hAnsi="Times New Roman" w:cs="Times New Roman"/>
                <w:i/>
                <w:iCs/>
                <w:sz w:val="24"/>
                <w:szCs w:val="24"/>
                <w:lang w:eastAsia="sk-SK"/>
              </w:rPr>
              <w:t>Zverejňovaním informácie o povolení verejnej zbierky a jej zápise do registra zbierok, predbežnej a záverečnej správy verejnej zbierky právnickou osobou na svojom webovom sídle sa zavádzajú nové elektronické služby s úrovňou I (informatívna úroveň).</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6.2.</w:t>
            </w:r>
            <w:r w:rsidRPr="00F21AB8">
              <w:rPr>
                <w:rFonts w:ascii="Times New Roman" w:hAnsi="Times New Roman" w:cs="Times New Roman"/>
                <w:sz w:val="24"/>
                <w:szCs w:val="24"/>
                <w:lang w:eastAsia="sk-SK"/>
              </w:rPr>
              <w:t xml:space="preserve"> Vytvárajú sa podmienky pre sémantickú interoperabilitu?</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center"/>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1AB8" w:rsidRPr="00F21AB8" w:rsidP="00F21AB8">
            <w:pPr>
              <w:bidi w:val="0"/>
              <w:spacing w:after="0" w:line="20" w:lineRule="atLeast"/>
              <w:jc w:val="both"/>
              <w:rPr>
                <w:rFonts w:ascii="Times New Roman" w:hAnsi="Times New Roman" w:cs="Times New Roman"/>
                <w:b/>
                <w:color w:val="FFFFFF"/>
                <w:sz w:val="24"/>
                <w:szCs w:val="24"/>
                <w:lang w:eastAsia="sk-SK"/>
              </w:rPr>
            </w:pPr>
            <w:r w:rsidRPr="00F21AB8">
              <w:rPr>
                <w:rFonts w:ascii="Times New Roman" w:hAnsi="Times New Roman" w:cs="Times New Roman"/>
                <w:b/>
                <w:sz w:val="24"/>
                <w:szCs w:val="24"/>
                <w:lang w:eastAsia="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21AB8" w:rsidRPr="00F21AB8" w:rsidP="00F21AB8">
            <w:pPr>
              <w:bidi w:val="0"/>
              <w:spacing w:after="0" w:line="240" w:lineRule="auto"/>
              <w:rPr>
                <w:rFonts w:ascii="Times New Roman" w:hAnsi="Times New Roman" w:cs="Times New Roman"/>
                <w:b/>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6.3.</w:t>
            </w:r>
            <w:r w:rsidRPr="00F21AB8">
              <w:rPr>
                <w:rFonts w:ascii="Times New Roman" w:hAnsi="Times New Roman" w:cs="Times New Roman"/>
                <w:sz w:val="24"/>
                <w:szCs w:val="24"/>
                <w:lang w:eastAsia="sk-SK"/>
              </w:rPr>
              <w:t xml:space="preserve"> Zabezpečuje sa vzdelávanie v oblasti počítačovej gramotnosti a rozširovanie vedomostí o IKT?</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6.4.</w:t>
            </w:r>
            <w:r w:rsidRPr="00F21AB8">
              <w:rPr>
                <w:rFonts w:ascii="Times New Roman" w:hAnsi="Times New Roman" w:cs="Times New Roman"/>
                <w:sz w:val="24"/>
                <w:szCs w:val="24"/>
                <w:lang w:eastAsia="sk-SK"/>
              </w:rPr>
              <w:t xml:space="preserve"> Zabezpečuje sa rozvoj elektronického vzdelávania?</w:t>
            </w:r>
          </w:p>
          <w:p w:rsidR="00F21AB8" w:rsidRPr="00F21AB8" w:rsidP="00F21AB8">
            <w:pPr>
              <w:bidi w:val="0"/>
              <w:spacing w:after="0" w:line="20" w:lineRule="atLeast"/>
              <w:jc w:val="both"/>
              <w:rPr>
                <w:rFonts w:ascii="Times New Roman" w:hAnsi="Times New Roman" w:cs="Times New Roman"/>
                <w:color w:val="FFFFFF"/>
                <w:sz w:val="24"/>
                <w:szCs w:val="24"/>
                <w:lang w:eastAsia="sk-SK"/>
              </w:rPr>
            </w:pPr>
            <w:r w:rsidRPr="00F21AB8">
              <w:rPr>
                <w:rFonts w:ascii="Times New Roman" w:hAnsi="Times New Roman" w:cs="Times New Roman"/>
                <w:i/>
                <w:iCs/>
                <w:sz w:val="24"/>
                <w:szCs w:val="24"/>
                <w:lang w:eastAsia="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6.5.</w:t>
            </w:r>
            <w:r w:rsidRPr="00F21AB8">
              <w:rPr>
                <w:rFonts w:ascii="Times New Roman" w:hAnsi="Times New Roman" w:cs="Times New Roman"/>
                <w:sz w:val="24"/>
                <w:szCs w:val="24"/>
                <w:lang w:eastAsia="sk-SK"/>
              </w:rPr>
              <w:t xml:space="preserve"> Zabezpečuje sa podporná a propagačná aktivita zameraná na zvyšovanie povedomia o informatizácii a IKT?</w:t>
            </w:r>
          </w:p>
          <w:p w:rsidR="00F21AB8" w:rsidRPr="00F21AB8" w:rsidP="00F21AB8">
            <w:pPr>
              <w:bidi w:val="0"/>
              <w:spacing w:after="0" w:line="20" w:lineRule="atLeast"/>
              <w:jc w:val="both"/>
              <w:rPr>
                <w:rFonts w:ascii="Times New Roman" w:hAnsi="Times New Roman" w:cs="Times New Roman"/>
                <w:color w:val="FFFFFF"/>
                <w:sz w:val="24"/>
                <w:szCs w:val="24"/>
                <w:lang w:eastAsia="sk-SK"/>
              </w:rPr>
            </w:pPr>
            <w:r w:rsidRPr="00F21AB8">
              <w:rPr>
                <w:rFonts w:ascii="Times New Roman" w:hAnsi="Times New Roman" w:cs="Times New Roman"/>
                <w:i/>
                <w:iCs/>
                <w:sz w:val="24"/>
                <w:szCs w:val="24"/>
                <w:lang w:eastAsia="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6.6.</w:t>
            </w:r>
            <w:r w:rsidRPr="00F21AB8">
              <w:rPr>
                <w:rFonts w:ascii="Times New Roman" w:hAnsi="Times New Roman" w:cs="Times New Roman"/>
                <w:sz w:val="24"/>
                <w:szCs w:val="24"/>
                <w:lang w:eastAsia="sk-SK"/>
              </w:rPr>
              <w:t xml:space="preserve"> Zabezpečuje/zohľadňuje/zlepšuje sa prístup znevýhodnených osôb k službám informačnej spoločnosti?</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1AB8" w:rsidRPr="00F21AB8" w:rsidP="00F21AB8">
            <w:pPr>
              <w:bidi w:val="0"/>
              <w:spacing w:after="0" w:line="20" w:lineRule="atLeast"/>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1AB8" w:rsidRPr="00F21AB8" w:rsidP="00F21AB8">
            <w:pPr>
              <w:bidi w:val="0"/>
              <w:spacing w:after="0" w:line="240" w:lineRule="auto"/>
              <w:rPr>
                <w:rFonts w:ascii="Times New Roman" w:hAnsi="Times New Roman" w:cs="Times New Roman"/>
                <w:b/>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6.7.</w:t>
            </w:r>
            <w:r w:rsidRPr="00F21AB8">
              <w:rPr>
                <w:rFonts w:ascii="Times New Roman" w:hAnsi="Times New Roman" w:cs="Times New Roman"/>
                <w:sz w:val="24"/>
                <w:szCs w:val="24"/>
                <w:lang w:eastAsia="sk-SK"/>
              </w:rPr>
              <w:t xml:space="preserve"> Rozširuje, inovuje, vytvára alebo zavádza sa nový informačný systém?</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r w:rsidRPr="00F21AB8">
              <w:rPr>
                <w:rFonts w:ascii="Times New Roman" w:hAnsi="Times New Roman" w:cs="Times New Roman"/>
                <w:i/>
                <w:iCs/>
                <w:sz w:val="24"/>
                <w:szCs w:val="24"/>
                <w:lang w:eastAsia="sk-SK"/>
              </w:rPr>
              <w:t>Vytvára sa nový register verejných zbierok, kde sa zapisujú údaje v zákone o všetkých zbierkach, ktoré boli zaregistrované.</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6.8.</w:t>
            </w:r>
            <w:r w:rsidRPr="00F21AB8">
              <w:rPr>
                <w:rFonts w:ascii="Times New Roman" w:hAnsi="Times New Roman" w:cs="Times New Roman"/>
                <w:sz w:val="24"/>
                <w:szCs w:val="24"/>
                <w:lang w:eastAsia="sk-SK"/>
              </w:rPr>
              <w:t xml:space="preserve"> Rozširuje sa prístupnosť k internetu?</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6.9.</w:t>
            </w:r>
            <w:r w:rsidRPr="00F21AB8">
              <w:rPr>
                <w:rFonts w:ascii="Times New Roman" w:hAnsi="Times New Roman" w:cs="Times New Roman"/>
                <w:sz w:val="24"/>
                <w:szCs w:val="24"/>
                <w:lang w:eastAsia="sk-SK"/>
              </w:rPr>
              <w:t xml:space="preserve"> Rozširuje sa prístupnosť k elektronickým službám?</w:t>
            </w:r>
          </w:p>
          <w:p w:rsidR="00F21AB8" w:rsidRPr="00F21AB8" w:rsidP="00F21AB8">
            <w:pPr>
              <w:bidi w:val="0"/>
              <w:spacing w:after="0" w:line="20" w:lineRule="atLeast"/>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6.10.</w:t>
            </w:r>
            <w:r w:rsidRPr="00F21AB8">
              <w:rPr>
                <w:rFonts w:ascii="Times New Roman" w:hAnsi="Times New Roman" w:cs="Times New Roman"/>
                <w:sz w:val="24"/>
                <w:szCs w:val="24"/>
                <w:lang w:eastAsia="sk-SK"/>
              </w:rPr>
              <w:t xml:space="preserve"> Zabezpečuje sa technická interoperabilita?</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6.11.</w:t>
            </w:r>
            <w:r w:rsidRPr="00F21AB8">
              <w:rPr>
                <w:rFonts w:ascii="Times New Roman" w:hAnsi="Times New Roman" w:cs="Times New Roman"/>
                <w:sz w:val="24"/>
                <w:szCs w:val="24"/>
                <w:lang w:eastAsia="sk-SK"/>
              </w:rPr>
              <w:t xml:space="preserve"> Zvyšuje sa bezpečnosť IT?</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w:t>
            </w:r>
            <w:r w:rsidRPr="00F21AB8">
              <w:rPr>
                <w:rFonts w:ascii="Times New Roman" w:hAnsi="Times New Roman" w:cs="Times New Roman"/>
                <w:i/>
                <w:iCs/>
                <w:sz w:val="24"/>
                <w:szCs w:val="24"/>
                <w:lang w:eastAsia="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6.12.</w:t>
            </w:r>
            <w:r w:rsidRPr="00F21AB8">
              <w:rPr>
                <w:rFonts w:ascii="Times New Roman" w:hAnsi="Times New Roman" w:cs="Times New Roman"/>
                <w:sz w:val="24"/>
                <w:szCs w:val="24"/>
                <w:lang w:eastAsia="sk-SK"/>
              </w:rPr>
              <w:t xml:space="preserve"> Rozširuje sa technická infraštruktúra?</w:t>
            </w:r>
          </w:p>
          <w:p w:rsidR="00F21AB8" w:rsidRPr="00F21AB8" w:rsidP="00F21AB8">
            <w:pPr>
              <w:bidi w:val="0"/>
              <w:spacing w:after="0" w:line="20" w:lineRule="atLeast"/>
              <w:jc w:val="both"/>
              <w:rPr>
                <w:rFonts w:ascii="Times New Roman" w:hAnsi="Times New Roman" w:cs="Times New Roman"/>
                <w:i/>
                <w:iCs/>
                <w:sz w:val="24"/>
                <w:szCs w:val="24"/>
                <w:lang w:eastAsia="sk-SK"/>
              </w:rPr>
            </w:pPr>
            <w:r w:rsidRPr="00F21AB8">
              <w:rPr>
                <w:rFonts w:ascii="Times New Roman" w:hAnsi="Times New Roman" w:cs="Times New Roman"/>
                <w:sz w:val="24"/>
                <w:szCs w:val="24"/>
                <w:lang w:eastAsia="sk-SK"/>
              </w:rPr>
              <w:t>(</w:t>
            </w:r>
            <w:r w:rsidRPr="00F21AB8">
              <w:rPr>
                <w:rFonts w:ascii="Times New Roman" w:hAnsi="Times New Roman" w:cs="Times New Roman"/>
                <w:i/>
                <w:iCs/>
                <w:sz w:val="24"/>
                <w:szCs w:val="24"/>
                <w:lang w:eastAsia="sk-SK"/>
              </w:rPr>
              <w:t>Uveďte stručný popis zavádzanej infraštruktúry.)</w:t>
            </w:r>
          </w:p>
          <w:p w:rsidR="00F21AB8" w:rsidRPr="00F21AB8" w:rsidP="00F21AB8">
            <w:pPr>
              <w:bidi w:val="0"/>
              <w:spacing w:after="0" w:line="20" w:lineRule="atLeast"/>
              <w:jc w:val="both"/>
              <w:rPr>
                <w:rFonts w:ascii="Times New Roman" w:hAnsi="Times New Roman" w:cs="Times New Roman"/>
                <w:sz w:val="24"/>
                <w:szCs w:val="24"/>
                <w:lang w:eastAsia="sk-SK"/>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0" w:lineRule="atLeast"/>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40" w:lineRule="auto"/>
              <w:jc w:val="center"/>
              <w:rPr>
                <w:rFonts w:ascii="Times New Roman" w:hAnsi="Times New Roman" w:cs="Times New Roman"/>
                <w:b/>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6.13.</w:t>
            </w:r>
            <w:r w:rsidRPr="00F21AB8">
              <w:rPr>
                <w:rFonts w:ascii="Times New Roman" w:hAnsi="Times New Roman" w:cs="Times New Roman"/>
                <w:sz w:val="24"/>
                <w:szCs w:val="24"/>
                <w:lang w:eastAsia="sk-SK"/>
              </w:rPr>
              <w:t xml:space="preserve"> Predpokladajú sa zmeny v riadení procesu informatizácie?</w:t>
            </w:r>
          </w:p>
          <w:p w:rsidR="00F21AB8" w:rsidRPr="00F21AB8" w:rsidP="00F21AB8">
            <w:pPr>
              <w:bidi w:val="0"/>
              <w:spacing w:after="0" w:line="20" w:lineRule="atLeast"/>
              <w:jc w:val="both"/>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0" w:lineRule="atLeast"/>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40" w:lineRule="auto"/>
              <w:rPr>
                <w:rFonts w:ascii="Times New Roman" w:hAnsi="Times New Roman" w:cs="Times New Roman"/>
                <w:b/>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6.14.</w:t>
            </w:r>
            <w:r w:rsidRPr="00F21AB8">
              <w:rPr>
                <w:rFonts w:ascii="Times New Roman" w:hAnsi="Times New Roman" w:cs="Times New Roman"/>
                <w:sz w:val="24"/>
                <w:szCs w:val="24"/>
                <w:lang w:eastAsia="sk-SK"/>
              </w:rPr>
              <w:t xml:space="preserve"> Vyžaduje si proces informatizácie  finančné investície?</w:t>
            </w:r>
          </w:p>
          <w:p w:rsidR="00F21AB8" w:rsidRPr="00F21AB8" w:rsidP="00F21AB8">
            <w:pPr>
              <w:bidi w:val="0"/>
              <w:spacing w:after="0" w:line="20" w:lineRule="atLeast"/>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0" w:lineRule="atLeast"/>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1AB8" w:rsidRPr="00F21AB8" w:rsidP="00F21AB8">
            <w:pPr>
              <w:bidi w:val="0"/>
              <w:spacing w:after="0" w:line="240" w:lineRule="auto"/>
              <w:rPr>
                <w:rFonts w:ascii="Times New Roman" w:hAnsi="Times New Roman" w:cs="Times New Roman"/>
                <w:b/>
                <w:i/>
                <w:iCs/>
                <w:sz w:val="24"/>
                <w:szCs w:val="24"/>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6.15.</w:t>
            </w:r>
            <w:r w:rsidRPr="00F21AB8">
              <w:rPr>
                <w:rFonts w:ascii="Times New Roman" w:hAnsi="Times New Roman" w:cs="Times New Roman"/>
                <w:sz w:val="24"/>
                <w:szCs w:val="24"/>
                <w:lang w:eastAsia="sk-SK"/>
              </w:rPr>
              <w:t xml:space="preserve"> Predpokladá nelegislatívny materiál potrebu úpravy legislatívneho prostredia  procesu informatizácie?</w:t>
            </w:r>
          </w:p>
          <w:p w:rsidR="00F21AB8" w:rsidRPr="00F21AB8" w:rsidP="00F21AB8">
            <w:pPr>
              <w:bidi w:val="0"/>
              <w:spacing w:after="0" w:line="20" w:lineRule="atLeast"/>
              <w:rPr>
                <w:rFonts w:ascii="Times New Roman" w:hAnsi="Times New Roman" w:cs="Times New Roman"/>
                <w:sz w:val="24"/>
                <w:szCs w:val="24"/>
                <w:lang w:eastAsia="sk-SK"/>
              </w:rPr>
            </w:pPr>
            <w:r w:rsidRPr="00F21AB8">
              <w:rPr>
                <w:rFonts w:ascii="Times New Roman" w:hAnsi="Times New Roman" w:cs="Times New Roman"/>
                <w:i/>
                <w:iCs/>
                <w:sz w:val="24"/>
                <w:szCs w:val="24"/>
                <w:lang w:eastAsia="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1AB8" w:rsidRPr="00F21AB8" w:rsidP="00F21AB8">
            <w:pPr>
              <w:bidi w:val="0"/>
              <w:spacing w:after="0" w:line="240" w:lineRule="auto"/>
              <w:rPr>
                <w:rFonts w:ascii="Times New Roman" w:hAnsi="Times New Roman" w:cs="Times New Roman"/>
                <w:i/>
                <w:iCs/>
                <w:sz w:val="24"/>
                <w:szCs w:val="24"/>
                <w:lang w:eastAsia="sk-SK"/>
              </w:rPr>
            </w:pPr>
          </w:p>
        </w:tc>
      </w:tr>
    </w:tbl>
    <w:p w:rsidR="00F21AB8" w:rsidRPr="00F21AB8" w:rsidP="00F21AB8">
      <w:pPr>
        <w:tabs>
          <w:tab w:val="left" w:pos="4766"/>
        </w:tabs>
        <w:bidi w:val="0"/>
        <w:spacing w:after="0" w:line="240" w:lineRule="auto"/>
        <w:jc w:val="both"/>
        <w:outlineLvl w:val="1"/>
        <w:rPr>
          <w:rFonts w:ascii="Times New Roman" w:hAnsi="Times New Roman" w:cs="Times New Roman"/>
          <w:i/>
          <w:color w:val="000000"/>
          <w:lang w:val="cs-CZ" w:eastAsia="ja-JP"/>
        </w:rPr>
      </w:pPr>
    </w:p>
    <w:p w:rsidR="00F21AB8" w:rsidRPr="00F21AB8" w:rsidP="00F21AB8">
      <w:pPr>
        <w:bidi w:val="0"/>
        <w:spacing w:after="0" w:line="240" w:lineRule="auto"/>
        <w:jc w:val="both"/>
        <w:rPr>
          <w:rFonts w:ascii="Times New Roman" w:hAnsi="Times New Roman" w:cs="Times New Roman"/>
          <w:b/>
          <w:bCs/>
          <w:color w:val="000000"/>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jc w:val="center"/>
        <w:rPr>
          <w:rFonts w:ascii="Times New Roman" w:hAnsi="Times New Roman" w:cs="Times New Roman"/>
          <w:b/>
          <w:caps/>
          <w:spacing w:val="30"/>
          <w:sz w:val="24"/>
          <w:szCs w:val="24"/>
          <w:lang w:eastAsia="sk-SK"/>
        </w:rPr>
      </w:pPr>
      <w:r w:rsidRPr="00F21AB8">
        <w:rPr>
          <w:rFonts w:ascii="Times New Roman" w:hAnsi="Times New Roman" w:cs="Times New Roman"/>
          <w:b/>
          <w:caps/>
          <w:spacing w:val="30"/>
          <w:sz w:val="24"/>
          <w:szCs w:val="24"/>
          <w:lang w:eastAsia="sk-SK"/>
        </w:rPr>
        <w:t>Doložka zlučiteľnosti</w:t>
      </w:r>
    </w:p>
    <w:p w:rsidR="00F21AB8" w:rsidRPr="00F21AB8" w:rsidP="00F21AB8">
      <w:pPr>
        <w:bidi w:val="0"/>
        <w:spacing w:after="0" w:line="240" w:lineRule="auto"/>
        <w:jc w:val="center"/>
        <w:rPr>
          <w:rFonts w:ascii="Times New Roman" w:hAnsi="Times New Roman" w:cs="Times New Roman"/>
          <w:b/>
          <w:sz w:val="24"/>
          <w:szCs w:val="24"/>
          <w:lang w:val="en-US" w:eastAsia="sk-SK"/>
        </w:rPr>
      </w:pPr>
      <w:r w:rsidRPr="00F21AB8">
        <w:rPr>
          <w:rFonts w:ascii="Times New Roman" w:hAnsi="Times New Roman" w:cs="Times New Roman"/>
          <w:b/>
          <w:sz w:val="24"/>
          <w:szCs w:val="24"/>
          <w:lang w:val="en-US" w:eastAsia="sk-SK"/>
        </w:rPr>
        <w:t>právneho predpisu s právom Európskej únie </w:t>
      </w:r>
    </w:p>
    <w:p w:rsidR="00F21AB8" w:rsidRPr="00F21AB8" w:rsidP="00F21AB8">
      <w:pPr>
        <w:bidi w:val="0"/>
        <w:spacing w:after="0" w:line="240" w:lineRule="auto"/>
        <w:rPr>
          <w:rFonts w:ascii="Times New Roman" w:hAnsi="Times New Roman" w:cs="Times New Roman"/>
          <w:sz w:val="24"/>
          <w:szCs w:val="24"/>
          <w:lang w:val="en-US" w:eastAsia="sk-SK"/>
        </w:rPr>
      </w:pPr>
    </w:p>
    <w:p w:rsidR="00F21AB8" w:rsidRPr="00F21AB8" w:rsidP="00F21AB8">
      <w:pPr>
        <w:bidi w:val="0"/>
        <w:spacing w:after="0" w:line="240" w:lineRule="auto"/>
        <w:rPr>
          <w:rFonts w:ascii="Times New Roman" w:hAnsi="Times New Roman" w:cs="Times New Roman"/>
          <w:sz w:val="24"/>
          <w:szCs w:val="24"/>
          <w:lang w:val="en-US" w:eastAsia="sk-SK"/>
        </w:rPr>
      </w:pPr>
    </w:p>
    <w:p w:rsidR="00F21AB8" w:rsidRPr="00F21AB8" w:rsidP="00F21AB8">
      <w:pPr>
        <w:bidi w:val="0"/>
        <w:spacing w:after="0" w:line="240" w:lineRule="auto"/>
        <w:ind w:left="360" w:hanging="360"/>
        <w:rPr>
          <w:rFonts w:ascii="Times New Roman" w:hAnsi="Times New Roman" w:cs="Times New Roman"/>
          <w:b/>
          <w:sz w:val="24"/>
          <w:szCs w:val="24"/>
          <w:lang w:val="en-US" w:eastAsia="sk-SK"/>
        </w:rPr>
      </w:pPr>
      <w:r w:rsidRPr="00F21AB8">
        <w:rPr>
          <w:rFonts w:ascii="Times New Roman" w:hAnsi="Times New Roman" w:cs="Times New Roman"/>
          <w:b/>
          <w:sz w:val="24"/>
          <w:szCs w:val="24"/>
          <w:lang w:eastAsia="sk-SK"/>
        </w:rPr>
        <w:t>1.</w:t>
        <w:tab/>
        <w:t>Predkladateľ právneho predpisu:</w:t>
      </w:r>
      <w:r w:rsidRPr="00F21AB8">
        <w:rPr>
          <w:rFonts w:ascii="Times New Roman" w:hAnsi="Times New Roman" w:cs="Times New Roman"/>
          <w:sz w:val="24"/>
          <w:szCs w:val="24"/>
          <w:lang w:val="en-US" w:eastAsia="sk-SK"/>
        </w:rPr>
        <w:t xml:space="preserve"> vláda Slovenskej republiky </w:t>
      </w:r>
    </w:p>
    <w:p w:rsidR="00F21AB8" w:rsidRPr="00F21AB8" w:rsidP="00F21AB8">
      <w:pPr>
        <w:tabs>
          <w:tab w:val="left" w:pos="360"/>
        </w:tabs>
        <w:bidi w:val="0"/>
        <w:spacing w:after="0" w:line="240" w:lineRule="auto"/>
        <w:ind w:left="360"/>
        <w:rPr>
          <w:rFonts w:ascii="Times New Roman" w:hAnsi="Times New Roman" w:cs="Times New Roman"/>
          <w:sz w:val="24"/>
          <w:szCs w:val="24"/>
          <w:lang w:val="en-US" w:eastAsia="sk-SK"/>
        </w:rPr>
      </w:pPr>
      <w:r w:rsidRPr="00F21AB8">
        <w:rPr>
          <w:rFonts w:ascii="Times New Roman" w:hAnsi="Times New Roman" w:cs="Times New Roman"/>
          <w:sz w:val="24"/>
          <w:szCs w:val="24"/>
          <w:lang w:val="en-US" w:eastAsia="sk-SK"/>
        </w:rPr>
        <w:t xml:space="preserve"> </w:t>
      </w:r>
    </w:p>
    <w:p w:rsidR="00F21AB8" w:rsidRPr="00F21AB8" w:rsidP="00F21AB8">
      <w:pPr>
        <w:bidi w:val="0"/>
        <w:spacing w:after="0" w:line="240" w:lineRule="auto"/>
        <w:ind w:left="360" w:hanging="360"/>
        <w:rPr>
          <w:rFonts w:ascii="Times New Roman" w:hAnsi="Times New Roman" w:cs="Times New Roman"/>
          <w:b/>
          <w:sz w:val="24"/>
          <w:szCs w:val="24"/>
          <w:lang w:val="en-US" w:eastAsia="sk-SK"/>
        </w:rPr>
      </w:pPr>
      <w:r w:rsidRPr="00F21AB8">
        <w:rPr>
          <w:rFonts w:ascii="Times New Roman" w:hAnsi="Times New Roman" w:cs="Times New Roman"/>
          <w:b/>
          <w:sz w:val="24"/>
          <w:szCs w:val="24"/>
          <w:lang w:val="en-US" w:eastAsia="sk-SK"/>
        </w:rPr>
        <w:t>2.</w:t>
        <w:tab/>
        <w:t>Názov návrhu právneho predpisu:</w:t>
      </w:r>
      <w:r w:rsidRPr="00F21AB8">
        <w:rPr>
          <w:rFonts w:ascii="Times New Roman" w:hAnsi="Times New Roman" w:cs="Times New Roman"/>
          <w:sz w:val="24"/>
          <w:szCs w:val="24"/>
          <w:lang w:val="en-US" w:eastAsia="sk-SK"/>
        </w:rPr>
        <w:t xml:space="preserve"> Návrh zákona o verejných zbierkach a o zmene a doplnení niektorých zákonov </w:t>
      </w:r>
    </w:p>
    <w:p w:rsidR="00F21AB8" w:rsidRPr="00F21AB8" w:rsidP="00F21AB8">
      <w:pPr>
        <w:bidi w:val="0"/>
        <w:spacing w:after="0" w:line="240" w:lineRule="auto"/>
        <w:rPr>
          <w:rFonts w:ascii="Times New Roman" w:hAnsi="Times New Roman" w:cs="Times New Roman"/>
          <w:sz w:val="24"/>
          <w:szCs w:val="24"/>
          <w:lang w:val="en-US" w:eastAsia="sk-SK"/>
        </w:rPr>
      </w:pPr>
    </w:p>
    <w:p w:rsidR="00F21AB8" w:rsidRPr="00F21AB8" w:rsidP="00F21AB8">
      <w:pPr>
        <w:bidi w:val="0"/>
        <w:spacing w:after="0" w:line="240" w:lineRule="auto"/>
        <w:ind w:left="360" w:hanging="360"/>
        <w:rPr>
          <w:rFonts w:ascii="Times New Roman" w:hAnsi="Times New Roman" w:cs="Times New Roman"/>
          <w:b/>
          <w:sz w:val="24"/>
          <w:szCs w:val="24"/>
          <w:lang w:val="en-US" w:eastAsia="sk-SK"/>
        </w:rPr>
      </w:pPr>
      <w:r w:rsidRPr="00F21AB8">
        <w:rPr>
          <w:rFonts w:ascii="Times New Roman" w:hAnsi="Times New Roman" w:cs="Times New Roman"/>
          <w:b/>
          <w:sz w:val="24"/>
          <w:szCs w:val="24"/>
          <w:lang w:val="en-US" w:eastAsia="sk-SK"/>
        </w:rPr>
        <w:t>3.</w:t>
        <w:tab/>
        <w:t>Problematika návrhu právneho predpisu:</w:t>
      </w:r>
    </w:p>
    <w:p w:rsidR="00F21AB8" w:rsidRPr="00F21AB8" w:rsidP="00F21AB8">
      <w:pPr>
        <w:bidi w:val="0"/>
        <w:spacing w:after="0" w:line="240" w:lineRule="auto"/>
        <w:ind w:firstLine="360"/>
        <w:rPr>
          <w:rFonts w:ascii="Times New Roman" w:hAnsi="Times New Roman" w:cs="Times New Roman"/>
          <w:sz w:val="24"/>
          <w:szCs w:val="24"/>
          <w:lang w:val="en-US" w:eastAsia="sk-SK"/>
        </w:rPr>
      </w:pPr>
    </w:p>
    <w:p w:rsidR="00F21AB8" w:rsidRPr="00F21AB8" w:rsidP="00F21AB8">
      <w:pPr>
        <w:bidi w:val="0"/>
        <w:spacing w:after="0" w:line="240" w:lineRule="auto"/>
        <w:ind w:left="709" w:hanging="349"/>
        <w:rPr>
          <w:rFonts w:ascii="Times New Roman" w:hAnsi="Times New Roman" w:cs="Times New Roman"/>
          <w:sz w:val="24"/>
          <w:szCs w:val="24"/>
          <w:lang w:val="en-US" w:eastAsia="sk-SK"/>
        </w:rPr>
      </w:pPr>
      <w:r w:rsidRPr="00F21AB8">
        <w:rPr>
          <w:rFonts w:ascii="Times New Roman" w:hAnsi="Times New Roman" w:cs="Times New Roman"/>
          <w:sz w:val="24"/>
          <w:szCs w:val="24"/>
          <w:lang w:val="en-US" w:eastAsia="sk-SK"/>
        </w:rPr>
        <w:t>a)</w:t>
        <w:tab/>
        <w:t>nie je upravená v práve Európskej únie</w:t>
      </w:r>
    </w:p>
    <w:p w:rsidR="00F21AB8" w:rsidRPr="00F21AB8" w:rsidP="00F21AB8">
      <w:pPr>
        <w:bidi w:val="0"/>
        <w:spacing w:after="0" w:line="240" w:lineRule="auto"/>
        <w:ind w:left="360"/>
        <w:rPr>
          <w:rFonts w:ascii="Times New Roman" w:hAnsi="Times New Roman" w:cs="Times New Roman"/>
          <w:sz w:val="24"/>
          <w:szCs w:val="24"/>
          <w:lang w:val="en-US" w:eastAsia="sk-SK"/>
        </w:rPr>
      </w:pPr>
    </w:p>
    <w:p w:rsidR="00F21AB8" w:rsidRPr="00F21AB8" w:rsidP="00F21AB8">
      <w:pPr>
        <w:bidi w:val="0"/>
        <w:spacing w:after="0" w:line="240" w:lineRule="auto"/>
        <w:ind w:firstLine="360"/>
        <w:rPr>
          <w:rFonts w:ascii="Times New Roman" w:hAnsi="Times New Roman" w:cs="Times New Roman"/>
          <w:sz w:val="24"/>
          <w:szCs w:val="24"/>
          <w:lang w:val="en-US" w:eastAsia="sk-SK"/>
        </w:rPr>
      </w:pPr>
    </w:p>
    <w:p w:rsidR="00F21AB8" w:rsidRPr="00F21AB8" w:rsidP="00F21AB8">
      <w:pPr>
        <w:bidi w:val="0"/>
        <w:spacing w:after="0" w:line="240" w:lineRule="auto"/>
        <w:ind w:left="709" w:hanging="349"/>
        <w:rPr>
          <w:rFonts w:ascii="Times New Roman" w:hAnsi="Times New Roman" w:cs="Times New Roman"/>
          <w:sz w:val="24"/>
          <w:szCs w:val="24"/>
          <w:lang w:val="en-US" w:eastAsia="sk-SK"/>
        </w:rPr>
      </w:pPr>
      <w:r w:rsidRPr="00F21AB8">
        <w:rPr>
          <w:rFonts w:ascii="Times New Roman" w:hAnsi="Times New Roman" w:cs="Times New Roman"/>
          <w:sz w:val="24"/>
          <w:szCs w:val="24"/>
          <w:lang w:val="en-US" w:eastAsia="sk-SK"/>
        </w:rPr>
        <w:t>b)</w:t>
        <w:tab/>
        <w:t>nie je obsiahnutá v judikatúre Súdneho dvora Európskej únie.</w:t>
      </w:r>
    </w:p>
    <w:p w:rsidR="00F21AB8" w:rsidRPr="00F21AB8" w:rsidP="00F21AB8">
      <w:pPr>
        <w:bidi w:val="0"/>
        <w:spacing w:after="0" w:line="240" w:lineRule="auto"/>
        <w:ind w:left="360"/>
        <w:rPr>
          <w:rFonts w:ascii="Times New Roman" w:hAnsi="Times New Roman" w:cs="Times New Roman"/>
          <w:sz w:val="24"/>
          <w:szCs w:val="24"/>
          <w:lang w:val="en-US" w:eastAsia="sk-SK"/>
        </w:rPr>
      </w:pPr>
    </w:p>
    <w:p w:rsidR="00F21AB8" w:rsidRPr="00F21AB8" w:rsidP="00F21AB8">
      <w:pPr>
        <w:bidi w:val="0"/>
        <w:spacing w:after="0" w:line="240" w:lineRule="auto"/>
        <w:rPr>
          <w:rFonts w:ascii="Times New Roman" w:hAnsi="Times New Roman" w:cs="Times New Roman"/>
          <w:sz w:val="24"/>
          <w:szCs w:val="24"/>
          <w:lang w:val="en-US" w:eastAsia="sk-SK"/>
        </w:rPr>
      </w:pPr>
    </w:p>
    <w:p w:rsidR="00F21AB8" w:rsidRPr="00F21AB8" w:rsidP="00F21AB8">
      <w:pPr>
        <w:bidi w:val="0"/>
        <w:spacing w:after="0" w:line="240" w:lineRule="auto"/>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Vzhľadom na vnútroštátny charakter navrhovaného právneho predpisu je bezpredmetné vyjadrovať sa k bodom 4., 5. a 6. doložky zlučiteľnosti.</w:t>
      </w:r>
    </w:p>
    <w:p w:rsidR="00F21AB8" w:rsidRPr="00F21AB8" w:rsidP="00F21AB8">
      <w:pPr>
        <w:bidi w:val="0"/>
        <w:spacing w:after="0" w:line="240" w:lineRule="auto"/>
        <w:rPr>
          <w:rFonts w:ascii="Times New Roman" w:hAnsi="Times New Roman" w:cs="Times New Roman"/>
          <w:b/>
          <w:sz w:val="24"/>
          <w:szCs w:val="24"/>
          <w:lang w:val="en-US" w:eastAsia="sk-SK"/>
        </w:rPr>
      </w:pPr>
    </w:p>
    <w:p w:rsidR="00F21AB8" w:rsidRPr="00F21AB8" w:rsidP="00F21AB8">
      <w:pPr>
        <w:tabs>
          <w:tab w:val="left" w:pos="360"/>
        </w:tabs>
        <w:bidi w:val="0"/>
        <w:spacing w:after="0" w:line="240" w:lineRule="auto"/>
        <w:ind w:left="360"/>
        <w:rPr>
          <w:rFonts w:ascii="Times New Roman" w:hAnsi="Times New Roman" w:cs="Times New Roman"/>
          <w:sz w:val="24"/>
          <w:szCs w:val="24"/>
          <w:lang w:val="en-US"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rPr>
          <w:rFonts w:ascii="Times New Roman" w:hAnsi="Times New Roman" w:cs="Times New Roman"/>
          <w:sz w:val="24"/>
          <w:szCs w:val="24"/>
          <w:lang w:eastAsia="sk-SK"/>
        </w:rPr>
      </w:pPr>
    </w:p>
    <w:p w:rsidR="00F21AB8" w:rsidRPr="00F21AB8" w:rsidP="00F21AB8">
      <w:pPr>
        <w:bidi w:val="0"/>
        <w:spacing w:after="0" w:line="240" w:lineRule="auto"/>
        <w:jc w:val="both"/>
        <w:rPr>
          <w:rFonts w:ascii="Times New Roman" w:hAnsi="Times New Roman" w:cs="Times New Roman"/>
          <w:b/>
          <w:color w:val="000000"/>
          <w:sz w:val="24"/>
          <w:szCs w:val="24"/>
          <w:lang w:eastAsia="sk-SK"/>
        </w:rPr>
      </w:pPr>
      <w:r w:rsidRPr="00F21AB8">
        <w:rPr>
          <w:rFonts w:ascii="Times New Roman" w:hAnsi="Times New Roman" w:cs="Times New Roman"/>
          <w:b/>
          <w:color w:val="000000"/>
          <w:sz w:val="24"/>
          <w:szCs w:val="24"/>
          <w:lang w:eastAsia="sk-SK"/>
        </w:rPr>
        <w:t>B. Osobitná časť</w:t>
      </w:r>
    </w:p>
    <w:p w:rsidR="00F21AB8" w:rsidRPr="00F21AB8" w:rsidP="00F21AB8">
      <w:pPr>
        <w:bidi w:val="0"/>
        <w:spacing w:after="0" w:line="240" w:lineRule="auto"/>
        <w:jc w:val="both"/>
        <w:rPr>
          <w:rFonts w:ascii="Times New Roman" w:hAnsi="Times New Roman" w:cs="Times New Roman"/>
          <w:color w:val="000000"/>
          <w:sz w:val="24"/>
          <w:szCs w:val="24"/>
          <w:lang w:eastAsia="sk-SK"/>
        </w:rPr>
      </w:pPr>
    </w:p>
    <w:p w:rsidR="00F21AB8" w:rsidRPr="00F21AB8" w:rsidP="00F21AB8">
      <w:pPr>
        <w:bidi w:val="0"/>
        <w:spacing w:after="0" w:line="240" w:lineRule="auto"/>
        <w:jc w:val="both"/>
        <w:rPr>
          <w:rFonts w:ascii="Times New Roman" w:hAnsi="Times New Roman" w:cs="Times New Roman"/>
          <w:color w:val="000000"/>
          <w:sz w:val="24"/>
          <w:szCs w:val="24"/>
          <w:lang w:eastAsia="sk-SK"/>
        </w:rPr>
      </w:pPr>
    </w:p>
    <w:p w:rsidR="00F21AB8" w:rsidRPr="00F21AB8" w:rsidP="00F21AB8">
      <w:pPr>
        <w:bidi w:val="0"/>
        <w:spacing w:after="0" w:line="240" w:lineRule="auto"/>
        <w:ind w:right="-6"/>
        <w:jc w:val="both"/>
        <w:rPr>
          <w:rFonts w:ascii="Times New Roman" w:hAnsi="Times New Roman" w:cs="Times New Roman"/>
          <w:sz w:val="24"/>
          <w:szCs w:val="24"/>
          <w:lang w:eastAsia="sk-SK"/>
        </w:rPr>
      </w:pPr>
      <w:r w:rsidRPr="00F21AB8">
        <w:rPr>
          <w:rFonts w:ascii="TimesNewRomanPSMT" w:hAnsi="TimesNewRomanPSMT" w:cs="TimesNewRomanPSMT"/>
          <w:b/>
          <w:sz w:val="24"/>
          <w:szCs w:val="24"/>
          <w:lang w:eastAsia="sk-SK"/>
        </w:rPr>
        <w:t>K čl. I</w:t>
      </w:r>
    </w:p>
    <w:p w:rsidR="00F21AB8" w:rsidRPr="00F21AB8" w:rsidP="00F21AB8">
      <w:pPr>
        <w:bidi w:val="0"/>
        <w:spacing w:after="0" w:line="240" w:lineRule="auto"/>
        <w:ind w:right="-6"/>
        <w:jc w:val="both"/>
        <w:rPr>
          <w:rFonts w:ascii="Times New Roman" w:hAnsi="Times New Roman" w:cs="Times New Roman"/>
          <w:sz w:val="24"/>
          <w:szCs w:val="24"/>
          <w:lang w:eastAsia="sk-SK"/>
        </w:rPr>
      </w:pPr>
    </w:p>
    <w:p w:rsidR="00F21AB8" w:rsidRPr="00F21AB8" w:rsidP="00F21AB8">
      <w:pPr>
        <w:bidi w:val="0"/>
        <w:spacing w:after="0" w:line="240" w:lineRule="auto"/>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V</w:t>
      </w:r>
      <w:r w:rsidRPr="00F21AB8">
        <w:rPr>
          <w:rFonts w:ascii="TimesNewRomanPSMT" w:hAnsi="TimesNewRomanPSMT" w:cs="TimesNewRomanPSMT"/>
          <w:sz w:val="24"/>
          <w:szCs w:val="24"/>
          <w:lang w:eastAsia="sk-SK"/>
        </w:rPr>
        <w:t xml:space="preserve"> návrhu zákona sa ustanovuje predmet úpravy, a to podmienky vykonávania verejnej zbierky (ďalej len „zbierka“) oprávnenými osobami, pôsobnosť správnych orgánov, register zbierok, spôsoby vykonávania zbierky a ukladanie sankcií za správne delikty.</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Zároveň sa negatívne vymedzuje, že navrhovaný zákon sa nevzťahuje na zhromažďovanie príspevkov (zbierok) uskutočňované podľa osobitných predpisov, ktorými sú napríklad dobrovoľné zbierky konané obcami a vyššími územnými celkami, zbierky vykonávané cirkvami a náboženskými spoločnosťami registrovanými podľa zákona o slobode náboženskej viery a postavení cirkví a náboženských spoločností na cirkevné a náboženské účely, ak sa konajú v kostoloch, modlitebniach a iných miestach určených na vykonávanie náboženských úkonov, bohoslužieb a obradov.</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2</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 xml:space="preserve">Toto ustanovenie definuje pojem verejná zbierka, ktorou je </w:t>
      </w:r>
      <w:r w:rsidRPr="00F21AB8">
        <w:rPr>
          <w:rFonts w:ascii="Times New Roman" w:hAnsi="Times New Roman" w:cs="Times New Roman"/>
          <w:sz w:val="24"/>
          <w:szCs w:val="24"/>
          <w:lang w:eastAsia="sk-SK"/>
        </w:rPr>
        <w:t>získavanie a zhromažďovanie dobrovoľných peňažných príspevkov od vopred neurčených prispievateľov na vopred určený všeobecne prospešný účel.</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Na účely tohto zákona je zadefinovaný všeobecne prospešný účel zbierky, ktorý je dôležitým východiskom pri vnímaní použitia prostriedkov získaných zbierkou. Zároveň sú v tomto ustanovení zadefinované ekonomické pojmy zbierky, ktoré v doterajšom právnom predpise absentovali a sú dôležitými pojmami na spresnenie a rozlíšenie finančných prostriedkov získaných zbierkou.</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V doterajšej právnej úprave je nejasne ustanovená výška nákladov zbierky, ktorá nesmie presiahnuť prevažnú časť výnosu zbierky, čo reálne znamená uplatnenie nákladov až do 50 % z hrubého výnosu zbierky. V navrhovanom ustanovení je presne ustanovená percentuálna hranica nákladov zbierky, ktorú možno vynaložiť z hrubého výnosu zbierky na náklady zbierky, a to vo výške 20 %. Nákladmi zbierky sú skutočne vynaložené náklady spojené s materiálno - technickým a organizačným zabezpečením zbierky, náklady spojené so správou a zis</w:t>
      </w:r>
      <w:r w:rsidRPr="00F21AB8">
        <w:rPr>
          <w:rFonts w:ascii="Calibri" w:hAnsi="Calibri" w:cs="Calibri"/>
          <w:sz w:val="24"/>
          <w:szCs w:val="24"/>
          <w:lang w:eastAsia="sk-SK"/>
        </w:rPr>
        <w:t>ť</w:t>
      </w:r>
      <w:r w:rsidRPr="00F21AB8">
        <w:rPr>
          <w:rFonts w:ascii="Times New Roman" w:hAnsi="Times New Roman" w:cs="Times New Roman"/>
          <w:sz w:val="24"/>
          <w:szCs w:val="24"/>
          <w:lang w:eastAsia="sk-SK"/>
        </w:rPr>
        <w:t>ovaním spôsobu použitia čistého výnosu.</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Navrhovanou právnou úpravou sa sleduje prehľadné a transparentné využitie prostriedkov získaných zbierkou na vymedzený všeobecne prospešný účel.</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3</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 xml:space="preserve">Vymedzujú sa právnické osoby oprávnené na vykonávanie zbierky. Ide predovšetkým o </w:t>
      </w:r>
      <w:r w:rsidRPr="00F21AB8">
        <w:rPr>
          <w:rFonts w:ascii="Times New Roman" w:hAnsi="Times New Roman" w:cs="Times New Roman"/>
          <w:sz w:val="23"/>
          <w:szCs w:val="24"/>
          <w:lang w:eastAsia="sk-SK"/>
        </w:rPr>
        <w:t>mimovládne neziskové organizácie</w:t>
      </w:r>
      <w:r w:rsidRPr="00F21AB8">
        <w:rPr>
          <w:rFonts w:ascii="TimesNewRomanPSMT" w:hAnsi="TimesNewRomanPSMT" w:cs="TimesNewRomanPSMT"/>
          <w:sz w:val="24"/>
          <w:szCs w:val="24"/>
          <w:lang w:eastAsia="sk-SK"/>
        </w:rPr>
        <w:t>, ktoré svojimi stanovami prezentujú, že ich činnosťou je predovšetkým podpora všeobecne prospešných cieľov podľa § 2 návrhu zákona.</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 xml:space="preserve">Zavádza sa povinnosť zriadiť na účely zhromažďovania finančných prostriedkov osobitný účet v banke alebo pobočke </w:t>
      </w:r>
      <w:r w:rsidRPr="00F21AB8">
        <w:rPr>
          <w:rFonts w:ascii="Times New Roman" w:hAnsi="Times New Roman" w:cs="Times New Roman"/>
          <w:sz w:val="24"/>
          <w:szCs w:val="24"/>
          <w:lang w:eastAsia="sk-SK"/>
        </w:rPr>
        <w:t>zahraničnej banky.</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Pri vykonávaní zbierky vo verejnosti prístupných priestoroch právnických osôb je potrebné získať písomný súhlas príslušného vlastníka, nájomcu alebo správcu nehnuteľnosti. Ak sa vykonáva zbierka v nehnuteľnostiach vo vlastníctve fyzických osôb, túto možno vykonávať až po predchádzajúcom písomnom súhlase vlastníka. Toto ustanovenie sleduje cieľ jednak umožniť vykonávanie zbierky nielen na verejných priestranstvách, ale aj v iných priestoroch.</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NewRomanPSMT" w:hAnsi="TimesNewRomanPSMT" w:cs="TimesNewRomanPSMT"/>
          <w:b/>
          <w:sz w:val="24"/>
          <w:szCs w:val="24"/>
          <w:lang w:eastAsia="sk-SK"/>
        </w:rPr>
      </w:pPr>
      <w:r w:rsidRPr="00F21AB8">
        <w:rPr>
          <w:rFonts w:ascii="TimesNewRomanPSMT" w:hAnsi="TimesNewRomanPSMT" w:cs="TimesNewRomanPSMT"/>
          <w:b/>
          <w:sz w:val="24"/>
          <w:szCs w:val="24"/>
          <w:lang w:eastAsia="sk-SK"/>
        </w:rPr>
        <w:t>K § 4</w:t>
      </w:r>
    </w:p>
    <w:p w:rsidR="00F21AB8" w:rsidRPr="00F21AB8" w:rsidP="00F21AB8">
      <w:pPr>
        <w:bidi w:val="0"/>
        <w:spacing w:after="0"/>
        <w:ind w:right="-6" w:firstLine="708"/>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Ustanovujú sa príslušné orgány štátnej správy na zápis zbierky do registra zbierok. Týmito orgánmi sú okresné úrady a ministerstvo vnútra.</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Keďže výnos zbierky sa môže použiť aj na aktivity mimo územia Slovenskej republiky, ustanovuje sa pôsobnosť ministerstva zahraničných vecí a európskych záležitostí zaujať predchádzajúce stanovisko k zápisu do registra zbierok z hľadiska záujmov a záväzkov Slovenskej republiky.</w:t>
      </w:r>
    </w:p>
    <w:p w:rsidR="00F21AB8" w:rsidRPr="00F21AB8" w:rsidP="00F21AB8">
      <w:pPr>
        <w:bidi w:val="0"/>
        <w:spacing w:after="0"/>
        <w:ind w:right="-6"/>
        <w:jc w:val="both"/>
        <w:rPr>
          <w:rFonts w:ascii="TimesNewRomanPSMT" w:hAnsi="TimesNewRomanPSMT" w:cs="TimesNewRomanPSMT"/>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5</w:t>
      </w:r>
    </w:p>
    <w:p w:rsidR="00F21AB8" w:rsidRPr="00F21AB8" w:rsidP="00F21AB8">
      <w:pPr>
        <w:bidi w:val="0"/>
        <w:spacing w:after="0"/>
        <w:ind w:right="-6" w:firstLine="709"/>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Ide o ustanovenia upravujúce konanie príslušného správneho orgánu o registrácii zbierky. Vymedzujú sa najmä náležitosti, ktoré návrh právnickej osoby na registráciu zbierky musí obsahovať.</w:t>
      </w:r>
    </w:p>
    <w:p w:rsidR="00F21AB8" w:rsidRPr="00F21AB8" w:rsidP="00F21AB8">
      <w:pPr>
        <w:bidi w:val="0"/>
        <w:spacing w:after="0"/>
        <w:ind w:right="-6"/>
        <w:jc w:val="both"/>
        <w:rPr>
          <w:rFonts w:ascii="TimesNewRomanPSMT" w:hAnsi="TimesNewRomanPSMT" w:cs="TimesNewRomanPSMT"/>
          <w:sz w:val="24"/>
          <w:szCs w:val="24"/>
          <w:lang w:eastAsia="sk-SK"/>
        </w:rPr>
      </w:pPr>
    </w:p>
    <w:p w:rsidR="00F21AB8" w:rsidRPr="00F21AB8" w:rsidP="00F21AB8">
      <w:pPr>
        <w:bidi w:val="0"/>
        <w:spacing w:after="0"/>
        <w:ind w:right="-6"/>
        <w:jc w:val="both"/>
        <w:rPr>
          <w:rFonts w:ascii="TimesNewRomanPSMT" w:hAnsi="TimesNewRomanPSMT" w:cs="TimesNewRomanPSMT"/>
          <w:b/>
          <w:sz w:val="24"/>
          <w:szCs w:val="24"/>
          <w:lang w:eastAsia="sk-SK"/>
        </w:rPr>
      </w:pPr>
      <w:r w:rsidRPr="00F21AB8">
        <w:rPr>
          <w:rFonts w:ascii="TimesNewRomanPSMT" w:hAnsi="TimesNewRomanPSMT" w:cs="TimesNewRomanPSMT"/>
          <w:b/>
          <w:sz w:val="24"/>
          <w:szCs w:val="24"/>
          <w:lang w:eastAsia="sk-SK"/>
        </w:rPr>
        <w:t>K § 6</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Register zbierok je elektronický informačný systém verejnej správy, ktorý spravuje ministerstvo vnútra. Do tohto verejného zoznamu zapisuje zákonom ustanovené údaje ministerstvo vnútra alebo okresný úrad. Informácie o registrovaných a vykonávaných zbierkach budú verejne prístupné na webovom sídle uvedeného ústredného orgánu štátnej správy.</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7</w:t>
      </w:r>
    </w:p>
    <w:p w:rsidR="00F21AB8" w:rsidRPr="00F21AB8" w:rsidP="00F21AB8">
      <w:pPr>
        <w:bidi w:val="0"/>
        <w:spacing w:after="0"/>
        <w:ind w:right="-6" w:firstLine="709"/>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Ustanovujú sa možné spôsoby vykonávania zbierky s ohľadom na súčasné telekomunikačné a informačno-technologické možnosti, trvanie vykonávania zbierky rozlíšené podľa spôsobov jej vykonávania a podmienky predĺženia vykonávania zbierky.</w:t>
      </w:r>
    </w:p>
    <w:p w:rsidR="00F21AB8" w:rsidRPr="00F21AB8" w:rsidP="00F21AB8">
      <w:pPr>
        <w:bidi w:val="0"/>
        <w:spacing w:after="0"/>
        <w:ind w:right="-6" w:firstLine="720"/>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V záujme transparentnosti sa zabezpečuje aj písomné poverenie a označenie fyzických osôb vykonávajúcich zbierku prenosnými pokladničkami, čo vedie k väčšej dôveryhodnosti zo strany verejnosti k osobám vykonávajúcim zbierku. Vykonávať zbierku do prenosných pokladničiek môže skupina fyzických osôb, v ktorých sprievode aspoň jedna osoba dovŕšila pätnásty rok svojho veku.</w:t>
      </w:r>
    </w:p>
    <w:p w:rsidR="00F21AB8" w:rsidRPr="00F21AB8" w:rsidP="00F21AB8">
      <w:pPr>
        <w:bidi w:val="0"/>
        <w:spacing w:after="0"/>
        <w:ind w:right="-6" w:firstLine="709"/>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Ustanovujú sa tiež lehoty počas ktorých možno vykonávať zbierku. Všeobecne možno zbierku vykonávať najdlhšie jeden rok s výnimkou zbierky uskutočňovanej formou prenosných pokladničiek, ktorú z dôvodu jej povahy možno vykonávať najviac 14 dní. Jednoročnú lehotu možno z dôvodu hodného osobitného zreteľa predĺžiť o ďalší rok. Pôjde napríklad o prípad, keď účel zbierky presahuje rámec jedného roka.</w:t>
      </w:r>
    </w:p>
    <w:p w:rsidR="00F21AB8" w:rsidRPr="00F21AB8" w:rsidP="00F21AB8">
      <w:pPr>
        <w:bidi w:val="0"/>
        <w:spacing w:after="0"/>
        <w:ind w:right="-6"/>
        <w:jc w:val="both"/>
        <w:rPr>
          <w:rFonts w:ascii="TimesNewRomanPSMT" w:hAnsi="TimesNewRomanPSMT" w:cs="TimesNewRomanPSMT"/>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8</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Ustanovenie upresňuje postup a povinnosti pri spôsobe vykonávania zbierky zasielaním darcovských správ SMS alebo volaním na skrátené číslo prostredníctvom telekomunikačného operátora a zahrnutie týchto príspevkov do hrubého výnosu zbierky v určenej lehote. Doterajšia zákonná úprava túto problematiku neupravuje a jej nevyhnutnosť vyžaduje prax.</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9</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Ustanovujú sa podmienky, lehoty a povinnosti pri vykonávaní zbierky do stacionárnych alebo prenosných pokladničiek. Ide o zabezpečenie a označenie pokladničiek, ich otváranie, prepočítanie získaných príspevkov a povinnosť vložiť takto získané príspevky na osobitný účet. Tento postup zvyšuje transparentnosť, verejnú kontrolu a dôveryhodnosť vykonávania zbierky.</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Významným prvkom je aj nová úprava postupu otvárania pokladničiek a spísanie zápisnice o ich otvorení. Zápisnica musí obsahovať zákonom ustanovené údaje a podpísať ju musia aspoň dve fyzické osoby, ktoré dovŕšili osemnásty rok svojho veku a majú úplnú spôsobilosť na právne úkony.</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10 a 11</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Upresňujú sa povinnosti pri spôsobe vykonávania zbierky predajom predmetov (napríklad dobročinných známok) a vstupeniek, podmienky predaja a použitia príspevku z predaja na účel zbierky. Ustanovujú sa pravidlá, aby bolo zrejmé, čo tvorí vlastnú zbierku a čo tvorí cenu predmetu a vstupenky. Ďalej sa ustanovuje lehota na odvedenie získaných príspevkov za každý kalendárny mesiac na osobitný účet.</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12</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 predmetných ustanoveniach sa upravuje možnosť predčasného ukončenia vykonávanej zbierky a povinnosti spojené s jej predčasným ukončením. Dôvodom na predčasné ukončenie zbierky je zánik účelu, na ktorý sa zbierka vykonávala. Príslušný správny orgán rozhodne o návrhu právnickej osoby, ktorá vykonávala zbierku, o použití získaných príspevkov na iný všeobecne prospešný účel v súlade s § 2 ods. 2.</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13</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Ustanovenie upravuje obsah predbežnej správy zbierky a záverečnej správy zbierky, ktoré má právnická osoba povinnosť predložiť príslušnému správnemu orgánu a zverejňovať ich v ustanovených lehotách na svojom webovom sídle. Vo vzťahu k verejnosti to zvyšuje transparentnosť a aktuálnu informovanosť o hrubom výnose zbierky, čistom výnose zbierky a jej nákladoch v súvislosti s použitím na všeobecne prospešný účel zbierky.</w:t>
      </w: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14</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Ustanovuje sa právomoc orgánov štátnej správy na výkon kontrolnej činnosti nad vykonávaním zbierok právnickými osobami v súlade s týmto zákonom.</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Zároveň sa upravuje kontrola dokladov záverečnej správy zbierky správnym orgánom, pri ktorej je právnická osoba povinná predložiť všetky potrebné doklady na vykonanie kontroly. Ide o štandardnú úpravu zo strany orgánov štátnej správy pri vykonávaní dozoru nad zákonnosťou konania právnych subjektov.</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15</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 xml:space="preserve">Upravujú sa podmienky a postup pri ukladaní sankcií v prípade porušenia povinností podľa tohto zákona. Pokuty sú v rozpätí od 100 eur do 1 000 eur a </w:t>
      </w:r>
      <w:r w:rsidRPr="00F21AB8">
        <w:rPr>
          <w:rFonts w:ascii="Times New Roman" w:hAnsi="Times New Roman" w:cs="Times New Roman"/>
          <w:sz w:val="24"/>
          <w:szCs w:val="24"/>
          <w:lang w:eastAsia="sk-SK"/>
        </w:rPr>
        <w:t>pri ich ukladaní správny orgán prihliada na povahu, závažnosť, spôsob, čas trvania, následky a okolnosti spáchania správneho deliktu</w:t>
      </w:r>
      <w:r w:rsidRPr="00F21AB8">
        <w:rPr>
          <w:rFonts w:ascii="TimesNewRomanPSMT" w:hAnsi="TimesNewRomanPSMT" w:cs="TimesNewRomanPSMT"/>
          <w:sz w:val="24"/>
          <w:szCs w:val="24"/>
          <w:lang w:eastAsia="sk-SK"/>
        </w:rPr>
        <w:t>. Jednotlivé skutkové podstaty správnych deliktov sa viažu na povinnosti vyplývajúce z ustanovení zákona. Výnos pokút je príjmom štátneho rozpočtu.</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16</w:t>
      </w:r>
    </w:p>
    <w:p w:rsidR="00F21AB8" w:rsidRPr="00F21AB8" w:rsidP="00F21AB8">
      <w:pPr>
        <w:bidi w:val="0"/>
        <w:spacing w:after="0"/>
        <w:ind w:right="-6" w:firstLine="709"/>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V spoločnom ustanovení sa zvýrazňuje, že na konania správnych orgánov sa vzťahuje správny poriadok s odchýlkami uvedenými v tomto zákone (napríklad § 5).</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17</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 odseku 1 sa rieši ukončenie vykonávania zbierok povolených do účinnosti navrhovaného zákona. Toto ustanovenie je potrebné vzhľadom na to, že podľa doterajšieho zákona sú zbierky povoľované na rôzne časové obdobie, ktoré by v mnohých prípadoch preklenulo navrhovanú účinnosť zákona, ktorý vyžaduje na konanie zbierky odlišné náležitosti a postupy, najmä v otázke zverejňovania informácií pre verejnosť. Tiež sa ustanovuje, že vykonávanie zbierky po uplynutí prechodného obdobia sa považuje za vykonávanie zbierky bez zápisu do registra zbierok, čo je sankcionované podľa § 15 ods. 1 písm. a).</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 odseku 2 sa ustanovuje povinnosť pre právnické osoby, ktoré vykonávali verejné zbierky podľa doterajších predpisov, aby predložili v konkrétnom termíne vyúčtovanie verejnej zbierky. Nesplnenie tejto povinnosti bude sankcionované podľa § 15 ods. 1 písm. k).</w:t>
      </w:r>
    </w:p>
    <w:p w:rsidR="00F21AB8" w:rsidRPr="00F21AB8" w:rsidP="00F21AB8">
      <w:pPr>
        <w:bidi w:val="0"/>
        <w:spacing w:after="0"/>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 odseku 3 sa zo zákona zastavujú všetky konania o zbierkach začaté a právoplatne neskončené podľa doterajších predpisov, a to do nadobudnutia účinnosti tohto zákona. Pokračovať v konaní o nich by totiž bolo v rozpore s princípmi a povinnosťami novej zákonnej úpravy.</w:t>
      </w:r>
    </w:p>
    <w:p w:rsidR="00F21AB8" w:rsidRPr="00F21AB8" w:rsidP="00F21AB8">
      <w:pPr>
        <w:bidi w:val="0"/>
        <w:spacing w:after="0" w:line="240" w:lineRule="auto"/>
        <w:jc w:val="both"/>
        <w:rPr>
          <w:rFonts w:ascii="Times New Roman" w:hAnsi="Times New Roman" w:cs="Times New Roman"/>
          <w:sz w:val="24"/>
          <w:szCs w:val="24"/>
          <w:lang w:eastAsia="sk-SK"/>
        </w:rPr>
      </w:pPr>
    </w:p>
    <w:p w:rsidR="00F21AB8" w:rsidRPr="00F21AB8" w:rsidP="00F21AB8">
      <w:pPr>
        <w:bidi w:val="0"/>
        <w:spacing w:after="0"/>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 18</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 súvislosti s prijatím zákona je potrebné zrušiť doterajšie právne predpisy upravujúce predmetnú problematiku.</w:t>
      </w:r>
    </w:p>
    <w:p w:rsidR="00F21AB8" w:rsidRPr="00F21AB8" w:rsidP="00F21AB8">
      <w:pPr>
        <w:bidi w:val="0"/>
        <w:spacing w:after="0" w:line="240" w:lineRule="auto"/>
        <w:jc w:val="both"/>
        <w:rPr>
          <w:rFonts w:ascii="Times New Roman" w:hAnsi="Times New Roman" w:cs="Times New Roman"/>
          <w:sz w:val="24"/>
          <w:szCs w:val="24"/>
          <w:lang w:eastAsia="sk-SK"/>
        </w:rPr>
      </w:pPr>
    </w:p>
    <w:p w:rsidR="00F21AB8" w:rsidRPr="00F21AB8" w:rsidP="00F21AB8">
      <w:pPr>
        <w:bidi w:val="0"/>
        <w:spacing w:after="0" w:line="240" w:lineRule="auto"/>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K čl. II</w:t>
      </w:r>
    </w:p>
    <w:p w:rsidR="00F21AB8" w:rsidRPr="00F21AB8" w:rsidP="00F21AB8">
      <w:pPr>
        <w:bidi w:val="0"/>
        <w:spacing w:after="0" w:line="240" w:lineRule="auto"/>
        <w:jc w:val="both"/>
        <w:rPr>
          <w:rFonts w:ascii="Times New Roman" w:hAnsi="Times New Roman" w:cs="Times New Roman"/>
          <w:sz w:val="24"/>
          <w:szCs w:val="24"/>
          <w:lang w:eastAsia="sk-SK"/>
        </w:rPr>
      </w:pPr>
    </w:p>
    <w:p w:rsidR="00F21AB8" w:rsidRPr="00F21AB8" w:rsidP="00F21AB8">
      <w:pPr>
        <w:bidi w:val="0"/>
        <w:spacing w:after="0" w:line="240" w:lineRule="auto"/>
        <w:jc w:val="both"/>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K bodom 1 a 2</w:t>
      </w:r>
    </w:p>
    <w:p w:rsidR="00F21AB8" w:rsidRPr="00F21AB8" w:rsidP="00F21AB8">
      <w:pPr>
        <w:bidi w:val="0"/>
        <w:spacing w:after="0"/>
        <w:ind w:right="-6" w:firstLine="709"/>
        <w:jc w:val="both"/>
        <w:rPr>
          <w:rFonts w:ascii="TimesNewRomanPSMT" w:hAnsi="TimesNewRomanPSMT" w:cs="TimesNewRomanPSMT"/>
          <w:sz w:val="24"/>
          <w:szCs w:val="24"/>
          <w:lang w:eastAsia="sk-SK"/>
        </w:rPr>
      </w:pPr>
      <w:r w:rsidRPr="00F21AB8">
        <w:rPr>
          <w:rFonts w:ascii="TimesNewRomanPSMT" w:hAnsi="TimesNewRomanPSMT" w:cs="TimesNewRomanPSMT"/>
          <w:sz w:val="24"/>
          <w:szCs w:val="24"/>
          <w:lang w:eastAsia="sk-SK"/>
        </w:rPr>
        <w:t>Na základe skúseností z praxe sa novelizuje zákon o správnych poplatkoch tak, aby sa vytvoril súlad medzi znením zákona a sadzobníkom správnych poplatkoch, ktorý ako príloha zákona je jeho neoddeliteľnou súčasťou. Podľa jednotlivých položiek sadzobníka správny orgán oslobodzuje od platenia správnych poplatkov aj iné prípady ako v § 4 zákona. Správny orgán je ďalej v niektorých prípadoch uvedených v sadzobníku splnomocnený upustiť od vybratia správneho poplatku, môže ho znížiť alebo naopak zvýšiť. Vo všetkých uvedených prípadoch (rozhodujúce je znenie sadzobníka) správny orgán rozhodnutie nevydáva, iba ho vyznačí v spise s uvedením dôvodu podľa sadzobníka.</w:t>
      </w:r>
    </w:p>
    <w:p w:rsidR="00F21AB8" w:rsidRPr="00F21AB8" w:rsidP="00F21AB8">
      <w:pPr>
        <w:bidi w:val="0"/>
        <w:spacing w:after="0"/>
        <w:ind w:right="-6"/>
        <w:jc w:val="both"/>
        <w:rPr>
          <w:rFonts w:ascii="TimesNewRomanPSMT" w:hAnsi="TimesNewRomanPSMT" w:cs="TimesNewRomanPSMT"/>
          <w:sz w:val="24"/>
          <w:szCs w:val="24"/>
          <w:lang w:eastAsia="sk-SK"/>
        </w:rPr>
      </w:pPr>
    </w:p>
    <w:p w:rsidR="00F21AB8" w:rsidRPr="00F21AB8" w:rsidP="00F21AB8">
      <w:pPr>
        <w:bidi w:val="0"/>
        <w:spacing w:after="0"/>
        <w:ind w:right="-6"/>
        <w:jc w:val="both"/>
        <w:rPr>
          <w:rFonts w:ascii="TimesNewRomanPSMT" w:hAnsi="TimesNewRomanPSMT" w:cs="TimesNewRomanPSMT"/>
          <w:b/>
          <w:sz w:val="24"/>
          <w:szCs w:val="24"/>
          <w:lang w:eastAsia="sk-SK"/>
        </w:rPr>
      </w:pPr>
      <w:r w:rsidRPr="00F21AB8">
        <w:rPr>
          <w:rFonts w:ascii="TimesNewRomanPSMT" w:hAnsi="TimesNewRomanPSMT" w:cs="TimesNewRomanPSMT"/>
          <w:b/>
          <w:sz w:val="24"/>
          <w:szCs w:val="24"/>
          <w:lang w:eastAsia="sk-SK"/>
        </w:rPr>
        <w:t>K bodu 3</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Novelou zákona o správnych poplatkoch sa navrhuje upraviť doterajšiu položku č. 36 sadzobníka správnych poplatkov, aby zodpovedala navrhovanému zákonu o verejných zbierkach. Nová položka ustanovuje tri poplatky, a to poplatok za zbierku konanú na celom území Slovenskej republiky, za zbierku konanú v územnom obvode okresného úradu a poplatok za predĺženie vykonávania zbierky, pričom suma tohto poplatku je ustanovená ako polovica zo sumy poplatku za vykonávanie zbierky na celom území Slovenskej republiky. Výška poplatkov sa aktualizuje vzhľadom na aktuálnu ekonomickú situáciu, pričom nemá zásadný vplyv na subjekty konajúce verejné zbierky.</w:t>
      </w:r>
    </w:p>
    <w:p w:rsidR="00F21AB8" w:rsidRPr="00F21AB8" w:rsidP="00F21AB8">
      <w:pPr>
        <w:bidi w:val="0"/>
        <w:spacing w:after="0" w:line="240" w:lineRule="auto"/>
        <w:jc w:val="both"/>
        <w:rPr>
          <w:rFonts w:ascii="Times New Roman" w:hAnsi="Times New Roman" w:cs="Times New Roman"/>
          <w:sz w:val="24"/>
          <w:szCs w:val="24"/>
          <w:lang w:eastAsia="sk-SK"/>
        </w:rPr>
      </w:pPr>
    </w:p>
    <w:p w:rsidR="00F21AB8" w:rsidRPr="00F21AB8" w:rsidP="00F21AB8">
      <w:pPr>
        <w:bidi w:val="0"/>
        <w:spacing w:after="0" w:line="240" w:lineRule="auto"/>
        <w:jc w:val="both"/>
        <w:rPr>
          <w:rFonts w:ascii="Times New Roman" w:hAnsi="Times New Roman" w:cs="Times New Roman"/>
          <w:sz w:val="24"/>
          <w:szCs w:val="24"/>
          <w:lang w:eastAsia="sk-SK"/>
        </w:rPr>
      </w:pPr>
      <w:r w:rsidRPr="00F21AB8">
        <w:rPr>
          <w:rFonts w:ascii="Times New Roman" w:hAnsi="Times New Roman" w:cs="Times New Roman"/>
          <w:b/>
          <w:sz w:val="24"/>
          <w:szCs w:val="24"/>
          <w:lang w:eastAsia="sk-SK"/>
        </w:rPr>
        <w:t>K čl. III</w:t>
      </w:r>
    </w:p>
    <w:p w:rsidR="00F21AB8" w:rsidRPr="00F21AB8" w:rsidP="00F21AB8">
      <w:pPr>
        <w:bidi w:val="0"/>
        <w:spacing w:after="0" w:line="240" w:lineRule="atLeast"/>
        <w:ind w:right="-6"/>
        <w:jc w:val="both"/>
        <w:rPr>
          <w:rFonts w:ascii="Times New Roman" w:hAnsi="Times New Roman" w:cs="Times New Roman"/>
          <w:sz w:val="24"/>
          <w:szCs w:val="24"/>
          <w:lang w:eastAsia="sk-SK"/>
        </w:rPr>
      </w:pPr>
    </w:p>
    <w:p w:rsidR="00F21AB8" w:rsidRPr="00F21AB8" w:rsidP="00F21AB8">
      <w:pPr>
        <w:bidi w:val="0"/>
        <w:spacing w:after="0" w:line="240" w:lineRule="atLeast"/>
        <w:ind w:right="-6"/>
        <w:jc w:val="both"/>
        <w:rPr>
          <w:rFonts w:ascii="Times New Roman" w:hAnsi="Times New Roman" w:cs="Times New Roman"/>
          <w:b/>
          <w:sz w:val="24"/>
          <w:szCs w:val="24"/>
          <w:lang w:eastAsia="sk-SK"/>
        </w:rPr>
      </w:pPr>
      <w:r w:rsidRPr="00F21AB8">
        <w:rPr>
          <w:rFonts w:ascii="TimesNewRomanPSMT" w:hAnsi="TimesNewRomanPSMT" w:cs="TimesNewRomanPSMT"/>
          <w:b/>
          <w:sz w:val="24"/>
          <w:szCs w:val="24"/>
          <w:lang w:eastAsia="sk-SK"/>
        </w:rPr>
        <w:t>K bodom 1 až 3</w:t>
      </w:r>
    </w:p>
    <w:p w:rsidR="00F21AB8" w:rsidRPr="00F21AB8" w:rsidP="00F21AB8">
      <w:pPr>
        <w:bidi w:val="0"/>
        <w:spacing w:after="0"/>
        <w:ind w:right="-6" w:firstLine="709"/>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Vzhľadom na navrhovanú novú zákonnú úpravu o verejných zbierkach navrhuje sa vypustiť zo zákona č. 147/1997 Z. z. o neinvestičných fondoch a o doplnení zákona Národnej rady Slovenskej republiky č. 207/1996 Z. z. v znení neskorších predpisov ustanovenia týkajúce sa verejných zbierok.</w:t>
      </w:r>
    </w:p>
    <w:p w:rsidR="00F21AB8" w:rsidRPr="00F21AB8" w:rsidP="00F21AB8">
      <w:pPr>
        <w:bidi w:val="0"/>
        <w:spacing w:after="0"/>
        <w:ind w:right="-6"/>
        <w:jc w:val="both"/>
        <w:rPr>
          <w:rFonts w:ascii="Times New Roman" w:hAnsi="Times New Roman" w:cs="Times New Roman"/>
          <w:sz w:val="24"/>
          <w:szCs w:val="24"/>
          <w:lang w:eastAsia="sk-SK"/>
        </w:rPr>
      </w:pPr>
    </w:p>
    <w:p w:rsidR="00F21AB8" w:rsidRPr="00F21AB8" w:rsidP="00F21AB8">
      <w:pPr>
        <w:bidi w:val="0"/>
        <w:spacing w:after="0" w:line="240" w:lineRule="atLeast"/>
        <w:ind w:right="-6"/>
        <w:jc w:val="both"/>
        <w:rPr>
          <w:rFonts w:ascii="Times New Roman" w:hAnsi="Times New Roman" w:cs="Times New Roman"/>
          <w:sz w:val="24"/>
          <w:szCs w:val="24"/>
          <w:lang w:eastAsia="sk-SK"/>
        </w:rPr>
      </w:pPr>
      <w:r w:rsidRPr="00F21AB8">
        <w:rPr>
          <w:rFonts w:ascii="TimesNewRomanPSMT" w:hAnsi="TimesNewRomanPSMT" w:cs="TimesNewRomanPSMT"/>
          <w:b/>
          <w:sz w:val="24"/>
          <w:szCs w:val="24"/>
          <w:lang w:eastAsia="sk-SK"/>
        </w:rPr>
        <w:t>K čl. IV</w:t>
      </w:r>
    </w:p>
    <w:p w:rsidR="00F21AB8" w:rsidRPr="00F21AB8" w:rsidP="00F21AB8">
      <w:pPr>
        <w:bidi w:val="0"/>
        <w:spacing w:after="0" w:line="240" w:lineRule="atLeast"/>
        <w:ind w:right="-6" w:firstLine="708"/>
        <w:jc w:val="both"/>
        <w:rPr>
          <w:rFonts w:ascii="Times New Roman" w:hAnsi="Times New Roman" w:cs="Times New Roman"/>
          <w:sz w:val="24"/>
          <w:szCs w:val="24"/>
          <w:lang w:eastAsia="sk-SK"/>
        </w:rPr>
      </w:pPr>
      <w:r w:rsidRPr="00F21AB8">
        <w:rPr>
          <w:rFonts w:ascii="TimesNewRomanPSMT" w:hAnsi="TimesNewRomanPSMT" w:cs="TimesNewRomanPSMT"/>
          <w:sz w:val="24"/>
          <w:szCs w:val="24"/>
          <w:lang w:eastAsia="sk-SK"/>
        </w:rPr>
        <w:t>Účinnosť sa navrhuje ustanoviť od 1. júla 2014 so zreteľom na predpokladaný priebeh legislatívneho procesu.</w:t>
      </w:r>
    </w:p>
    <w:p w:rsidR="00F21AB8" w:rsidRPr="00F21AB8" w:rsidP="00F21AB8">
      <w:pPr>
        <w:bidi w:val="0"/>
        <w:spacing w:after="0" w:line="240" w:lineRule="auto"/>
        <w:jc w:val="both"/>
        <w:rPr>
          <w:rFonts w:ascii="Times New Roman" w:hAnsi="Times New Roman" w:cs="Times New Roman"/>
          <w:sz w:val="24"/>
          <w:szCs w:val="24"/>
          <w:lang w:eastAsia="sk-SK"/>
        </w:rPr>
      </w:pPr>
    </w:p>
    <w:p w:rsidR="00F21AB8" w:rsidRPr="00F21AB8" w:rsidP="00F21AB8">
      <w:pPr>
        <w:bidi w:val="0"/>
        <w:spacing w:before="1000" w:after="0" w:line="240" w:lineRule="auto"/>
        <w:jc w:val="both"/>
        <w:rPr>
          <w:rFonts w:ascii="Times New Roman" w:hAnsi="Times New Roman" w:cs="Times New Roman"/>
          <w:sz w:val="24"/>
          <w:szCs w:val="24"/>
          <w:lang w:eastAsia="sk-SK"/>
        </w:rPr>
      </w:pPr>
      <w:r w:rsidRPr="00F21AB8">
        <w:rPr>
          <w:rFonts w:ascii="Times New Roman" w:hAnsi="Times New Roman" w:cs="Times New Roman"/>
          <w:sz w:val="24"/>
          <w:szCs w:val="24"/>
          <w:lang w:eastAsia="sk-SK"/>
        </w:rPr>
        <w:t>Bratislava 26. február 2014</w:t>
      </w:r>
    </w:p>
    <w:p w:rsidR="00F21AB8" w:rsidP="00F21AB8">
      <w:pPr>
        <w:bidi w:val="0"/>
        <w:spacing w:before="600" w:after="0" w:line="240" w:lineRule="auto"/>
        <w:ind w:firstLine="284"/>
        <w:jc w:val="center"/>
        <w:rPr>
          <w:rFonts w:ascii="Times New Roman" w:hAnsi="Times New Roman" w:cs="Times New Roman"/>
          <w:b/>
          <w:sz w:val="24"/>
          <w:szCs w:val="24"/>
          <w:lang w:eastAsia="sk-SK"/>
        </w:rPr>
      </w:pPr>
    </w:p>
    <w:p w:rsidR="00F21AB8" w:rsidP="00F21AB8">
      <w:pPr>
        <w:bidi w:val="0"/>
        <w:spacing w:before="600" w:after="0" w:line="240" w:lineRule="auto"/>
        <w:ind w:firstLine="284"/>
        <w:jc w:val="center"/>
        <w:rPr>
          <w:rFonts w:ascii="Times New Roman" w:hAnsi="Times New Roman" w:cs="Times New Roman"/>
          <w:b/>
          <w:sz w:val="24"/>
          <w:szCs w:val="24"/>
          <w:lang w:eastAsia="sk-SK"/>
        </w:rPr>
      </w:pPr>
    </w:p>
    <w:p w:rsidR="00F21AB8" w:rsidRPr="00F21AB8" w:rsidP="00F21AB8">
      <w:pPr>
        <w:bidi w:val="0"/>
        <w:spacing w:before="600" w:after="0" w:line="240" w:lineRule="auto"/>
        <w:ind w:firstLine="284"/>
        <w:jc w:val="center"/>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Robert Fico</w:t>
      </w:r>
      <w:r w:rsidR="000D66ED">
        <w:rPr>
          <w:rFonts w:ascii="Times New Roman" w:hAnsi="Times New Roman" w:cs="Times New Roman"/>
          <w:b/>
          <w:sz w:val="24"/>
          <w:szCs w:val="24"/>
          <w:lang w:eastAsia="sk-SK"/>
        </w:rPr>
        <w:t>, v. r.</w:t>
      </w:r>
    </w:p>
    <w:p w:rsidR="00F21AB8" w:rsidRPr="00F21AB8" w:rsidP="00F21AB8">
      <w:pPr>
        <w:bidi w:val="0"/>
        <w:spacing w:after="0" w:line="240" w:lineRule="auto"/>
        <w:ind w:firstLine="284"/>
        <w:jc w:val="center"/>
        <w:rPr>
          <w:rFonts w:ascii="Times New Roman" w:hAnsi="Times New Roman" w:cs="Times New Roman"/>
          <w:sz w:val="24"/>
          <w:szCs w:val="24"/>
          <w:lang w:eastAsia="sk-SK"/>
        </w:rPr>
      </w:pPr>
      <w:r w:rsidRPr="00F21AB8">
        <w:rPr>
          <w:rFonts w:ascii="Times New Roman" w:hAnsi="Times New Roman" w:cs="Times New Roman"/>
          <w:sz w:val="24"/>
          <w:szCs w:val="24"/>
          <w:lang w:eastAsia="sk-SK"/>
        </w:rPr>
        <w:t xml:space="preserve">predseda vlády Slovenskej republiky </w:t>
      </w:r>
    </w:p>
    <w:p w:rsidR="00F21AB8" w:rsidRPr="00F21AB8" w:rsidP="00F21AB8">
      <w:pPr>
        <w:bidi w:val="0"/>
        <w:spacing w:before="600" w:after="0" w:line="240" w:lineRule="auto"/>
        <w:ind w:firstLine="284"/>
        <w:jc w:val="center"/>
        <w:rPr>
          <w:rFonts w:ascii="Times New Roman" w:hAnsi="Times New Roman" w:cs="Times New Roman"/>
          <w:b/>
          <w:sz w:val="24"/>
          <w:szCs w:val="24"/>
          <w:lang w:eastAsia="sk-SK"/>
        </w:rPr>
      </w:pPr>
      <w:r w:rsidRPr="00F21AB8">
        <w:rPr>
          <w:rFonts w:ascii="Times New Roman" w:hAnsi="Times New Roman" w:cs="Times New Roman"/>
          <w:b/>
          <w:sz w:val="24"/>
          <w:szCs w:val="24"/>
          <w:lang w:eastAsia="sk-SK"/>
        </w:rPr>
        <w:t>Robert Kaliňák</w:t>
      </w:r>
      <w:r w:rsidR="000D66ED">
        <w:rPr>
          <w:rFonts w:ascii="Times New Roman" w:hAnsi="Times New Roman" w:cs="Times New Roman"/>
          <w:b/>
          <w:sz w:val="24"/>
          <w:szCs w:val="24"/>
          <w:lang w:eastAsia="sk-SK"/>
        </w:rPr>
        <w:t>, v. r.</w:t>
      </w:r>
    </w:p>
    <w:p w:rsidR="00F21AB8" w:rsidRPr="00F21AB8" w:rsidP="00F21AB8">
      <w:pPr>
        <w:bidi w:val="0"/>
        <w:spacing w:after="0" w:line="240" w:lineRule="auto"/>
        <w:ind w:firstLine="284"/>
        <w:jc w:val="center"/>
        <w:rPr>
          <w:rFonts w:ascii="Times New Roman" w:hAnsi="Times New Roman" w:cs="Times New Roman"/>
          <w:sz w:val="24"/>
          <w:szCs w:val="24"/>
          <w:lang w:eastAsia="sk-SK"/>
        </w:rPr>
      </w:pPr>
      <w:r w:rsidRPr="00F21AB8">
        <w:rPr>
          <w:rFonts w:ascii="Times New Roman" w:hAnsi="Times New Roman" w:cs="Times New Roman"/>
          <w:sz w:val="24"/>
          <w:szCs w:val="24"/>
          <w:lang w:eastAsia="sk-SK"/>
        </w:rPr>
        <w:t>podpredseda vlády a minister vnútra Slovenskej republiky</w:t>
      </w:r>
    </w:p>
    <w:p w:rsidR="00F21AB8" w:rsidRPr="00F21AB8" w:rsidP="00F21AB8">
      <w:pPr>
        <w:bidi w:val="0"/>
        <w:spacing w:before="120" w:after="0" w:line="240" w:lineRule="auto"/>
        <w:jc w:val="both"/>
        <w:rPr>
          <w:rFonts w:ascii="Times New Roman" w:hAnsi="Times New Roman" w:cs="Times New Roman"/>
          <w:sz w:val="24"/>
          <w:szCs w:val="24"/>
          <w:lang w:eastAsia="sk-SK"/>
        </w:rPr>
      </w:pPr>
    </w:p>
    <w:p w:rsidR="00F21AB8" w:rsidRPr="00F21AB8" w:rsidP="00F21AB8">
      <w:pPr>
        <w:bidi w:val="0"/>
        <w:spacing w:after="0" w:line="240" w:lineRule="auto"/>
        <w:jc w:val="center"/>
        <w:rPr>
          <w:rFonts w:ascii="Times New Roman" w:hAnsi="Times New Roman" w:cs="Times New Roman"/>
          <w:sz w:val="24"/>
          <w:szCs w:val="24"/>
          <w:lang w:eastAsia="sk-SK"/>
        </w:rPr>
      </w:pPr>
    </w:p>
    <w:p w:rsidR="00A5759C">
      <w:pPr>
        <w:bidi w:val="0"/>
      </w:pPr>
    </w:p>
    <w:sectPr w:rsidSect="00F21AB8">
      <w:footerReference w:type="default" r:id="rId4"/>
      <w:pgSz w:w="11906" w:h="16838"/>
      <w:pgMar w:top="1417" w:right="1417" w:bottom="1417" w:left="1417" w:header="708" w:footer="708" w:gutter="0"/>
      <w:lnNumType w:distance="0"/>
      <w:pgNumType w:start="12"/>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00"/>
    <w:family w:val="auto"/>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E0D">
    <w:pPr>
      <w:pStyle w:val="Footer"/>
      <w:bidi w:val="0"/>
      <w:jc w:val="center"/>
    </w:pPr>
    <w:r w:rsidR="00483159">
      <w:fldChar w:fldCharType="begin"/>
    </w:r>
    <w:r w:rsidR="00483159">
      <w:instrText>PAGE   \* MERGEFORMAT</w:instrText>
    </w:r>
    <w:r w:rsidR="00483159">
      <w:fldChar w:fldCharType="separate"/>
    </w:r>
    <w:r w:rsidRPr="00A82F48" w:rsidR="00A82F48">
      <w:rPr>
        <w:noProof/>
        <w:lang w:val="sk-SK"/>
      </w:rPr>
      <w:t>12</w:t>
    </w:r>
    <w:r w:rsidR="00483159">
      <w:fldChar w:fldCharType="end"/>
    </w:r>
  </w:p>
  <w:p w:rsidR="00F35E0D">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21AB8"/>
    <w:rsid w:val="000D66ED"/>
    <w:rsid w:val="00483159"/>
    <w:rsid w:val="009454AF"/>
    <w:rsid w:val="00A5759C"/>
    <w:rsid w:val="00A82F48"/>
    <w:rsid w:val="00DE4EC3"/>
    <w:rsid w:val="00F21AB8"/>
    <w:rsid w:val="00F35E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F21AB8"/>
    <w:pPr>
      <w:tabs>
        <w:tab w:val="center" w:pos="4536"/>
        <w:tab w:val="right" w:pos="9072"/>
      </w:tabs>
      <w:spacing w:after="0" w:line="240" w:lineRule="auto"/>
      <w:jc w:val="left"/>
    </w:pPr>
    <w:rPr>
      <w:rFonts w:ascii="Cambria" w:eastAsia="MS Mincho" w:hAnsi="Cambria" w:cs="Times New Roman"/>
      <w:sz w:val="24"/>
      <w:szCs w:val="24"/>
      <w:lang w:val="cs-CZ" w:eastAsia="ja-JP"/>
    </w:rPr>
  </w:style>
  <w:style w:type="character" w:customStyle="1" w:styleId="FooterChar">
    <w:name w:val="Footer Char"/>
    <w:basedOn w:val="DefaultParagraphFont"/>
    <w:link w:val="Footer"/>
    <w:uiPriority w:val="99"/>
    <w:locked/>
    <w:rsid w:val="00F21AB8"/>
    <w:rPr>
      <w:rFonts w:ascii="Cambria" w:eastAsia="MS Mincho" w:hAnsi="Cambria" w:cs="Times New Roman"/>
      <w:sz w:val="24"/>
      <w:szCs w:val="24"/>
      <w:rtl w:val="0"/>
      <w:cs w:val="0"/>
      <w:lang w:val="cs-CZ" w:eastAsia="ja-JP"/>
    </w:rPr>
  </w:style>
  <w:style w:type="paragraph" w:styleId="Header">
    <w:name w:val="header"/>
    <w:basedOn w:val="Normal"/>
    <w:link w:val="HeaderChar"/>
    <w:uiPriority w:val="99"/>
    <w:unhideWhenUsed/>
    <w:rsid w:val="00F21AB8"/>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F21AB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2817</Words>
  <Characters>16059</Characters>
  <Application>Microsoft Office Word</Application>
  <DocSecurity>0</DocSecurity>
  <Lines>0</Lines>
  <Paragraphs>0</Paragraphs>
  <ScaleCrop>false</ScaleCrop>
  <Company>MVSR</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cp:lastPrinted>2014-02-27T14:03:00Z</cp:lastPrinted>
  <dcterms:created xsi:type="dcterms:W3CDTF">2014-02-28T14:55:00Z</dcterms:created>
  <dcterms:modified xsi:type="dcterms:W3CDTF">2014-02-28T14:55:00Z</dcterms:modified>
</cp:coreProperties>
</file>