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6704D" w:rsidRPr="00580ADF" w:rsidP="0046704D">
      <w:pPr>
        <w:bidi w:val="0"/>
        <w:jc w:val="center"/>
        <w:rPr>
          <w:rFonts w:ascii="Times New Roman" w:hAnsi="Times New Roman"/>
          <w:b/>
          <w:caps/>
          <w:spacing w:val="30"/>
        </w:rPr>
      </w:pPr>
      <w:r w:rsidRPr="00580ADF">
        <w:rPr>
          <w:rFonts w:ascii="Times New Roman" w:hAnsi="Times New Roman"/>
          <w:b/>
          <w:caps/>
          <w:spacing w:val="30"/>
        </w:rPr>
        <w:t>Doložka zlučiteľnosti</w:t>
      </w:r>
    </w:p>
    <w:p w:rsidR="0046704D" w:rsidRPr="00580ADF" w:rsidP="0046704D">
      <w:pPr>
        <w:bidi w:val="0"/>
        <w:jc w:val="center"/>
        <w:rPr>
          <w:rFonts w:ascii="Times New Roman" w:hAnsi="Times New Roman"/>
          <w:b/>
        </w:rPr>
      </w:pPr>
      <w:r w:rsidRPr="00580ADF">
        <w:rPr>
          <w:rFonts w:ascii="Times New Roman" w:hAnsi="Times New Roman"/>
          <w:b/>
        </w:rPr>
        <w:t>právneho predpisu s právom Európskej únie </w:t>
      </w:r>
    </w:p>
    <w:p w:rsidR="0046704D" w:rsidRPr="00580ADF" w:rsidP="0046704D">
      <w:pPr>
        <w:bidi w:val="0"/>
        <w:rPr>
          <w:rFonts w:ascii="Times New Roman" w:hAnsi="Times New Roman"/>
        </w:rPr>
      </w:pPr>
    </w:p>
    <w:p w:rsidR="0046704D" w:rsidRPr="00580ADF" w:rsidP="0046704D">
      <w:pPr>
        <w:bidi w:val="0"/>
        <w:rPr>
          <w:rFonts w:ascii="Times New Roman" w:hAnsi="Times New Roman"/>
        </w:rPr>
      </w:pPr>
    </w:p>
    <w:p w:rsidR="0046704D" w:rsidRPr="00580ADF" w:rsidP="0046704D">
      <w:pPr>
        <w:bidi w:val="0"/>
        <w:ind w:left="360" w:hanging="360"/>
        <w:jc w:val="both"/>
        <w:rPr>
          <w:rFonts w:ascii="Times New Roman" w:hAnsi="Times New Roman"/>
          <w:b/>
        </w:rPr>
      </w:pPr>
      <w:r w:rsidRPr="00580ADF">
        <w:rPr>
          <w:rFonts w:ascii="Times New Roman" w:hAnsi="Times New Roman"/>
          <w:b/>
        </w:rPr>
        <w:t>1.</w:t>
        <w:tab/>
        <w:t>Predkladateľ právneho predpisu:</w:t>
      </w:r>
      <w:r w:rsidRPr="00580ADF">
        <w:rPr>
          <w:rFonts w:ascii="Times New Roman" w:hAnsi="Times New Roman"/>
        </w:rPr>
        <w:t xml:space="preserve"> </w:t>
      </w:r>
      <w:r>
        <w:rPr>
          <w:rFonts w:ascii="Times New Roman" w:hAnsi="Times New Roman"/>
        </w:rPr>
        <w:t>poslanec Národnej rady Slovenskej republiky</w:t>
      </w:r>
      <w:r w:rsidRPr="00580ADF">
        <w:rPr>
          <w:rFonts w:ascii="Times New Roman" w:hAnsi="Times New Roman"/>
        </w:rPr>
        <w:t> </w:t>
      </w:r>
    </w:p>
    <w:p w:rsidR="0046704D" w:rsidRPr="00580ADF" w:rsidP="0046704D">
      <w:pPr>
        <w:tabs>
          <w:tab w:val="left" w:pos="360"/>
        </w:tabs>
        <w:bidi w:val="0"/>
        <w:ind w:left="360"/>
        <w:rPr>
          <w:rFonts w:ascii="Times New Roman" w:hAnsi="Times New Roman"/>
        </w:rPr>
      </w:pPr>
      <w:r w:rsidRPr="00580ADF">
        <w:rPr>
          <w:rFonts w:ascii="Times New Roman" w:hAnsi="Times New Roman"/>
        </w:rPr>
        <w:t xml:space="preserve"> </w:t>
      </w:r>
    </w:p>
    <w:p w:rsidR="0046704D" w:rsidRPr="00580ADF" w:rsidP="0046704D">
      <w:pPr>
        <w:bidi w:val="0"/>
        <w:ind w:left="360" w:hanging="360"/>
        <w:jc w:val="both"/>
        <w:rPr>
          <w:rFonts w:ascii="Times New Roman" w:hAnsi="Times New Roman"/>
          <w:b/>
        </w:rPr>
      </w:pPr>
      <w:r w:rsidRPr="00580ADF">
        <w:rPr>
          <w:rFonts w:ascii="Times New Roman" w:hAnsi="Times New Roman"/>
          <w:b/>
        </w:rPr>
        <w:t>2.</w:t>
        <w:tab/>
        <w:t>Názov návrhu právneho predpisu:</w:t>
      </w:r>
      <w:r w:rsidRPr="00580ADF">
        <w:rPr>
          <w:rFonts w:ascii="Times New Roman" w:hAnsi="Times New Roman"/>
        </w:rPr>
        <w:t xml:space="preserve"> Návrh zákona</w:t>
      </w:r>
      <w:r>
        <w:rPr>
          <w:rFonts w:ascii="Times New Roman" w:hAnsi="Times New Roman"/>
        </w:rPr>
        <w:t xml:space="preserve">, ktorým sa mení a dopĺňa zákon č. 222/2004 Z. z. o dani z pridanej hodnoty v znení neskorších predpisov </w:t>
      </w:r>
      <w:r w:rsidRPr="00580ADF">
        <w:rPr>
          <w:rFonts w:ascii="Times New Roman" w:hAnsi="Times New Roman"/>
        </w:rPr>
        <w:t> </w:t>
      </w:r>
    </w:p>
    <w:p w:rsidR="0046704D" w:rsidRPr="00580ADF" w:rsidP="0046704D">
      <w:pPr>
        <w:bidi w:val="0"/>
        <w:rPr>
          <w:rFonts w:ascii="Times New Roman" w:hAnsi="Times New Roman"/>
        </w:rPr>
      </w:pPr>
    </w:p>
    <w:p w:rsidR="0046704D" w:rsidRPr="00580ADF" w:rsidP="0046704D">
      <w:pPr>
        <w:bidi w:val="0"/>
        <w:ind w:left="360" w:hanging="360"/>
        <w:rPr>
          <w:rFonts w:ascii="Times New Roman" w:hAnsi="Times New Roman"/>
          <w:b/>
        </w:rPr>
      </w:pPr>
      <w:r w:rsidRPr="00580ADF">
        <w:rPr>
          <w:rFonts w:ascii="Times New Roman" w:hAnsi="Times New Roman"/>
          <w:b/>
        </w:rPr>
        <w:t>3.</w:t>
        <w:tab/>
        <w:t>Problematika návrhu právneho predpisu:</w:t>
      </w:r>
    </w:p>
    <w:p w:rsidR="0046704D" w:rsidRPr="00580ADF" w:rsidP="0046704D">
      <w:pPr>
        <w:bidi w:val="0"/>
        <w:ind w:firstLine="360"/>
        <w:rPr>
          <w:rFonts w:ascii="Times New Roman" w:hAnsi="Times New Roman"/>
        </w:rPr>
      </w:pPr>
    </w:p>
    <w:p w:rsidR="0046704D" w:rsidRPr="00F77DA8" w:rsidP="0046704D">
      <w:pPr>
        <w:pStyle w:val="BodyText"/>
        <w:numPr>
          <w:ilvl w:val="1"/>
          <w:numId w:val="1"/>
        </w:numPr>
        <w:bidi w:val="0"/>
        <w:spacing w:after="0"/>
        <w:ind w:left="425"/>
        <w:rPr>
          <w:rFonts w:ascii="Times New Roman" w:hAnsi="Times New Roman"/>
        </w:rPr>
      </w:pPr>
      <w:r w:rsidRPr="00F77DA8">
        <w:rPr>
          <w:rFonts w:ascii="Times New Roman" w:hAnsi="Times New Roman"/>
        </w:rPr>
        <w:t>je upravená v práve Európskej únie:</w:t>
      </w:r>
    </w:p>
    <w:p w:rsidR="0046704D" w:rsidP="0046704D">
      <w:pPr>
        <w:pStyle w:val="BodyText"/>
        <w:bidi w:val="0"/>
        <w:spacing w:after="0"/>
        <w:rPr>
          <w:rFonts w:ascii="Times New Roman" w:hAnsi="Times New Roman"/>
          <w:bCs/>
          <w:iCs/>
        </w:rPr>
      </w:pPr>
    </w:p>
    <w:p w:rsidR="0046704D" w:rsidP="0046704D">
      <w:pPr>
        <w:pStyle w:val="BodyText"/>
        <w:bidi w:val="0"/>
        <w:spacing w:after="0"/>
        <w:rPr>
          <w:rFonts w:ascii="Times New Roman" w:hAnsi="Times New Roman"/>
          <w:bCs/>
          <w:iCs/>
        </w:rPr>
      </w:pPr>
      <w:r w:rsidRPr="00F77DA8">
        <w:rPr>
          <w:rFonts w:ascii="Times New Roman" w:hAnsi="Times New Roman"/>
          <w:bCs/>
          <w:iCs/>
        </w:rPr>
        <w:t xml:space="preserve">primárnom: </w:t>
      </w:r>
    </w:p>
    <w:p w:rsidR="0046704D" w:rsidRPr="00F77DA8" w:rsidP="0046704D">
      <w:pPr>
        <w:pStyle w:val="BodyText"/>
        <w:bidi w:val="0"/>
        <w:spacing w:after="0"/>
        <w:rPr>
          <w:rFonts w:ascii="Times New Roman" w:hAnsi="Times New Roman"/>
          <w:bCs/>
          <w:iCs/>
        </w:rPr>
      </w:pPr>
    </w:p>
    <w:p w:rsidR="0046704D" w:rsidRPr="00F77DA8" w:rsidP="0046704D">
      <w:pPr>
        <w:pStyle w:val="BodyText"/>
        <w:numPr>
          <w:numId w:val="2"/>
        </w:numPr>
        <w:tabs>
          <w:tab w:val="num" w:pos="851"/>
          <w:tab w:val="clear" w:pos="900"/>
        </w:tabs>
        <w:bidi w:val="0"/>
        <w:spacing w:after="0"/>
        <w:ind w:left="329" w:hanging="329"/>
        <w:rPr>
          <w:rFonts w:ascii="Times New Roman" w:hAnsi="Times New Roman"/>
        </w:rPr>
      </w:pPr>
      <w:r w:rsidRPr="00F77DA8">
        <w:rPr>
          <w:rFonts w:ascii="Times New Roman" w:hAnsi="Times New Roman"/>
        </w:rPr>
        <w:t xml:space="preserve">čl. 110 až 113 Zmluvy o fungovaní Európskej únie, </w:t>
      </w:r>
    </w:p>
    <w:p w:rsidR="0046704D" w:rsidP="0046704D">
      <w:pPr>
        <w:pStyle w:val="ListParagraph"/>
        <w:autoSpaceDE w:val="0"/>
        <w:autoSpaceDN w:val="0"/>
        <w:bidi w:val="0"/>
        <w:adjustRightInd w:val="0"/>
        <w:ind w:left="0"/>
        <w:contextualSpacing w:val="0"/>
        <w:jc w:val="both"/>
        <w:rPr>
          <w:rFonts w:ascii="Times New Roman" w:hAnsi="Times New Roman"/>
          <w:lang w:val="sk-SK"/>
        </w:rPr>
      </w:pPr>
    </w:p>
    <w:p w:rsidR="0046704D" w:rsidRPr="00F77DA8" w:rsidP="0046704D">
      <w:pPr>
        <w:pStyle w:val="ListParagraph"/>
        <w:autoSpaceDE w:val="0"/>
        <w:autoSpaceDN w:val="0"/>
        <w:bidi w:val="0"/>
        <w:adjustRightInd w:val="0"/>
        <w:ind w:left="0"/>
        <w:contextualSpacing w:val="0"/>
        <w:jc w:val="both"/>
        <w:rPr>
          <w:rFonts w:ascii="Times New Roman" w:hAnsi="Times New Roman"/>
          <w:lang w:val="sk-SK"/>
        </w:rPr>
      </w:pPr>
      <w:r w:rsidRPr="00F77DA8">
        <w:rPr>
          <w:rFonts w:ascii="Times New Roman" w:hAnsi="Times New Roman"/>
          <w:lang w:val="sk-SK"/>
        </w:rPr>
        <w:t>sekundárnom (prijatom po nadobudnutí platnosti Lisabonskej zmluvy, ktorou sa mení a dopĺňa Zmluva o Európskej únii a Zmluva o založení Európskeho spoločenstva - po 30. novembri 2009)</w:t>
      </w:r>
    </w:p>
    <w:p w:rsidR="0046704D" w:rsidRPr="00F77DA8" w:rsidP="0046704D">
      <w:pPr>
        <w:pStyle w:val="BodyTextIndent"/>
        <w:bidi w:val="0"/>
        <w:rPr>
          <w:rFonts w:ascii="Times New Roman" w:hAnsi="Times New Roman"/>
        </w:rPr>
      </w:pPr>
    </w:p>
    <w:p w:rsidR="0046704D" w:rsidRPr="00F77DA8" w:rsidP="0046704D">
      <w:pPr>
        <w:pStyle w:val="BodyTextIndent"/>
        <w:bidi w:val="0"/>
        <w:rPr>
          <w:rFonts w:ascii="Times New Roman" w:hAnsi="Times New Roman"/>
        </w:rPr>
      </w:pPr>
      <w:r w:rsidRPr="00F77DA8">
        <w:rPr>
          <w:rFonts w:ascii="Times New Roman" w:hAnsi="Times New Roman"/>
        </w:rPr>
        <w:t xml:space="preserve">  1.  legislatívne akty:</w:t>
      </w:r>
    </w:p>
    <w:p w:rsidR="0046704D" w:rsidRPr="00F77DA8" w:rsidP="0046704D">
      <w:pPr>
        <w:autoSpaceDE w:val="0"/>
        <w:autoSpaceDN w:val="0"/>
        <w:bidi w:val="0"/>
        <w:jc w:val="both"/>
        <w:rPr>
          <w:rFonts w:ascii="Times New Roman" w:hAnsi="Times New Roman"/>
        </w:rPr>
      </w:pPr>
      <w:r>
        <w:rPr>
          <w:rFonts w:ascii="Times New Roman" w:hAnsi="Times New Roman"/>
          <w:bCs/>
          <w:iCs/>
        </w:rPr>
        <w:t xml:space="preserve">  2. </w:t>
      </w:r>
      <w:r w:rsidRPr="00F77DA8">
        <w:rPr>
          <w:rFonts w:ascii="Times New Roman" w:hAnsi="Times New Roman"/>
          <w:bCs/>
          <w:iCs/>
        </w:rPr>
        <w:t xml:space="preserve"> nelegislatívne akty:</w:t>
      </w:r>
    </w:p>
    <w:p w:rsidR="0046704D" w:rsidRPr="00F77DA8" w:rsidP="0046704D">
      <w:pPr>
        <w:pStyle w:val="BodyTextIndent"/>
        <w:numPr>
          <w:numId w:val="2"/>
        </w:numPr>
        <w:autoSpaceDE w:val="0"/>
        <w:autoSpaceDN w:val="0"/>
        <w:bidi w:val="0"/>
        <w:adjustRightInd w:val="0"/>
        <w:spacing w:after="0"/>
        <w:jc w:val="both"/>
        <w:rPr>
          <w:rStyle w:val="Emphasis"/>
          <w:rFonts w:ascii="Times New Roman" w:hAnsi="Times New Roman"/>
          <w:i w:val="0"/>
        </w:rPr>
      </w:pPr>
      <w:r w:rsidRPr="00F77DA8">
        <w:rPr>
          <w:rFonts w:ascii="Times New Roman" w:hAnsi="Times New Roman"/>
          <w:bCs/>
        </w:rPr>
        <w:t>nariadenie Rady (EÚ) č. 904/2010  zo 7. októbra 2010 o administratívnej spolupráci a boji proti podvodom v oblasti dane z pridanej hodnoty (</w:t>
      </w:r>
      <w:r w:rsidRPr="00F77DA8">
        <w:rPr>
          <w:rStyle w:val="Emphasis"/>
          <w:rFonts w:ascii="Times New Roman" w:hAnsi="Times New Roman"/>
          <w:i w:val="0"/>
          <w:iCs/>
        </w:rPr>
        <w:t>Ú. v. EÚ L 268, 12.10. 2010),</w:t>
      </w:r>
    </w:p>
    <w:p w:rsidR="0046704D" w:rsidRPr="00F77DA8" w:rsidP="0046704D">
      <w:pPr>
        <w:numPr>
          <w:numId w:val="2"/>
        </w:numPr>
        <w:autoSpaceDE w:val="0"/>
        <w:autoSpaceDN w:val="0"/>
        <w:bidi w:val="0"/>
        <w:adjustRightInd w:val="0"/>
        <w:jc w:val="both"/>
        <w:rPr>
          <w:rStyle w:val="Emphasis"/>
          <w:rFonts w:ascii="Times New Roman" w:hAnsi="Times New Roman"/>
          <w:i w:val="0"/>
        </w:rPr>
      </w:pPr>
      <w:r w:rsidRPr="00F77DA8">
        <w:rPr>
          <w:rFonts w:ascii="Times New Roman" w:hAnsi="Times New Roman"/>
        </w:rPr>
        <w:t>vykonávacie nariadenie Rady (EÚ) č. 282/2011 z  15. marca 2011, ktorým sa ustanovujú vykonávacie opatrenia smernice 2006/112/ES o spoločnom systéme dane z pridanej hodnoty (</w:t>
      </w:r>
      <w:r w:rsidRPr="00F77DA8">
        <w:rPr>
          <w:rStyle w:val="Emphasis"/>
          <w:rFonts w:ascii="Times New Roman" w:hAnsi="Times New Roman"/>
          <w:i w:val="0"/>
          <w:iCs/>
        </w:rPr>
        <w:t>Ú. v. EÚ L 77, 23.3.2011),</w:t>
      </w:r>
    </w:p>
    <w:p w:rsidR="0046704D" w:rsidRPr="00F77DA8" w:rsidP="0046704D">
      <w:pPr>
        <w:numPr>
          <w:numId w:val="2"/>
        </w:numPr>
        <w:autoSpaceDE w:val="0"/>
        <w:autoSpaceDN w:val="0"/>
        <w:bidi w:val="0"/>
        <w:adjustRightInd w:val="0"/>
        <w:jc w:val="both"/>
        <w:rPr>
          <w:rStyle w:val="Emphasis"/>
          <w:rFonts w:ascii="Times New Roman" w:hAnsi="Times New Roman"/>
          <w:i w:val="0"/>
        </w:rPr>
      </w:pPr>
      <w:r w:rsidRPr="00F77DA8">
        <w:rPr>
          <w:rFonts w:ascii="Times New Roman" w:hAnsi="Times New Roman"/>
          <w:bCs/>
          <w:color w:val="000000"/>
        </w:rPr>
        <w:t>vykonávacie nariadenie Komisie (EÚ) č. 79/2012 z 31. januára 2012, ktorým sa stanovujú podrobné pravidlá vykonávania niektorých ustanovení nariadenia Rady (EÚ) č. 904/2010 o administratívnej spolupráci a boji proti podvodom v oblasti dane z pridanej hodnoty (</w:t>
      </w:r>
      <w:r w:rsidRPr="00F77DA8">
        <w:rPr>
          <w:rStyle w:val="Emphasis"/>
          <w:rFonts w:ascii="Times New Roman" w:hAnsi="Times New Roman"/>
          <w:i w:val="0"/>
          <w:iCs/>
        </w:rPr>
        <w:t>Ú. v. EÚ L 29, 1.2. 2012).</w:t>
      </w:r>
    </w:p>
    <w:p w:rsidR="0046704D" w:rsidP="0046704D">
      <w:pPr>
        <w:pStyle w:val="BodyTextIndent"/>
        <w:bidi w:val="0"/>
        <w:rPr>
          <w:rFonts w:ascii="Times New Roman" w:hAnsi="Times New Roman"/>
        </w:rPr>
      </w:pPr>
    </w:p>
    <w:p w:rsidR="0046704D" w:rsidRPr="006757B6" w:rsidP="0046704D">
      <w:pPr>
        <w:pStyle w:val="BodyTextIndent"/>
        <w:bidi w:val="0"/>
        <w:rPr>
          <w:rFonts w:ascii="Times New Roman" w:hAnsi="Times New Roman"/>
          <w:bCs/>
          <w:iCs/>
        </w:rPr>
      </w:pPr>
      <w:r>
        <w:rPr>
          <w:rFonts w:ascii="Times New Roman" w:hAnsi="Times New Roman"/>
        </w:rPr>
        <w:t>s</w:t>
      </w:r>
      <w:r w:rsidRPr="00F77DA8">
        <w:rPr>
          <w:rFonts w:ascii="Times New Roman" w:hAnsi="Times New Roman"/>
        </w:rPr>
        <w:t>ekundárnom (prijatom pred nadobudnutí platnosti Lisabonskej zmluvy, ktorou sa mení a dopĺňa Zmluva o Európskej únii a Zmluva o založení Európskeho spoločenstva - do 30. novembra 2009)</w:t>
      </w:r>
      <w:r w:rsidRPr="00F77DA8">
        <w:rPr>
          <w:rFonts w:ascii="Times New Roman" w:hAnsi="Times New Roman"/>
          <w:bCs/>
          <w:iCs/>
        </w:rPr>
        <w:t>:</w:t>
      </w:r>
      <w:r w:rsidRPr="00F77DA8">
        <w:rPr>
          <w:rFonts w:ascii="Times New Roman" w:hAnsi="Times New Roman"/>
          <w:b/>
          <w:bCs/>
          <w:i/>
          <w:iCs/>
        </w:rPr>
        <w:t xml:space="preserve"> </w:t>
      </w:r>
    </w:p>
    <w:p w:rsidR="0046704D" w:rsidRPr="006757B6" w:rsidP="0046704D">
      <w:pPr>
        <w:pStyle w:val="BodyTextIndent"/>
        <w:bidi w:val="0"/>
        <w:rPr>
          <w:rFonts w:ascii="Times New Roman" w:hAnsi="Times New Roman"/>
          <w:bCs/>
          <w:iCs/>
        </w:rPr>
      </w:pPr>
    </w:p>
    <w:p w:rsidR="0046704D" w:rsidRPr="00F77DA8" w:rsidP="0046704D">
      <w:pPr>
        <w:pStyle w:val="BodyTextIndent"/>
        <w:numPr>
          <w:numId w:val="4"/>
        </w:numPr>
        <w:autoSpaceDE w:val="0"/>
        <w:autoSpaceDN w:val="0"/>
        <w:bidi w:val="0"/>
        <w:adjustRightInd w:val="0"/>
        <w:spacing w:after="0"/>
        <w:jc w:val="both"/>
        <w:rPr>
          <w:rFonts w:ascii="Times New Roman" w:hAnsi="Times New Roman"/>
        </w:rPr>
      </w:pPr>
      <w:r w:rsidRPr="00F77DA8">
        <w:rPr>
          <w:rFonts w:ascii="Times New Roman" w:hAnsi="Times New Roman"/>
          <w:bCs/>
        </w:rPr>
        <w:t xml:space="preserve">smernica Rady 2006/112/ES z  28. novembra 2006 o spoločnom systéme dane z pridanej hodnoty </w:t>
      </w:r>
      <w:r w:rsidRPr="00F77DA8">
        <w:rPr>
          <w:rFonts w:ascii="Times New Roman" w:hAnsi="Times New Roman"/>
        </w:rPr>
        <w:t>(Ú. v. EÚ L 347, 11.12.2006)</w:t>
      </w:r>
      <w:r w:rsidRPr="00F77DA8">
        <w:rPr>
          <w:rFonts w:ascii="Times New Roman" w:hAnsi="Times New Roman"/>
          <w:bCs/>
        </w:rPr>
        <w:t xml:space="preserve"> v platnom znení</w:t>
      </w:r>
      <w:r w:rsidRPr="00F77DA8">
        <w:rPr>
          <w:rFonts w:ascii="Times New Roman" w:hAnsi="Times New Roman"/>
        </w:rPr>
        <w:t>,</w:t>
      </w:r>
    </w:p>
    <w:p w:rsidR="0046704D" w:rsidRPr="006757B6" w:rsidP="0046704D">
      <w:pPr>
        <w:pStyle w:val="BodyTextIndent"/>
        <w:numPr>
          <w:numId w:val="4"/>
        </w:numPr>
        <w:autoSpaceDE w:val="0"/>
        <w:autoSpaceDN w:val="0"/>
        <w:bidi w:val="0"/>
        <w:adjustRightInd w:val="0"/>
        <w:spacing w:after="0"/>
        <w:jc w:val="both"/>
        <w:rPr>
          <w:rStyle w:val="Emphasis"/>
          <w:rFonts w:ascii="Times New Roman" w:hAnsi="Times New Roman"/>
        </w:rPr>
      </w:pPr>
      <w:r w:rsidRPr="00F77DA8">
        <w:rPr>
          <w:rFonts w:ascii="Times New Roman" w:hAnsi="Times New Roman"/>
          <w:bCs/>
        </w:rPr>
        <w:t xml:space="preserve">nariadenie Rady (ES) č. 1798/2003 zo 7. októbra 2003 o administratívnej spolupráci v oblasti dane z pridanej hodnoty a ktoré zrušuje nariadenie (EHS) č. 218/92 (Mimoriadne vydanie </w:t>
      </w:r>
      <w:r w:rsidRPr="00F77DA8">
        <w:rPr>
          <w:rStyle w:val="Emphasis"/>
          <w:rFonts w:ascii="Times New Roman" w:hAnsi="Times New Roman"/>
          <w:i w:val="0"/>
          <w:iCs/>
        </w:rPr>
        <w:t>Ú. v. EÚ kap. 9/zv. 1)</w:t>
      </w:r>
      <w:r w:rsidRPr="00F77DA8">
        <w:rPr>
          <w:rFonts w:ascii="Times New Roman" w:hAnsi="Times New Roman"/>
          <w:bCs/>
        </w:rPr>
        <w:t xml:space="preserve"> v platnom znení</w:t>
      </w:r>
      <w:r w:rsidRPr="00F77DA8">
        <w:rPr>
          <w:rStyle w:val="Emphasis"/>
          <w:rFonts w:ascii="Times New Roman" w:hAnsi="Times New Roman"/>
          <w:i w:val="0"/>
          <w:iCs/>
        </w:rPr>
        <w:t>.</w:t>
      </w:r>
    </w:p>
    <w:p w:rsidR="0046704D" w:rsidRPr="00F77DA8" w:rsidP="0046704D">
      <w:pPr>
        <w:pStyle w:val="BodyTextIndent"/>
        <w:autoSpaceDE w:val="0"/>
        <w:autoSpaceDN w:val="0"/>
        <w:bidi w:val="0"/>
        <w:adjustRightInd w:val="0"/>
        <w:ind w:left="720"/>
        <w:rPr>
          <w:rFonts w:ascii="Times New Roman" w:hAnsi="Times New Roman"/>
          <w:i/>
        </w:rPr>
      </w:pPr>
    </w:p>
    <w:p w:rsidR="0046704D" w:rsidP="0046704D">
      <w:pPr>
        <w:pStyle w:val="BodyText"/>
        <w:numPr>
          <w:ilvl w:val="1"/>
          <w:numId w:val="1"/>
        </w:numPr>
        <w:bidi w:val="0"/>
        <w:spacing w:after="0"/>
        <w:ind w:left="425"/>
        <w:jc w:val="both"/>
        <w:rPr>
          <w:rFonts w:ascii="Times New Roman" w:hAnsi="Times New Roman"/>
        </w:rPr>
      </w:pPr>
      <w:r w:rsidRPr="00F77DA8">
        <w:rPr>
          <w:rFonts w:ascii="Times New Roman" w:hAnsi="Times New Roman"/>
        </w:rPr>
        <w:t>je obsiahnutá v judikatúre Súdneho dvora Európskej únie:</w:t>
      </w:r>
    </w:p>
    <w:p w:rsidR="0046704D" w:rsidRPr="00F77DA8" w:rsidP="0046704D">
      <w:pPr>
        <w:pStyle w:val="BodyText"/>
        <w:bidi w:val="0"/>
        <w:spacing w:after="0"/>
        <w:ind w:left="425"/>
        <w:jc w:val="both"/>
        <w:rPr>
          <w:rFonts w:ascii="Times New Roman" w:hAnsi="Times New Roman"/>
        </w:rPr>
      </w:pPr>
    </w:p>
    <w:p w:rsidR="0046704D" w:rsidRPr="00F77DA8" w:rsidP="0046704D">
      <w:pPr>
        <w:numPr>
          <w:numId w:val="5"/>
        </w:numPr>
        <w:tabs>
          <w:tab w:val="left" w:pos="851"/>
        </w:tabs>
        <w:bidi w:val="0"/>
        <w:jc w:val="both"/>
        <w:rPr>
          <w:rFonts w:ascii="Times New Roman" w:hAnsi="Times New Roman"/>
        </w:rPr>
      </w:pPr>
      <w:r w:rsidRPr="00F77DA8">
        <w:rPr>
          <w:rFonts w:ascii="Times New Roman" w:hAnsi="Times New Roman"/>
        </w:rPr>
        <w:t>rozhodnutie Súdneho dvora vo veci C – 317/94, Elida Gibbs Ltd proti Commissioners of Customs &amp; Excise, rok 1996,</w:t>
      </w:r>
    </w:p>
    <w:p w:rsidR="0046704D" w:rsidRPr="00F77DA8" w:rsidP="0046704D">
      <w:pPr>
        <w:numPr>
          <w:numId w:val="5"/>
        </w:numPr>
        <w:tabs>
          <w:tab w:val="left" w:pos="851"/>
        </w:tabs>
        <w:bidi w:val="0"/>
        <w:jc w:val="both"/>
        <w:rPr>
          <w:rFonts w:ascii="Times New Roman" w:hAnsi="Times New Roman"/>
        </w:rPr>
      </w:pPr>
      <w:r w:rsidRPr="00F77DA8">
        <w:rPr>
          <w:rFonts w:ascii="Times New Roman" w:hAnsi="Times New Roman"/>
        </w:rPr>
        <w:t>rozhodnutie Súdneho dvora vo veci C - 427/98,  EK proti Spolkovej republike Nemecko, rok 2002,</w:t>
      </w:r>
    </w:p>
    <w:p w:rsidR="0046704D" w:rsidRPr="00F77DA8" w:rsidP="0046704D">
      <w:pPr>
        <w:numPr>
          <w:numId w:val="5"/>
        </w:numPr>
        <w:tabs>
          <w:tab w:val="left" w:pos="851"/>
        </w:tabs>
        <w:bidi w:val="0"/>
        <w:jc w:val="both"/>
        <w:rPr>
          <w:rFonts w:ascii="Times New Roman" w:hAnsi="Times New Roman"/>
        </w:rPr>
      </w:pPr>
      <w:r w:rsidRPr="00F77DA8">
        <w:rPr>
          <w:rFonts w:ascii="Times New Roman" w:hAnsi="Times New Roman"/>
        </w:rPr>
        <w:t>rozhodnutie Súdneho dvora vo veci C - 398/99, Yorkshire Co-operatives Ltd proti Commissioners of Customs &amp; Excise, rok 2003,</w:t>
      </w:r>
    </w:p>
    <w:p w:rsidR="0046704D" w:rsidRPr="00F77DA8" w:rsidP="0046704D">
      <w:pPr>
        <w:numPr>
          <w:numId w:val="5"/>
        </w:numPr>
        <w:tabs>
          <w:tab w:val="left" w:pos="851"/>
        </w:tabs>
        <w:bidi w:val="0"/>
        <w:jc w:val="both"/>
        <w:rPr>
          <w:rFonts w:ascii="Times New Roman" w:hAnsi="Times New Roman"/>
        </w:rPr>
      </w:pPr>
      <w:r w:rsidRPr="00F77DA8">
        <w:rPr>
          <w:rFonts w:ascii="Times New Roman" w:hAnsi="Times New Roman"/>
        </w:rPr>
        <w:t>rozhodnutie Súdneho dvora v spojených veciach C - 643/11, LVK – 56 EOOD proti Direktor na Direkcija „Obžalvane i upravlenie na izpalnenieto“ – Varna pri Centralno upravlenie na Nacionalnata agencija za prichodite, rok 2013.</w:t>
      </w:r>
    </w:p>
    <w:p w:rsidR="0046704D" w:rsidRPr="00F77DA8" w:rsidP="0046704D">
      <w:pPr>
        <w:pStyle w:val="BodyText"/>
        <w:bidi w:val="0"/>
        <w:spacing w:after="0"/>
        <w:jc w:val="both"/>
        <w:rPr>
          <w:rFonts w:ascii="Times New Roman" w:hAnsi="Times New Roman"/>
        </w:rPr>
      </w:pPr>
    </w:p>
    <w:p w:rsidR="0046704D" w:rsidRPr="0046704D" w:rsidP="0046704D">
      <w:pPr>
        <w:tabs>
          <w:tab w:val="left" w:pos="360"/>
        </w:tabs>
        <w:bidi w:val="0"/>
        <w:jc w:val="both"/>
        <w:rPr>
          <w:rFonts w:ascii="Times New Roman" w:hAnsi="Times New Roman"/>
          <w:b/>
          <w:bCs/>
        </w:rPr>
      </w:pPr>
      <w:r w:rsidRPr="0046704D">
        <w:rPr>
          <w:rFonts w:ascii="Times New Roman" w:hAnsi="Times New Roman"/>
          <w:b/>
          <w:bCs/>
        </w:rPr>
        <w:t>4.    Záväzky Slovenskej republiky vo vzťahu k Európskej únii:</w:t>
      </w:r>
    </w:p>
    <w:p w:rsidR="0046704D" w:rsidRPr="00F77DA8" w:rsidP="0046704D">
      <w:pPr>
        <w:tabs>
          <w:tab w:val="left" w:pos="360"/>
        </w:tabs>
        <w:bidi w:val="0"/>
        <w:jc w:val="both"/>
        <w:rPr>
          <w:rFonts w:ascii="Times New Roman" w:hAnsi="Times New Roman"/>
          <w:bCs/>
        </w:rPr>
      </w:pPr>
    </w:p>
    <w:p w:rsidR="0046704D" w:rsidRPr="00F77DA8" w:rsidP="0046704D">
      <w:pPr>
        <w:pStyle w:val="BodyText"/>
        <w:numPr>
          <w:numId w:val="3"/>
        </w:numPr>
        <w:tabs>
          <w:tab w:val="left" w:pos="360"/>
          <w:tab w:val="left" w:pos="540"/>
        </w:tabs>
        <w:bidi w:val="0"/>
        <w:spacing w:after="0"/>
        <w:ind w:left="357" w:hanging="357"/>
        <w:jc w:val="both"/>
        <w:rPr>
          <w:rFonts w:ascii="Times New Roman" w:hAnsi="Times New Roman"/>
        </w:rPr>
      </w:pPr>
      <w:r w:rsidRPr="00F77DA8">
        <w:rPr>
          <w:rFonts w:ascii="Times New Roman" w:hAnsi="Times New Roman"/>
        </w:rPr>
        <w:t>Lehota na prebratie smernice alebo lehota na implementáciu nariadenia alebo rozhodnutia: bezpredmetné.</w:t>
      </w:r>
    </w:p>
    <w:p w:rsidR="0046704D" w:rsidRPr="00F77DA8" w:rsidP="0046704D">
      <w:pPr>
        <w:pStyle w:val="BodyText"/>
        <w:numPr>
          <w:numId w:val="3"/>
        </w:numPr>
        <w:tabs>
          <w:tab w:val="left" w:pos="360"/>
          <w:tab w:val="left" w:pos="540"/>
        </w:tabs>
        <w:bidi w:val="0"/>
        <w:spacing w:after="0"/>
        <w:ind w:left="357" w:hanging="357"/>
        <w:jc w:val="both"/>
        <w:rPr>
          <w:rFonts w:ascii="Times New Roman" w:hAnsi="Times New Roman"/>
        </w:rPr>
      </w:pPr>
      <w:r w:rsidRPr="00F77DA8">
        <w:rPr>
          <w:rFonts w:ascii="Times New Roman" w:hAnsi="Times New Roman"/>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 bezpredmetné.</w:t>
      </w:r>
    </w:p>
    <w:p w:rsidR="0046704D" w:rsidRPr="00F77DA8" w:rsidP="0046704D">
      <w:pPr>
        <w:pStyle w:val="BodyText"/>
        <w:numPr>
          <w:numId w:val="3"/>
        </w:numPr>
        <w:tabs>
          <w:tab w:val="left" w:pos="360"/>
        </w:tabs>
        <w:bidi w:val="0"/>
        <w:spacing w:after="0"/>
        <w:ind w:left="357" w:hanging="357"/>
        <w:jc w:val="both"/>
        <w:rPr>
          <w:rFonts w:ascii="Times New Roman" w:hAnsi="Times New Roman"/>
        </w:rPr>
      </w:pPr>
      <w:r w:rsidRPr="00F77DA8">
        <w:rPr>
          <w:rFonts w:ascii="Times New Roman" w:hAnsi="Times New Roman"/>
        </w:rPr>
        <w:t>Proti SR nebolo začaté konanie o porušení Zmluvy o založení Európskych spoločenstiev podľa čl. 258 až 260 Zmluvy o fungovaní Európskej únie.</w:t>
      </w:r>
    </w:p>
    <w:p w:rsidR="0046704D" w:rsidRPr="00F77DA8" w:rsidP="0046704D">
      <w:pPr>
        <w:pStyle w:val="BodyText"/>
        <w:numPr>
          <w:numId w:val="3"/>
        </w:numPr>
        <w:tabs>
          <w:tab w:val="left" w:pos="360"/>
        </w:tabs>
        <w:bidi w:val="0"/>
        <w:spacing w:after="0"/>
        <w:ind w:left="357" w:hanging="357"/>
        <w:jc w:val="both"/>
        <w:rPr>
          <w:rFonts w:ascii="Times New Roman" w:hAnsi="Times New Roman"/>
        </w:rPr>
      </w:pPr>
      <w:r w:rsidRPr="00F77DA8">
        <w:rPr>
          <w:rFonts w:ascii="Times New Roman" w:hAnsi="Times New Roman"/>
        </w:rPr>
        <w:t>Bezpredmetné.</w:t>
      </w:r>
    </w:p>
    <w:p w:rsidR="0046704D" w:rsidRPr="00F77DA8" w:rsidP="0046704D">
      <w:pPr>
        <w:pStyle w:val="BodyText"/>
        <w:tabs>
          <w:tab w:val="left" w:pos="360"/>
        </w:tabs>
        <w:bidi w:val="0"/>
        <w:spacing w:after="0"/>
        <w:jc w:val="both"/>
        <w:rPr>
          <w:rFonts w:ascii="Times New Roman" w:hAnsi="Times New Roman"/>
        </w:rPr>
      </w:pPr>
    </w:p>
    <w:p w:rsidR="0046704D" w:rsidRPr="0046704D" w:rsidP="0046704D">
      <w:pPr>
        <w:tabs>
          <w:tab w:val="left" w:pos="360"/>
        </w:tabs>
        <w:bidi w:val="0"/>
        <w:jc w:val="both"/>
        <w:rPr>
          <w:rFonts w:ascii="Times New Roman" w:hAnsi="Times New Roman"/>
          <w:b/>
          <w:bCs/>
        </w:rPr>
      </w:pPr>
      <w:r w:rsidRPr="0046704D">
        <w:rPr>
          <w:rFonts w:ascii="Times New Roman" w:hAnsi="Times New Roman"/>
          <w:b/>
          <w:bCs/>
        </w:rPr>
        <w:t>5.</w:t>
        <w:tab/>
        <w:t>Stupeň zlučiteľnosti návrhu zákona s právom Európskej únie:</w:t>
      </w:r>
    </w:p>
    <w:p w:rsidR="0046704D" w:rsidRPr="00F77DA8" w:rsidP="0046704D">
      <w:pPr>
        <w:bidi w:val="0"/>
        <w:jc w:val="both"/>
        <w:rPr>
          <w:rFonts w:ascii="Times New Roman" w:hAnsi="Times New Roman"/>
        </w:rPr>
      </w:pPr>
      <w:r>
        <w:rPr>
          <w:rFonts w:ascii="Times New Roman" w:hAnsi="Times New Roman"/>
        </w:rPr>
        <w:t xml:space="preserve">      </w:t>
      </w:r>
      <w:r w:rsidRPr="00F77DA8">
        <w:rPr>
          <w:rFonts w:ascii="Times New Roman" w:hAnsi="Times New Roman"/>
        </w:rPr>
        <w:t>Úplný.</w:t>
      </w:r>
    </w:p>
    <w:p w:rsidR="0046704D" w:rsidRPr="00F77DA8" w:rsidP="0046704D">
      <w:pPr>
        <w:bidi w:val="0"/>
        <w:jc w:val="both"/>
        <w:rPr>
          <w:rFonts w:ascii="Times New Roman" w:hAnsi="Times New Roman"/>
          <w:bCs/>
        </w:rPr>
      </w:pPr>
    </w:p>
    <w:p w:rsidR="0046704D" w:rsidRPr="0046704D" w:rsidP="0046704D">
      <w:pPr>
        <w:tabs>
          <w:tab w:val="left" w:pos="360"/>
        </w:tabs>
        <w:bidi w:val="0"/>
        <w:jc w:val="both"/>
        <w:rPr>
          <w:rFonts w:ascii="Times New Roman" w:hAnsi="Times New Roman"/>
          <w:b/>
          <w:bCs/>
        </w:rPr>
      </w:pPr>
      <w:r w:rsidRPr="0046704D">
        <w:rPr>
          <w:rFonts w:ascii="Times New Roman" w:hAnsi="Times New Roman"/>
          <w:b/>
          <w:bCs/>
        </w:rPr>
        <w:t>6.</w:t>
        <w:tab/>
        <w:t xml:space="preserve">Gestor a spolupracujúce rezorty: </w:t>
      </w:r>
    </w:p>
    <w:p w:rsidR="0046704D" w:rsidRPr="00F77DA8" w:rsidP="0046704D">
      <w:pPr>
        <w:bidi w:val="0"/>
        <w:jc w:val="both"/>
        <w:rPr>
          <w:rFonts w:ascii="Times New Roman" w:hAnsi="Times New Roman"/>
          <w:b/>
          <w:bCs/>
        </w:rPr>
      </w:pPr>
      <w:r>
        <w:rPr>
          <w:rFonts w:ascii="Times New Roman" w:hAnsi="Times New Roman"/>
        </w:rPr>
        <w:t xml:space="preserve">      Bezpredmetné.</w:t>
      </w:r>
    </w:p>
    <w:p w:rsidR="0046704D" w:rsidP="0046704D">
      <w:pPr>
        <w:bidi w:val="0"/>
        <w:rPr>
          <w:rFonts w:ascii="Times New Roman" w:hAnsi="Times New Roman"/>
        </w:rPr>
      </w:pPr>
    </w:p>
    <w:p w:rsidR="0046704D" w:rsidP="0046704D">
      <w:pPr>
        <w:bidi w:val="0"/>
        <w:rPr>
          <w:rFonts w:ascii="Times New Roman" w:hAnsi="Times New Roman"/>
        </w:rPr>
      </w:pPr>
    </w:p>
    <w:p w:rsidR="0046704D" w:rsidP="0046704D">
      <w:pPr>
        <w:bidi w:val="0"/>
        <w:rPr>
          <w:rFonts w:ascii="Times New Roman" w:hAnsi="Times New Roman"/>
        </w:rPr>
      </w:pPr>
    </w:p>
    <w:p w:rsidR="0046704D" w:rsidP="0046704D">
      <w:pPr>
        <w:bidi w:val="0"/>
        <w:rPr>
          <w:rFonts w:ascii="Times New Roman" w:hAnsi="Times New Roman"/>
        </w:rPr>
      </w:pPr>
    </w:p>
    <w:p w:rsidR="0046704D" w:rsidP="0046704D">
      <w:pPr>
        <w:bidi w:val="0"/>
        <w:rPr>
          <w:rFonts w:ascii="Times New Roman" w:hAnsi="Times New Roman"/>
        </w:rPr>
      </w:pPr>
    </w:p>
    <w:p w:rsidR="0046704D" w:rsidP="0046704D">
      <w:pPr>
        <w:bidi w:val="0"/>
        <w:rPr>
          <w:rFonts w:ascii="Times New Roman" w:hAnsi="Times New Roman"/>
        </w:rPr>
      </w:pPr>
    </w:p>
    <w:p w:rsidR="0046704D" w:rsidP="0046704D">
      <w:pPr>
        <w:bidi w:val="0"/>
        <w:rPr>
          <w:rFonts w:ascii="Times New Roman" w:hAnsi="Times New Roman"/>
        </w:rPr>
      </w:pPr>
    </w:p>
    <w:p w:rsidR="0046704D" w:rsidP="0046704D">
      <w:pPr>
        <w:bidi w:val="0"/>
        <w:rPr>
          <w:rFonts w:ascii="Times New Roman" w:hAnsi="Times New Roman"/>
        </w:rPr>
      </w:pPr>
    </w:p>
    <w:p w:rsidR="0046704D" w:rsidP="0046704D">
      <w:pPr>
        <w:bidi w:val="0"/>
        <w:rPr>
          <w:rFonts w:ascii="Times New Roman" w:hAnsi="Times New Roman"/>
        </w:rPr>
      </w:pPr>
    </w:p>
    <w:p w:rsidR="0046704D" w:rsidP="0046704D">
      <w:pPr>
        <w:bidi w:val="0"/>
        <w:rPr>
          <w:rFonts w:ascii="Times New Roman" w:hAnsi="Times New Roman"/>
        </w:rPr>
      </w:pPr>
    </w:p>
    <w:p w:rsidR="0046704D" w:rsidP="0046704D">
      <w:pPr>
        <w:bidi w:val="0"/>
        <w:rPr>
          <w:rFonts w:ascii="Times New Roman" w:hAnsi="Times New Roman"/>
        </w:rPr>
      </w:pPr>
    </w:p>
    <w:p w:rsidR="0046704D" w:rsidP="0046704D">
      <w:pPr>
        <w:bidi w:val="0"/>
        <w:rPr>
          <w:rFonts w:ascii="Times New Roman" w:hAnsi="Times New Roman"/>
        </w:rPr>
      </w:pPr>
    </w:p>
    <w:p w:rsidR="0046704D" w:rsidP="0046704D">
      <w:pPr>
        <w:bidi w:val="0"/>
        <w:rPr>
          <w:rFonts w:ascii="Times New Roman" w:hAnsi="Times New Roman"/>
        </w:rPr>
      </w:pPr>
    </w:p>
    <w:p w:rsidR="0046704D" w:rsidP="0046704D">
      <w:pPr>
        <w:bidi w:val="0"/>
        <w:rPr>
          <w:rFonts w:ascii="Times New Roman" w:hAnsi="Times New Roman"/>
        </w:rPr>
      </w:pPr>
    </w:p>
    <w:p w:rsidR="0046704D" w:rsidP="0046704D">
      <w:pPr>
        <w:bidi w:val="0"/>
        <w:rPr>
          <w:rFonts w:ascii="Times New Roman" w:hAnsi="Times New Roman"/>
        </w:rPr>
      </w:pPr>
    </w:p>
    <w:p w:rsidR="0046704D" w:rsidP="0046704D">
      <w:pPr>
        <w:bidi w:val="0"/>
        <w:rPr>
          <w:rFonts w:ascii="Times New Roman" w:hAnsi="Times New Roman"/>
        </w:rPr>
      </w:pPr>
    </w:p>
    <w:p w:rsidR="0046704D" w:rsidP="0046704D">
      <w:pPr>
        <w:bidi w:val="0"/>
        <w:rPr>
          <w:rFonts w:ascii="Times New Roman" w:hAnsi="Times New Roman"/>
        </w:rPr>
      </w:pPr>
    </w:p>
    <w:p w:rsidR="0046704D" w:rsidP="0046704D">
      <w:pPr>
        <w:bidi w:val="0"/>
        <w:rPr>
          <w:rFonts w:ascii="Times New Roman" w:hAnsi="Times New Roman"/>
        </w:rPr>
      </w:pPr>
    </w:p>
    <w:p w:rsidR="0046704D" w:rsidP="0046704D">
      <w:pPr>
        <w:bidi w:val="0"/>
        <w:rPr>
          <w:rFonts w:ascii="Times New Roman" w:hAnsi="Times New Roman"/>
        </w:rPr>
      </w:pPr>
    </w:p>
    <w:p w:rsidR="0046704D" w:rsidP="0046704D">
      <w:pPr>
        <w:bidi w:val="0"/>
        <w:rPr>
          <w:rFonts w:ascii="Times New Roman" w:hAnsi="Times New Roman"/>
        </w:rPr>
      </w:pPr>
    </w:p>
    <w:p w:rsidR="0046704D" w:rsidP="0046704D">
      <w:pPr>
        <w:bidi w:val="0"/>
        <w:rPr>
          <w:rFonts w:ascii="Times New Roman" w:hAnsi="Times New Roman"/>
        </w:rPr>
      </w:pPr>
    </w:p>
    <w:p w:rsidR="0046704D" w:rsidP="0046704D">
      <w:pPr>
        <w:bidi w:val="0"/>
        <w:rPr>
          <w:rFonts w:ascii="Times New Roman" w:hAnsi="Times New Roman"/>
        </w:rPr>
      </w:pPr>
    </w:p>
    <w:p w:rsidR="0046704D" w:rsidP="0046704D">
      <w:pPr>
        <w:bidi w:val="0"/>
        <w:rPr>
          <w:rFonts w:ascii="Times New Roman" w:hAnsi="Times New Roman"/>
        </w:rPr>
      </w:pPr>
    </w:p>
    <w:p w:rsidR="0046704D" w:rsidP="0046704D">
      <w:pPr>
        <w:bidi w:val="0"/>
        <w:rPr>
          <w:rFonts w:ascii="Times New Roman" w:hAnsi="Times New Roman"/>
        </w:rPr>
      </w:pPr>
    </w:p>
    <w:p w:rsidR="0046704D" w:rsidP="0046704D">
      <w:pPr>
        <w:bidi w:val="0"/>
        <w:rPr>
          <w:rFonts w:ascii="Times New Roman" w:hAnsi="Times New Roman"/>
        </w:rPr>
      </w:pPr>
    </w:p>
    <w:p w:rsidR="0046704D" w:rsidP="0046704D">
      <w:pPr>
        <w:bidi w:val="0"/>
        <w:ind w:right="-108"/>
        <w:jc w:val="center"/>
        <w:outlineLvl w:val="0"/>
        <w:rPr>
          <w:rFonts w:ascii="Times New Roman" w:hAnsi="Times New Roman"/>
          <w:b/>
          <w:bCs/>
          <w:sz w:val="28"/>
          <w:szCs w:val="28"/>
        </w:rPr>
      </w:pPr>
      <w:r>
        <w:rPr>
          <w:rFonts w:ascii="Times New Roman" w:hAnsi="Times New Roman"/>
          <w:b/>
          <w:bCs/>
          <w:sz w:val="28"/>
          <w:szCs w:val="28"/>
        </w:rPr>
        <w:t>Doložka vybraných vplyvov</w:t>
      </w:r>
    </w:p>
    <w:p w:rsidR="0046704D" w:rsidP="0046704D">
      <w:pPr>
        <w:bidi w:val="0"/>
        <w:ind w:right="-108"/>
        <w:jc w:val="center"/>
        <w:rPr>
          <w:rFonts w:ascii="Times New Roman" w:hAnsi="Times New Roman"/>
          <w:b/>
          <w:bCs/>
          <w:sz w:val="28"/>
          <w:szCs w:val="28"/>
        </w:rPr>
      </w:pPr>
    </w:p>
    <w:p w:rsidR="0046704D" w:rsidP="0046704D">
      <w:pPr>
        <w:bidi w:val="0"/>
        <w:rPr>
          <w:rFonts w:ascii="Times New Roman" w:hAnsi="Times New Roman"/>
          <w:b/>
          <w:bCs/>
        </w:rPr>
      </w:pPr>
    </w:p>
    <w:p w:rsidR="0046704D" w:rsidP="0046704D">
      <w:pPr>
        <w:bidi w:val="0"/>
        <w:jc w:val="both"/>
        <w:rPr>
          <w:rFonts w:ascii="Times New Roman" w:hAnsi="Times New Roman" w:cs="Arial"/>
        </w:rPr>
      </w:pPr>
      <w:r>
        <w:rPr>
          <w:rFonts w:ascii="Times New Roman" w:hAnsi="Times New Roman"/>
          <w:b/>
          <w:bCs/>
        </w:rPr>
        <w:t xml:space="preserve">A.1. Názov materiálu: </w:t>
      </w:r>
      <w:r>
        <w:rPr>
          <w:rFonts w:ascii="Times New Roman" w:hAnsi="Times New Roman"/>
          <w:color w:val="000000"/>
        </w:rPr>
        <w:t xml:space="preserve">Návrh zákona, ktorým sa mení a dopĺňa zákon č. 222/2004 Z. z. o dani z pridanej hodnoty v znení neskorších predpisov </w:t>
      </w:r>
      <w:r>
        <w:rPr>
          <w:rFonts w:ascii="Times New Roman" w:hAnsi="Times New Roman" w:cs="Arial"/>
        </w:rPr>
        <w:t xml:space="preserve">  </w:t>
      </w:r>
    </w:p>
    <w:p w:rsidR="0046704D" w:rsidP="0046704D">
      <w:pPr>
        <w:bidi w:val="0"/>
        <w:jc w:val="both"/>
        <w:rPr>
          <w:rFonts w:ascii="Times New Roman" w:hAnsi="Times New Roman" w:cs="Arial"/>
        </w:rPr>
      </w:pPr>
    </w:p>
    <w:p w:rsidR="0046704D" w:rsidP="0046704D">
      <w:pPr>
        <w:bidi w:val="0"/>
        <w:outlineLvl w:val="0"/>
        <w:rPr>
          <w:rFonts w:ascii="Times New Roman" w:hAnsi="Times New Roman"/>
          <w:b/>
          <w:bCs/>
        </w:rPr>
      </w:pPr>
      <w:r>
        <w:rPr>
          <w:rFonts w:ascii="Times New Roman" w:hAnsi="Times New Roman"/>
          <w:b/>
          <w:bCs/>
        </w:rPr>
        <w:t>A.2. Vplyvy:</w:t>
      </w:r>
    </w:p>
    <w:p w:rsidR="0046704D" w:rsidP="0046704D">
      <w:pPr>
        <w:bidi w:val="0"/>
        <w:rPr>
          <w:rFonts w:ascii="Times New Roman" w:hAnsi="Times New Roman"/>
        </w:rPr>
      </w:pPr>
    </w:p>
    <w:tbl>
      <w:tblPr>
        <w:tblStyle w:val="TableNormal"/>
        <w:tblW w:w="7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3726"/>
        <w:gridCol w:w="1242"/>
        <w:gridCol w:w="1260"/>
        <w:gridCol w:w="1336"/>
      </w:tblGrid>
      <w:tr>
        <w:tblPrEx>
          <w:tblW w:w="7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46704D" w:rsidP="00407150">
            <w:pPr>
              <w:bidi w:val="0"/>
              <w:spacing w:after="0" w:line="240" w:lineRule="auto"/>
              <w:rPr>
                <w:rFonts w:ascii="Times New Roman" w:hAnsi="Times New Roman"/>
              </w:rPr>
            </w:pPr>
          </w:p>
        </w:tc>
        <w:tc>
          <w:tcPr>
            <w:tcW w:w="1242" w:type="dxa"/>
            <w:tcBorders>
              <w:top w:val="single" w:sz="4" w:space="0" w:color="auto"/>
              <w:left w:val="single" w:sz="4" w:space="0" w:color="auto"/>
              <w:bottom w:val="single" w:sz="4" w:space="0" w:color="auto"/>
              <w:right w:val="single" w:sz="4" w:space="0" w:color="auto"/>
            </w:tcBorders>
            <w:textDirection w:val="lrTb"/>
            <w:vAlign w:val="center"/>
          </w:tcPr>
          <w:p w:rsidR="0046704D" w:rsidP="00407150">
            <w:pPr>
              <w:bidi w:val="0"/>
              <w:spacing w:after="0" w:line="240" w:lineRule="auto"/>
              <w:jc w:val="center"/>
              <w:rPr>
                <w:rFonts w:ascii="Times New Roman" w:hAnsi="Times New Roman"/>
              </w:rPr>
            </w:pPr>
            <w:r>
              <w:rPr>
                <w:rFonts w:ascii="Times New Roman" w:hAnsi="Times New Roman"/>
              </w:rPr>
              <w:t>Pozitívne</w:t>
            </w:r>
            <w:r>
              <w:rPr>
                <w:rFonts w:ascii="Times New Roman" w:hAnsi="Times New Roman"/>
                <w:vertAlign w:val="superscript"/>
              </w:rPr>
              <w:t>*</w:t>
            </w:r>
            <w:r>
              <w:rPr>
                <w:rFonts w:ascii="Times New Roman" w:hAnsi="Times New Roman"/>
              </w:rPr>
              <w:t xml:space="preserve"> </w:t>
            </w: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46704D" w:rsidP="00407150">
            <w:pPr>
              <w:bidi w:val="0"/>
              <w:spacing w:after="0" w:line="240" w:lineRule="auto"/>
              <w:jc w:val="center"/>
              <w:rPr>
                <w:rFonts w:ascii="Times New Roman" w:hAnsi="Times New Roman"/>
              </w:rPr>
            </w:pPr>
            <w:r>
              <w:rPr>
                <w:rFonts w:ascii="Times New Roman" w:hAnsi="Times New Roman"/>
              </w:rPr>
              <w:t>Žiadne</w:t>
            </w:r>
            <w:r>
              <w:rPr>
                <w:rFonts w:ascii="Times New Roman" w:hAnsi="Times New Roman"/>
                <w:vertAlign w:val="superscript"/>
              </w:rPr>
              <w:t>*</w:t>
            </w:r>
          </w:p>
        </w:tc>
        <w:tc>
          <w:tcPr>
            <w:tcW w:w="1336" w:type="dxa"/>
            <w:tcBorders>
              <w:top w:val="single" w:sz="4" w:space="0" w:color="auto"/>
              <w:left w:val="single" w:sz="4" w:space="0" w:color="auto"/>
              <w:bottom w:val="single" w:sz="4" w:space="0" w:color="auto"/>
              <w:right w:val="single" w:sz="4" w:space="0" w:color="auto"/>
            </w:tcBorders>
            <w:textDirection w:val="lrTb"/>
            <w:vAlign w:val="center"/>
          </w:tcPr>
          <w:p w:rsidR="0046704D" w:rsidP="00407150">
            <w:pPr>
              <w:bidi w:val="0"/>
              <w:spacing w:after="0" w:line="240" w:lineRule="auto"/>
              <w:jc w:val="center"/>
              <w:rPr>
                <w:rFonts w:ascii="Times New Roman" w:hAnsi="Times New Roman"/>
              </w:rPr>
            </w:pPr>
            <w:r>
              <w:rPr>
                <w:rFonts w:ascii="Times New Roman" w:hAnsi="Times New Roman"/>
              </w:rPr>
              <w:t>Negatívne</w:t>
            </w:r>
            <w:r>
              <w:rPr>
                <w:rFonts w:ascii="Times New Roman" w:hAnsi="Times New Roman"/>
                <w:vertAlign w:val="superscript"/>
              </w:rPr>
              <w:t>*</w:t>
            </w: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46704D" w:rsidRPr="00915AFF" w:rsidP="00407150">
            <w:pPr>
              <w:bidi w:val="0"/>
              <w:spacing w:after="0" w:line="240" w:lineRule="auto"/>
              <w:rPr>
                <w:rFonts w:ascii="Times New Roman" w:hAnsi="Times New Roman"/>
                <w:bCs/>
                <w:sz w:val="22"/>
                <w:szCs w:val="22"/>
              </w:rPr>
            </w:pPr>
            <w:r w:rsidRPr="00915AFF">
              <w:rPr>
                <w:rFonts w:ascii="Times New Roman" w:hAnsi="Times New Roman"/>
                <w:bCs/>
                <w:sz w:val="22"/>
                <w:szCs w:val="22"/>
              </w:rPr>
              <w:t>1. Vplyvy na rozpočet verejnej správy</w:t>
            </w:r>
          </w:p>
          <w:p w:rsidR="0046704D" w:rsidRPr="00915AFF" w:rsidP="00407150">
            <w:pPr>
              <w:bidi w:val="0"/>
              <w:spacing w:after="0" w:line="240" w:lineRule="auto"/>
              <w:rPr>
                <w:rFonts w:ascii="Times New Roman" w:hAnsi="Times New Roman"/>
                <w:i/>
                <w:sz w:val="22"/>
                <w:szCs w:val="22"/>
              </w:rPr>
            </w:pP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46704D" w:rsidP="00407150">
            <w:pPr>
              <w:bidi w:val="0"/>
              <w:spacing w:after="0" w:line="240" w:lineRule="auto"/>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46704D" w:rsidP="00407150">
            <w:pPr>
              <w:bidi w:val="0"/>
              <w:spacing w:after="0" w:line="240" w:lineRule="auto"/>
              <w:jc w:val="center"/>
              <w:rPr>
                <w:rFonts w:ascii="Times New Roman" w:hAnsi="Times New Roman"/>
              </w:rPr>
            </w:pPr>
            <w:r>
              <w:rPr>
                <w:rFonts w:ascii="Times New Roman" w:hAnsi="Times New Roman"/>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46704D" w:rsidP="00407150">
            <w:pPr>
              <w:bidi w:val="0"/>
              <w:spacing w:after="0" w:line="240" w:lineRule="auto"/>
              <w:jc w:val="center"/>
              <w:rPr>
                <w:rFonts w:ascii="Times New Roman" w:hAnsi="Times New Roman"/>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46704D" w:rsidRPr="00915AFF" w:rsidP="00407150">
            <w:pPr>
              <w:bidi w:val="0"/>
              <w:spacing w:after="0" w:line="240" w:lineRule="auto"/>
              <w:rPr>
                <w:rFonts w:ascii="Times New Roman" w:hAnsi="Times New Roman"/>
                <w:sz w:val="22"/>
                <w:szCs w:val="22"/>
              </w:rPr>
            </w:pPr>
            <w:r w:rsidRPr="00915AFF">
              <w:rPr>
                <w:rFonts w:ascii="Times New Roman" w:hAnsi="Times New Roman"/>
                <w:bCs/>
                <w:sz w:val="22"/>
                <w:szCs w:val="22"/>
              </w:rPr>
              <w:t>2. Vplyvy na podnikateľské prostredie – dochádza k zvýšeniu regulačného zaťaženia?</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46704D" w:rsidP="00407150">
            <w:pPr>
              <w:bidi w:val="0"/>
              <w:spacing w:after="0" w:line="240" w:lineRule="auto"/>
              <w:jc w:val="center"/>
              <w:rPr>
                <w:rFonts w:ascii="Times New Roman" w:hAnsi="Times New Roman"/>
              </w:rPr>
            </w:pPr>
            <w:r>
              <w:rPr>
                <w:rFonts w:ascii="Times New Roman" w:hAnsi="Times New Roman"/>
              </w:rPr>
              <w:t>X</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46704D" w:rsidP="00407150">
            <w:pPr>
              <w:bidi w:val="0"/>
              <w:spacing w:after="0" w:line="240" w:lineRule="auto"/>
              <w:jc w:val="center"/>
              <w:rPr>
                <w:rFonts w:ascii="Times New Roman" w:hAnsi="Times New Roman"/>
              </w:rPr>
            </w:pP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46704D" w:rsidP="00407150">
            <w:pPr>
              <w:bidi w:val="0"/>
              <w:spacing w:after="0" w:line="240" w:lineRule="auto"/>
              <w:jc w:val="center"/>
              <w:rPr>
                <w:rFonts w:ascii="Times New Roman" w:hAnsi="Times New Roman"/>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46704D" w:rsidP="00407150">
            <w:pPr>
              <w:bidi w:val="0"/>
              <w:spacing w:after="0" w:line="240" w:lineRule="auto"/>
              <w:rPr>
                <w:rFonts w:ascii="Times New Roman" w:hAnsi="Times New Roman"/>
                <w:bCs/>
                <w:sz w:val="22"/>
                <w:szCs w:val="22"/>
              </w:rPr>
            </w:pPr>
            <w:r w:rsidRPr="00915AFF">
              <w:rPr>
                <w:rFonts w:ascii="Times New Roman" w:hAnsi="Times New Roman"/>
                <w:bCs/>
                <w:sz w:val="22"/>
                <w:szCs w:val="22"/>
              </w:rPr>
              <w:t xml:space="preserve">3, Sociálne vplyvy </w:t>
            </w:r>
          </w:p>
          <w:p w:rsidR="0046704D" w:rsidP="00407150">
            <w:pPr>
              <w:bidi w:val="0"/>
              <w:spacing w:after="0" w:line="240" w:lineRule="auto"/>
              <w:rPr>
                <w:rFonts w:ascii="Times New Roman" w:hAnsi="Times New Roman"/>
                <w:bCs/>
                <w:sz w:val="22"/>
                <w:szCs w:val="22"/>
              </w:rPr>
            </w:pPr>
            <w:r w:rsidRPr="00915AFF">
              <w:rPr>
                <w:rFonts w:ascii="Times New Roman" w:hAnsi="Times New Roman"/>
                <w:bCs/>
                <w:sz w:val="22"/>
                <w:szCs w:val="22"/>
              </w:rPr>
              <w:t>– vplyvy  na hospodárenie obyvateľstva</w:t>
            </w:r>
            <w:r>
              <w:rPr>
                <w:rFonts w:ascii="Times New Roman" w:hAnsi="Times New Roman"/>
                <w:bCs/>
                <w:sz w:val="22"/>
                <w:szCs w:val="22"/>
              </w:rPr>
              <w:t>,</w:t>
            </w:r>
          </w:p>
          <w:p w:rsidR="0046704D" w:rsidP="00407150">
            <w:pPr>
              <w:bidi w:val="0"/>
              <w:spacing w:after="0" w:line="240" w:lineRule="auto"/>
              <w:rPr>
                <w:rFonts w:ascii="Times New Roman" w:hAnsi="Times New Roman"/>
                <w:bCs/>
                <w:sz w:val="22"/>
                <w:szCs w:val="22"/>
              </w:rPr>
            </w:pPr>
            <w:r>
              <w:rPr>
                <w:rFonts w:ascii="Times New Roman" w:hAnsi="Times New Roman"/>
                <w:bCs/>
                <w:sz w:val="22"/>
                <w:szCs w:val="22"/>
              </w:rPr>
              <w:t>-</w:t>
            </w:r>
            <w:r w:rsidRPr="00915AFF">
              <w:rPr>
                <w:rFonts w:ascii="Times New Roman" w:hAnsi="Times New Roman"/>
                <w:bCs/>
                <w:sz w:val="22"/>
                <w:szCs w:val="22"/>
              </w:rPr>
              <w:t>sociálnu exklúziu,</w:t>
            </w:r>
          </w:p>
          <w:p w:rsidR="0046704D" w:rsidRPr="00915AFF" w:rsidP="00407150">
            <w:pPr>
              <w:bidi w:val="0"/>
              <w:spacing w:after="0" w:line="240" w:lineRule="auto"/>
              <w:rPr>
                <w:rFonts w:ascii="Times New Roman" w:hAnsi="Times New Roman"/>
                <w:sz w:val="22"/>
                <w:szCs w:val="22"/>
              </w:rPr>
            </w:pPr>
            <w:r>
              <w:rPr>
                <w:rFonts w:ascii="Times New Roman" w:hAnsi="Times New Roman"/>
                <w:bCs/>
                <w:sz w:val="22"/>
                <w:szCs w:val="22"/>
              </w:rPr>
              <w:t xml:space="preserve">- </w:t>
            </w:r>
            <w:r w:rsidRPr="00915AFF">
              <w:rPr>
                <w:rFonts w:ascii="Times New Roman" w:hAnsi="Times New Roman"/>
                <w:bCs/>
                <w:sz w:val="22"/>
                <w:szCs w:val="22"/>
              </w:rPr>
              <w:t xml:space="preserve"> rovnosť príležitostí a rodovú rovnosť a vplyvy na zamestnanosť</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46704D" w:rsidP="00407150">
            <w:pPr>
              <w:bidi w:val="0"/>
              <w:spacing w:after="0" w:line="240" w:lineRule="auto"/>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46704D" w:rsidP="00407150">
            <w:pPr>
              <w:bidi w:val="0"/>
              <w:spacing w:after="0" w:line="240" w:lineRule="auto"/>
              <w:jc w:val="center"/>
              <w:rPr>
                <w:rFonts w:ascii="Times New Roman" w:hAnsi="Times New Roman"/>
              </w:rPr>
            </w:pPr>
            <w:r>
              <w:rPr>
                <w:rFonts w:ascii="Times New Roman" w:hAnsi="Times New Roman"/>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46704D" w:rsidP="00407150">
            <w:pPr>
              <w:bidi w:val="0"/>
              <w:spacing w:after="0" w:line="240" w:lineRule="auto"/>
              <w:jc w:val="center"/>
              <w:rPr>
                <w:rFonts w:ascii="Times New Roman" w:hAnsi="Times New Roman"/>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46704D" w:rsidRPr="00915AFF" w:rsidP="00407150">
            <w:pPr>
              <w:bidi w:val="0"/>
              <w:spacing w:after="0" w:line="240" w:lineRule="auto"/>
              <w:rPr>
                <w:rFonts w:ascii="Times New Roman" w:hAnsi="Times New Roman"/>
                <w:sz w:val="22"/>
                <w:szCs w:val="22"/>
              </w:rPr>
            </w:pPr>
            <w:r w:rsidRPr="00915AFF">
              <w:rPr>
                <w:rFonts w:ascii="Times New Roman" w:hAnsi="Times New Roman"/>
                <w:bCs/>
                <w:sz w:val="22"/>
                <w:szCs w:val="22"/>
                <w:lang w:val="pt-BR"/>
              </w:rPr>
              <w:t>4. Vplyvy na životné prostredie</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46704D" w:rsidP="00407150">
            <w:pPr>
              <w:bidi w:val="0"/>
              <w:spacing w:after="0" w:line="240" w:lineRule="auto"/>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46704D" w:rsidP="00407150">
            <w:pPr>
              <w:bidi w:val="0"/>
              <w:spacing w:after="0" w:line="240" w:lineRule="auto"/>
              <w:jc w:val="center"/>
              <w:rPr>
                <w:rFonts w:ascii="Times New Roman" w:hAnsi="Times New Roman"/>
              </w:rPr>
            </w:pPr>
            <w:r>
              <w:rPr>
                <w:rFonts w:ascii="Times New Roman" w:hAnsi="Times New Roman"/>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46704D" w:rsidP="00407150">
            <w:pPr>
              <w:bidi w:val="0"/>
              <w:spacing w:after="0" w:line="240" w:lineRule="auto"/>
              <w:jc w:val="center"/>
              <w:rPr>
                <w:rFonts w:ascii="Times New Roman" w:hAnsi="Times New Roman"/>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46704D" w:rsidRPr="00915AFF" w:rsidP="00407150">
            <w:pPr>
              <w:bidi w:val="0"/>
              <w:spacing w:after="0" w:line="240" w:lineRule="auto"/>
              <w:rPr>
                <w:rFonts w:ascii="Times New Roman" w:hAnsi="Times New Roman"/>
                <w:bCs/>
                <w:sz w:val="22"/>
                <w:szCs w:val="22"/>
                <w:lang w:val="pt-BR"/>
              </w:rPr>
            </w:pPr>
            <w:r w:rsidRPr="00915AFF">
              <w:rPr>
                <w:rFonts w:ascii="Times New Roman" w:hAnsi="Times New Roman"/>
                <w:bCs/>
                <w:sz w:val="22"/>
                <w:szCs w:val="22"/>
                <w:lang w:val="pt-BR"/>
              </w:rPr>
              <w:t>5. Vplyvy na informatizáciu spoločnosti</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46704D" w:rsidP="00407150">
            <w:pPr>
              <w:bidi w:val="0"/>
              <w:spacing w:after="0" w:line="240" w:lineRule="auto"/>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46704D" w:rsidP="00407150">
            <w:pPr>
              <w:bidi w:val="0"/>
              <w:spacing w:after="0" w:line="240" w:lineRule="auto"/>
              <w:jc w:val="center"/>
              <w:rPr>
                <w:rFonts w:ascii="Times New Roman" w:hAnsi="Times New Roman"/>
              </w:rPr>
            </w:pPr>
            <w:r>
              <w:rPr>
                <w:rFonts w:ascii="Times New Roman" w:hAnsi="Times New Roman"/>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46704D" w:rsidP="00407150">
            <w:pPr>
              <w:bidi w:val="0"/>
              <w:spacing w:after="0" w:line="240" w:lineRule="auto"/>
              <w:jc w:val="center"/>
              <w:rPr>
                <w:rFonts w:ascii="Times New Roman" w:hAnsi="Times New Roman"/>
              </w:rPr>
            </w:pPr>
          </w:p>
        </w:tc>
      </w:tr>
    </w:tbl>
    <w:p w:rsidR="0046704D" w:rsidP="0046704D">
      <w:pPr>
        <w:pStyle w:val="BodyText"/>
        <w:bidi w:val="0"/>
        <w:jc w:val="both"/>
        <w:rPr>
          <w:rFonts w:ascii="Times New Roman" w:hAnsi="Times New Roman"/>
          <w:b/>
          <w:bCs/>
          <w:u w:val="single"/>
        </w:rPr>
      </w:pPr>
      <w:r>
        <w:rPr>
          <w:rFonts w:ascii="Times New Roman" w:hAnsi="Times New Roman"/>
          <w:sz w:val="16"/>
          <w:szCs w:val="16"/>
        </w:rPr>
        <w:t>*</w:t>
      </w:r>
      <w:r>
        <w:rPr>
          <w:rFonts w:ascii="Times New Roman" w:hAnsi="Times New Roman"/>
          <w:bCs/>
          <w:sz w:val="16"/>
          <w:szCs w:val="16"/>
        </w:rPr>
        <w:t xml:space="preserve"> </w:t>
      </w:r>
      <w:r w:rsidRPr="00B564AB">
        <w:rPr>
          <w:rFonts w:ascii="Times New Roman" w:hAnsi="Times New Roman"/>
          <w:bCs/>
          <w:sz w:val="16"/>
          <w:szCs w:val="16"/>
        </w:rPr>
        <w:t>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46704D" w:rsidRPr="003E1314" w:rsidP="0046704D">
      <w:pPr>
        <w:pStyle w:val="BodyText"/>
        <w:bidi w:val="0"/>
        <w:jc w:val="both"/>
        <w:outlineLvl w:val="0"/>
        <w:rPr>
          <w:rFonts w:ascii="Times New Roman" w:hAnsi="Times New Roman"/>
          <w:b/>
          <w:bCs/>
        </w:rPr>
      </w:pPr>
      <w:r w:rsidRPr="003E1314">
        <w:rPr>
          <w:rFonts w:ascii="Times New Roman" w:hAnsi="Times New Roman"/>
          <w:b/>
          <w:bCs/>
        </w:rPr>
        <w:t>A.3. Poznámky</w:t>
      </w:r>
    </w:p>
    <w:p w:rsidR="0046704D" w:rsidRPr="002531EE" w:rsidP="0046704D">
      <w:pPr>
        <w:pStyle w:val="BodyText"/>
        <w:bidi w:val="0"/>
        <w:jc w:val="both"/>
        <w:outlineLvl w:val="0"/>
        <w:rPr>
          <w:rFonts w:ascii="Times New Roman" w:hAnsi="Times New Roman"/>
        </w:rPr>
      </w:pPr>
      <w:r>
        <w:rPr>
          <w:rFonts w:ascii="Times New Roman" w:hAnsi="Times New Roman"/>
        </w:rPr>
        <w:t xml:space="preserve">Návrh má pozitívny vplyv na tie  subjekty, ktorým štátne orgány neúmerne dlho zadržiavajú finančné prostriedky, čo ich stavia do zlej, miestami až existenčnej situácie na trhu. Má neutrálny vplyv na rozpočet verejnej správy. </w:t>
      </w:r>
    </w:p>
    <w:p w:rsidR="0046704D" w:rsidRPr="003E1314" w:rsidP="0046704D">
      <w:pPr>
        <w:pStyle w:val="BodyText"/>
        <w:bidi w:val="0"/>
        <w:jc w:val="both"/>
        <w:outlineLvl w:val="0"/>
        <w:rPr>
          <w:rFonts w:ascii="Times New Roman" w:hAnsi="Times New Roman"/>
          <w:b/>
        </w:rPr>
      </w:pPr>
      <w:r w:rsidRPr="003E1314">
        <w:rPr>
          <w:rFonts w:ascii="Times New Roman" w:hAnsi="Times New Roman"/>
          <w:b/>
        </w:rPr>
        <w:t>A.4. Alternatívne riešenia</w:t>
      </w:r>
    </w:p>
    <w:p w:rsidR="0046704D" w:rsidP="0046704D">
      <w:pPr>
        <w:pStyle w:val="BodyText"/>
        <w:bidi w:val="0"/>
        <w:ind w:left="1416"/>
        <w:jc w:val="both"/>
        <w:rPr>
          <w:rFonts w:ascii="Times New Roman" w:hAnsi="Times New Roman"/>
          <w:b/>
          <w:sz w:val="22"/>
          <w:szCs w:val="22"/>
        </w:rPr>
      </w:pPr>
    </w:p>
    <w:p w:rsidR="0046704D" w:rsidP="0046704D">
      <w:pPr>
        <w:pStyle w:val="BodyText"/>
        <w:bidi w:val="0"/>
        <w:jc w:val="both"/>
        <w:rPr>
          <w:rFonts w:ascii="Times New Roman" w:hAnsi="Times New Roman"/>
          <w:b/>
        </w:rPr>
      </w:pPr>
      <w:r>
        <w:rPr>
          <w:rFonts w:ascii="Times New Roman" w:hAnsi="Times New Roman"/>
        </w:rPr>
        <w:t xml:space="preserve">Nepredkladajú sa. </w:t>
      </w:r>
    </w:p>
    <w:p w:rsidR="0046704D" w:rsidP="0046704D">
      <w:pPr>
        <w:pStyle w:val="BodyText"/>
        <w:bidi w:val="0"/>
        <w:jc w:val="both"/>
        <w:rPr>
          <w:rFonts w:ascii="Times New Roman" w:hAnsi="Times New Roman"/>
        </w:rPr>
      </w:pPr>
    </w:p>
    <w:p w:rsidR="0046704D" w:rsidP="0046704D">
      <w:pPr>
        <w:pStyle w:val="BodyText2"/>
        <w:bidi w:val="0"/>
        <w:outlineLvl w:val="0"/>
        <w:rPr>
          <w:rFonts w:ascii="Times New Roman" w:hAnsi="Times New Roman"/>
          <w:b/>
        </w:rPr>
      </w:pPr>
      <w:r w:rsidRPr="002076B4">
        <w:rPr>
          <w:rFonts w:ascii="Times New Roman" w:hAnsi="Times New Roman"/>
          <w:b/>
        </w:rPr>
        <w:t xml:space="preserve">A.5. Stanovisko gestorov </w:t>
      </w:r>
    </w:p>
    <w:p w:rsidR="0046704D" w:rsidRPr="00582C8D" w:rsidP="0046704D">
      <w:pPr>
        <w:pStyle w:val="BodyText2"/>
        <w:bidi w:val="0"/>
        <w:outlineLvl w:val="0"/>
        <w:rPr>
          <w:rFonts w:ascii="Times New Roman" w:hAnsi="Times New Roman"/>
          <w:b/>
        </w:rPr>
      </w:pPr>
      <w:r>
        <w:rPr>
          <w:rFonts w:ascii="Times New Roman" w:hAnsi="Times New Roman"/>
        </w:rPr>
        <w:t>Bezpredmetné</w:t>
      </w:r>
    </w:p>
    <w:p w:rsidR="0046704D" w:rsidRPr="002F13EF" w:rsidP="0046704D">
      <w:pPr>
        <w:bidi w:val="0"/>
        <w:rPr>
          <w:rFonts w:ascii="Times New Roman" w:hAnsi="Times New Roman"/>
        </w:rPr>
      </w:pPr>
    </w:p>
    <w:p w:rsidR="0046704D" w:rsidRPr="009C78F9" w:rsidP="0046704D">
      <w:pPr>
        <w:bidi w:val="0"/>
        <w:rPr>
          <w:rFonts w:ascii="Times New Roman" w:hAnsi="Times New Roman"/>
        </w:rPr>
      </w:pPr>
    </w:p>
    <w:p w:rsidR="0046704D" w:rsidRPr="00A81B05" w:rsidP="0046704D">
      <w:pPr>
        <w:bidi w:val="0"/>
        <w:rPr>
          <w:rFonts w:ascii="Times New Roman" w:hAnsi="Times New Roman"/>
        </w:rPr>
      </w:pPr>
    </w:p>
    <w:p w:rsidR="003C35A1" w:rsidRPr="0046704D">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46C"/>
    <w:multiLevelType w:val="hybridMultilevel"/>
    <w:tmpl w:val="44528930"/>
    <w:lvl w:ilvl="0">
      <w:start w:val="1"/>
      <w:numFmt w:val="lowerLetter"/>
      <w:lvlText w:val="%1)"/>
      <w:lvlJc w:val="left"/>
      <w:pPr>
        <w:tabs>
          <w:tab w:val="num" w:pos="785"/>
        </w:tabs>
        <w:ind w:left="785" w:hanging="360"/>
      </w:pPr>
      <w:rPr>
        <w:rFonts w:cs="Times New Roman" w:hint="default"/>
        <w:rtl w:val="0"/>
        <w:cs w:val="0"/>
      </w:rPr>
    </w:lvl>
    <w:lvl w:ilvl="1">
      <w:start w:val="1"/>
      <w:numFmt w:val="lowerLetter"/>
      <w:lvlText w:val="%2."/>
      <w:lvlJc w:val="left"/>
      <w:pPr>
        <w:tabs>
          <w:tab w:val="num" w:pos="1505"/>
        </w:tabs>
        <w:ind w:left="1505" w:hanging="360"/>
      </w:pPr>
      <w:rPr>
        <w:rFonts w:cs="Times New Roman"/>
        <w:rtl w:val="0"/>
        <w:cs w:val="0"/>
      </w:rPr>
    </w:lvl>
    <w:lvl w:ilvl="2">
      <w:start w:val="1"/>
      <w:numFmt w:val="lowerRoman"/>
      <w:lvlText w:val="%3."/>
      <w:lvlJc w:val="right"/>
      <w:pPr>
        <w:tabs>
          <w:tab w:val="num" w:pos="2225"/>
        </w:tabs>
        <w:ind w:left="2225" w:hanging="180"/>
      </w:pPr>
      <w:rPr>
        <w:rFonts w:cs="Times New Roman"/>
        <w:rtl w:val="0"/>
        <w:cs w:val="0"/>
      </w:rPr>
    </w:lvl>
    <w:lvl w:ilvl="3">
      <w:start w:val="1"/>
      <w:numFmt w:val="decimal"/>
      <w:lvlText w:val="%4."/>
      <w:lvlJc w:val="left"/>
      <w:pPr>
        <w:tabs>
          <w:tab w:val="num" w:pos="2945"/>
        </w:tabs>
        <w:ind w:left="2945" w:hanging="360"/>
      </w:pPr>
      <w:rPr>
        <w:rFonts w:cs="Times New Roman"/>
        <w:rtl w:val="0"/>
        <w:cs w:val="0"/>
      </w:rPr>
    </w:lvl>
    <w:lvl w:ilvl="4">
      <w:start w:val="1"/>
      <w:numFmt w:val="lowerLetter"/>
      <w:lvlText w:val="%5."/>
      <w:lvlJc w:val="left"/>
      <w:pPr>
        <w:tabs>
          <w:tab w:val="num" w:pos="3665"/>
        </w:tabs>
        <w:ind w:left="3665" w:hanging="360"/>
      </w:pPr>
      <w:rPr>
        <w:rFonts w:cs="Times New Roman"/>
        <w:rtl w:val="0"/>
        <w:cs w:val="0"/>
      </w:rPr>
    </w:lvl>
    <w:lvl w:ilvl="5">
      <w:start w:val="1"/>
      <w:numFmt w:val="lowerRoman"/>
      <w:lvlText w:val="%6."/>
      <w:lvlJc w:val="right"/>
      <w:pPr>
        <w:tabs>
          <w:tab w:val="num" w:pos="4385"/>
        </w:tabs>
        <w:ind w:left="4385" w:hanging="180"/>
      </w:pPr>
      <w:rPr>
        <w:rFonts w:cs="Times New Roman"/>
        <w:rtl w:val="0"/>
        <w:cs w:val="0"/>
      </w:rPr>
    </w:lvl>
    <w:lvl w:ilvl="6">
      <w:start w:val="1"/>
      <w:numFmt w:val="decimal"/>
      <w:lvlText w:val="%7."/>
      <w:lvlJc w:val="left"/>
      <w:pPr>
        <w:tabs>
          <w:tab w:val="num" w:pos="5105"/>
        </w:tabs>
        <w:ind w:left="5105" w:hanging="360"/>
      </w:pPr>
      <w:rPr>
        <w:rFonts w:cs="Times New Roman"/>
        <w:rtl w:val="0"/>
        <w:cs w:val="0"/>
      </w:rPr>
    </w:lvl>
    <w:lvl w:ilvl="7">
      <w:start w:val="1"/>
      <w:numFmt w:val="lowerLetter"/>
      <w:lvlText w:val="%8."/>
      <w:lvlJc w:val="left"/>
      <w:pPr>
        <w:tabs>
          <w:tab w:val="num" w:pos="5825"/>
        </w:tabs>
        <w:ind w:left="5825" w:hanging="360"/>
      </w:pPr>
      <w:rPr>
        <w:rFonts w:cs="Times New Roman"/>
        <w:rtl w:val="0"/>
        <w:cs w:val="0"/>
      </w:rPr>
    </w:lvl>
    <w:lvl w:ilvl="8">
      <w:start w:val="1"/>
      <w:numFmt w:val="lowerRoman"/>
      <w:lvlText w:val="%9."/>
      <w:lvlJc w:val="right"/>
      <w:pPr>
        <w:tabs>
          <w:tab w:val="num" w:pos="6545"/>
        </w:tabs>
        <w:ind w:left="6545" w:hanging="180"/>
      </w:pPr>
      <w:rPr>
        <w:rFonts w:cs="Times New Roman"/>
        <w:rtl w:val="0"/>
        <w:cs w:val="0"/>
      </w:rPr>
    </w:lvl>
  </w:abstractNum>
  <w:abstractNum w:abstractNumId="1">
    <w:nsid w:val="05A66FD1"/>
    <w:multiLevelType w:val="hybridMultilevel"/>
    <w:tmpl w:val="9CAC1160"/>
    <w:lvl w:ilvl="0">
      <w:start w:val="6"/>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D3F2D1F"/>
    <w:multiLevelType w:val="hybridMultilevel"/>
    <w:tmpl w:val="70BEC1A0"/>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8D82185"/>
    <w:multiLevelType w:val="hybridMultilevel"/>
    <w:tmpl w:val="68A4C2D2"/>
    <w:lvl w:ilvl="0">
      <w:start w:val="6"/>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5C9B77D4"/>
    <w:multiLevelType w:val="multilevel"/>
    <w:tmpl w:val="31CA9A1E"/>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D1507"/>
    <w:rsid w:val="002076B4"/>
    <w:rsid w:val="002531EE"/>
    <w:rsid w:val="002F13EF"/>
    <w:rsid w:val="003C35A1"/>
    <w:rsid w:val="003E1314"/>
    <w:rsid w:val="00407150"/>
    <w:rsid w:val="0046704D"/>
    <w:rsid w:val="00580ADF"/>
    <w:rsid w:val="00582C8D"/>
    <w:rsid w:val="006757B6"/>
    <w:rsid w:val="00915AFF"/>
    <w:rsid w:val="009C78F9"/>
    <w:rsid w:val="00A81B05"/>
    <w:rsid w:val="00AB43E6"/>
    <w:rsid w:val="00B564AB"/>
    <w:rsid w:val="00D84087"/>
    <w:rsid w:val="00ED1507"/>
    <w:rsid w:val="00F77DA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04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BodyTextChar"/>
    <w:uiPriority w:val="99"/>
    <w:unhideWhenUsed/>
    <w:rsid w:val="0046704D"/>
    <w:pPr>
      <w:spacing w:after="120"/>
      <w:jc w:val="left"/>
    </w:pPr>
  </w:style>
  <w:style w:type="character" w:customStyle="1" w:styleId="BodyTextChar">
    <w:name w:val="Body Text Char"/>
    <w:basedOn w:val="DefaultParagraphFont"/>
    <w:link w:val="BodyText"/>
    <w:uiPriority w:val="99"/>
    <w:locked/>
    <w:rsid w:val="0046704D"/>
    <w:rPr>
      <w:rFonts w:ascii="Times New Roman" w:hAnsi="Times New Roman" w:cs="Times New Roman"/>
      <w:sz w:val="24"/>
      <w:szCs w:val="24"/>
      <w:rtl w:val="0"/>
      <w:cs w:val="0"/>
      <w:lang w:val="x-none" w:eastAsia="sk-SK"/>
    </w:rPr>
  </w:style>
  <w:style w:type="paragraph" w:styleId="BodyText2">
    <w:name w:val="Body Text 2"/>
    <w:basedOn w:val="Normal"/>
    <w:link w:val="BodyText2Char"/>
    <w:uiPriority w:val="99"/>
    <w:unhideWhenUsed/>
    <w:rsid w:val="0046704D"/>
    <w:pPr>
      <w:spacing w:after="120" w:line="480" w:lineRule="auto"/>
      <w:jc w:val="left"/>
    </w:pPr>
  </w:style>
  <w:style w:type="character" w:customStyle="1" w:styleId="BodyText2Char">
    <w:name w:val="Body Text 2 Char"/>
    <w:basedOn w:val="DefaultParagraphFont"/>
    <w:link w:val="BodyText2"/>
    <w:uiPriority w:val="99"/>
    <w:locked/>
    <w:rsid w:val="0046704D"/>
    <w:rPr>
      <w:rFonts w:ascii="Times New Roman" w:hAnsi="Times New Roman" w:cs="Times New Roman"/>
      <w:sz w:val="24"/>
      <w:szCs w:val="24"/>
      <w:rtl w:val="0"/>
      <w:cs w:val="0"/>
      <w:lang w:val="x-none" w:eastAsia="sk-SK"/>
    </w:rPr>
  </w:style>
  <w:style w:type="paragraph" w:styleId="BodyTextIndent">
    <w:name w:val="Body Text Indent"/>
    <w:basedOn w:val="Normal"/>
    <w:link w:val="BodyTextIndentChar"/>
    <w:uiPriority w:val="99"/>
    <w:semiHidden/>
    <w:unhideWhenUsed/>
    <w:rsid w:val="0046704D"/>
    <w:pPr>
      <w:spacing w:after="120"/>
      <w:ind w:left="283"/>
      <w:jc w:val="left"/>
    </w:pPr>
  </w:style>
  <w:style w:type="character" w:customStyle="1" w:styleId="BodyTextIndentChar">
    <w:name w:val="Body Text Indent Char"/>
    <w:basedOn w:val="DefaultParagraphFont"/>
    <w:link w:val="BodyTextIndent"/>
    <w:uiPriority w:val="99"/>
    <w:semiHidden/>
    <w:locked/>
    <w:rsid w:val="0046704D"/>
    <w:rPr>
      <w:rFonts w:ascii="Times New Roman" w:hAnsi="Times New Roman" w:cs="Times New Roman"/>
      <w:sz w:val="24"/>
      <w:szCs w:val="24"/>
      <w:rtl w:val="0"/>
      <w:cs w:val="0"/>
      <w:lang w:val="x-none" w:eastAsia="sk-SK"/>
    </w:rPr>
  </w:style>
  <w:style w:type="character" w:styleId="Emphasis">
    <w:name w:val="Emphasis"/>
    <w:basedOn w:val="DefaultParagraphFont"/>
    <w:uiPriority w:val="20"/>
    <w:qFormat/>
    <w:rsid w:val="0046704D"/>
    <w:rPr>
      <w:rFonts w:cs="Times New Roman"/>
      <w:i/>
      <w:rtl w:val="0"/>
      <w:cs w:val="0"/>
    </w:rPr>
  </w:style>
  <w:style w:type="paragraph" w:styleId="ListParagraph">
    <w:name w:val="List Paragraph"/>
    <w:basedOn w:val="Normal"/>
    <w:uiPriority w:val="34"/>
    <w:rsid w:val="0046704D"/>
    <w:pPr>
      <w:ind w:left="720"/>
      <w:contextualSpacing/>
      <w:jc w:val="left"/>
    </w:pPr>
    <w:rPr>
      <w:lang w:val="cs-CZ"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691</Words>
  <Characters>3940</Characters>
  <Application>Microsoft Office Word</Application>
  <DocSecurity>0</DocSecurity>
  <Lines>0</Lines>
  <Paragraphs>0</Paragraphs>
  <ScaleCrop>false</ScaleCrop>
  <Company>Hewlett-Packard Company</Company>
  <LinksUpToDate>false</LinksUpToDate>
  <CharactersWithSpaces>4622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Jarik</dc:creator>
  <cp:lastModifiedBy>Gašparíková, Jarmila</cp:lastModifiedBy>
  <cp:revision>2</cp:revision>
  <dcterms:created xsi:type="dcterms:W3CDTF">2014-02-28T13:38:00Z</dcterms:created>
  <dcterms:modified xsi:type="dcterms:W3CDTF">2014-02-28T13:38:00Z</dcterms:modified>
</cp:coreProperties>
</file>