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7C15" w:rsidP="004C12E1">
      <w:pPr>
        <w:bidi w:val="0"/>
        <w:jc w:val="center"/>
        <w:rPr>
          <w:rFonts w:ascii="Times New Roman" w:hAnsi="Times New Roman"/>
          <w:b/>
          <w:bCs/>
        </w:rPr>
      </w:pPr>
      <w:r w:rsidRPr="00F32768">
        <w:rPr>
          <w:rFonts w:ascii="Times New Roman" w:hAnsi="Times New Roman"/>
          <w:b/>
          <w:bCs/>
        </w:rPr>
        <w:t>Dôvodová správa</w:t>
      </w:r>
    </w:p>
    <w:p w:rsidR="007B71AF" w:rsidP="005367E1">
      <w:pPr>
        <w:bidi w:val="0"/>
        <w:jc w:val="both"/>
        <w:rPr>
          <w:rFonts w:ascii="Times New Roman" w:hAnsi="Times New Roman"/>
          <w:b/>
          <w:bCs/>
        </w:rPr>
      </w:pPr>
    </w:p>
    <w:p w:rsidR="00517C15" w:rsidP="005367E1">
      <w:pPr>
        <w:numPr>
          <w:numId w:val="5"/>
        </w:numPr>
        <w:bidi w:val="0"/>
        <w:jc w:val="both"/>
        <w:rPr>
          <w:rFonts w:ascii="Times New Roman" w:hAnsi="Times New Roman"/>
          <w:b/>
          <w:bCs/>
        </w:rPr>
      </w:pPr>
      <w:r w:rsidRPr="00F32768">
        <w:rPr>
          <w:rFonts w:ascii="Times New Roman" w:hAnsi="Times New Roman"/>
          <w:b/>
          <w:bCs/>
        </w:rPr>
        <w:t>Všeobecná časť</w:t>
      </w:r>
    </w:p>
    <w:p w:rsidR="005B3B8E" w:rsidP="005367E1">
      <w:pPr>
        <w:bidi w:val="0"/>
        <w:jc w:val="both"/>
        <w:rPr>
          <w:rFonts w:ascii="Times New Roman" w:hAnsi="Times New Roman"/>
          <w:b/>
          <w:bCs/>
        </w:rPr>
      </w:pPr>
    </w:p>
    <w:p w:rsidR="00A11D69" w:rsidP="00E02796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 roku 2012 </w:t>
      </w:r>
      <w:r w:rsidRPr="00D54AAA" w:rsidR="00D54AAA">
        <w:rPr>
          <w:rFonts w:ascii="Times New Roman" w:hAnsi="Times New Roman"/>
          <w:color w:val="000000"/>
        </w:rPr>
        <w:t>bol Národnou radou Slovenskej republiky prerokovaný a schválený vládny návrh zákona, ktorým sa mení a dopĺňa zákon č. 595/2003 Z. z. o dani z príjmov v znení neskorších predpisov</w:t>
      </w:r>
      <w:r>
        <w:rPr>
          <w:rFonts w:ascii="Times New Roman" w:hAnsi="Times New Roman"/>
          <w:color w:val="000000"/>
        </w:rPr>
        <w:t>.</w:t>
      </w:r>
    </w:p>
    <w:p w:rsidR="00A11D69" w:rsidP="00E02796">
      <w:pPr>
        <w:bidi w:val="0"/>
        <w:jc w:val="both"/>
        <w:rPr>
          <w:rFonts w:ascii="Times New Roman" w:hAnsi="Times New Roman"/>
          <w:color w:val="000000"/>
        </w:rPr>
      </w:pPr>
    </w:p>
    <w:p w:rsidR="00E02796" w:rsidP="00E02796">
      <w:pPr>
        <w:bidi w:val="0"/>
        <w:jc w:val="both"/>
        <w:rPr>
          <w:rFonts w:ascii="Times New Roman" w:hAnsi="Times New Roman"/>
          <w:bCs/>
          <w:color w:val="000000"/>
        </w:rPr>
      </w:pPr>
      <w:r w:rsidR="00A11D69">
        <w:rPr>
          <w:rFonts w:ascii="Times New Roman" w:hAnsi="Times New Roman"/>
          <w:bCs/>
          <w:color w:val="000000"/>
        </w:rPr>
        <w:t>Touto zmenou bola zvýšená daň právnickej osoby z 19% na 23% a následnou úpravou bola sadzba znížená na 22% s platnosťou od zdaňovacieho obdobia 2014.</w:t>
      </w:r>
    </w:p>
    <w:p w:rsidR="00A11D69" w:rsidP="00E02796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A11D69" w:rsidP="00E02796">
      <w:pPr>
        <w:bidi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Ako sa ukázalo, zvýšenie sadzby neprinieslo do štátneho rozpočtu vyššie príjmy, dokonca naopak. </w:t>
      </w:r>
      <w:r w:rsidR="00BC4AD9">
        <w:rPr>
          <w:rFonts w:ascii="Times New Roman" w:hAnsi="Times New Roman"/>
          <w:bCs/>
          <w:color w:val="000000"/>
        </w:rPr>
        <w:t>Zhoršilo sa podnikateľské prostredie, zmena prispela aj k zvýšeniu nezamestnanosti a odchodu firiem zo Slovenska.</w:t>
      </w:r>
    </w:p>
    <w:p w:rsidR="00BC4AD9" w:rsidP="00E02796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BC4AD9" w:rsidP="00E02796">
      <w:pPr>
        <w:bidi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Našou úpravou chceme znovu nastoliť stav, ktorý významne pomohol naštartovať slovenskú ekonomiku. Správnym nastavením sadzby sa v minulosti dosiahol vysoký rast daňových príjmov, pretože sa zjednodušilo podnikateľské prostredie a znížilo sa tzv.  optimalizovanie ziskov firiem. Z tohto dôvodu očakávame, že uvedená právna úprava bude mať pozitívny dopad na štátny rozpočet, rozpočty obcí alebo rozpočty vyšších územných celkov, nezakladá nároky na pracovné sily a organizačné zabezpečenie, má pozitívny finančný a ekonomický dopad na zamestnanosť a podnikateľské prostredie, nemá žiadny environmentálny vplyv.</w:t>
      </w:r>
    </w:p>
    <w:p w:rsidR="00A11D69" w:rsidRPr="00E02796" w:rsidP="00E02796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E02796" w:rsidRPr="00E02796" w:rsidP="00E02796">
      <w:pPr>
        <w:bidi w:val="0"/>
        <w:jc w:val="both"/>
        <w:rPr>
          <w:rFonts w:ascii="Times New Roman" w:hAnsi="Times New Roman"/>
          <w:bCs/>
          <w:color w:val="000000"/>
        </w:rPr>
      </w:pPr>
      <w:r w:rsidRPr="00E02796">
        <w:rPr>
          <w:rFonts w:ascii="Times New Roman" w:hAnsi="Times New Roman"/>
          <w:bCs/>
          <w:color w:val="000000"/>
        </w:rPr>
        <w:t>Návrh zákona je v súlade s Ústavou, ústavnými zákonmi a inými zákonmi a medzinárodnými zmluvami a inými medzinárodnými dokumentmi, ktorými je Slovenská republika viazaná.</w:t>
      </w:r>
    </w:p>
    <w:p w:rsidR="00D54AAA" w:rsidP="005367E1">
      <w:pPr>
        <w:bidi w:val="0"/>
        <w:jc w:val="both"/>
        <w:rPr>
          <w:rFonts w:ascii="Times New Roman" w:hAnsi="Times New Roman"/>
        </w:rPr>
      </w:pPr>
    </w:p>
    <w:p w:rsidR="00D54AAA" w:rsidP="005367E1">
      <w:pPr>
        <w:bidi w:val="0"/>
        <w:jc w:val="both"/>
        <w:rPr>
          <w:rFonts w:ascii="Times New Roman" w:hAnsi="Times New Roman"/>
        </w:rPr>
      </w:pPr>
    </w:p>
    <w:p w:rsidR="00D54AAA" w:rsidP="005367E1">
      <w:pPr>
        <w:bidi w:val="0"/>
        <w:jc w:val="both"/>
        <w:rPr>
          <w:rFonts w:ascii="Times New Roman" w:hAnsi="Times New Roman"/>
        </w:rPr>
      </w:pPr>
    </w:p>
    <w:p w:rsidR="00D54AAA" w:rsidP="005367E1">
      <w:pPr>
        <w:bidi w:val="0"/>
        <w:jc w:val="both"/>
        <w:rPr>
          <w:rFonts w:ascii="Times New Roman" w:hAnsi="Times New Roman"/>
        </w:rPr>
      </w:pPr>
    </w:p>
    <w:p w:rsidR="00D54AAA" w:rsidP="005367E1">
      <w:pPr>
        <w:bidi w:val="0"/>
        <w:jc w:val="both"/>
        <w:rPr>
          <w:rFonts w:ascii="Times New Roman" w:hAnsi="Times New Roman"/>
        </w:rPr>
      </w:pPr>
    </w:p>
    <w:p w:rsidR="00D54AAA" w:rsidP="005367E1">
      <w:pPr>
        <w:bidi w:val="0"/>
        <w:jc w:val="both"/>
        <w:rPr>
          <w:rFonts w:ascii="Times New Roman" w:hAnsi="Times New Roman"/>
        </w:rPr>
      </w:pP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B. </w:t>
      </w:r>
      <w:r w:rsidRPr="00F32768">
        <w:rPr>
          <w:rFonts w:ascii="Times New Roman" w:hAnsi="Times New Roman"/>
          <w:b/>
          <w:bCs/>
        </w:rPr>
        <w:t>Osobitná časť</w:t>
      </w:r>
      <w:r>
        <w:rPr>
          <w:rFonts w:ascii="Times New Roman" w:hAnsi="Times New Roman"/>
          <w:b/>
          <w:bCs/>
        </w:rPr>
        <w:t xml:space="preserve"> </w:t>
      </w: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</w:t>
      </w: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bodu 1 </w:t>
      </w: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</w:p>
    <w:p w:rsidR="002E0C17" w:rsidRPr="0038076C" w:rsidP="002E0C17">
      <w:pPr>
        <w:bidi w:val="0"/>
        <w:jc w:val="both"/>
        <w:rPr>
          <w:rFonts w:ascii="Times New Roman" w:hAnsi="Times New Roman"/>
          <w:bCs/>
        </w:rPr>
      </w:pPr>
      <w:r w:rsidR="00BC4AD9">
        <w:rPr>
          <w:rFonts w:ascii="Times New Roman" w:hAnsi="Times New Roman"/>
          <w:bCs/>
        </w:rPr>
        <w:t>Zavádza sa opätovne sadzba dane z príjmu právnických osôb na úrovni 19%.</w:t>
      </w:r>
    </w:p>
    <w:p w:rsidR="002E0C17" w:rsidP="002E0C17">
      <w:pPr>
        <w:bidi w:val="0"/>
        <w:jc w:val="both"/>
        <w:rPr>
          <w:rFonts w:ascii="Times New Roman" w:hAnsi="Times New Roman"/>
        </w:rPr>
      </w:pPr>
    </w:p>
    <w:p w:rsidR="002E0C17" w:rsidRPr="00833495" w:rsidP="002E0C17">
      <w:pPr>
        <w:bidi w:val="0"/>
        <w:jc w:val="both"/>
        <w:rPr>
          <w:rFonts w:ascii="Times New Roman" w:hAnsi="Times New Roman"/>
          <w:b/>
          <w:bCs/>
        </w:rPr>
      </w:pPr>
      <w:r w:rsidRPr="00833495">
        <w:rPr>
          <w:rFonts w:ascii="Times New Roman" w:hAnsi="Times New Roman"/>
          <w:b/>
          <w:bCs/>
        </w:rPr>
        <w:t>K čl. I</w:t>
      </w:r>
      <w:r>
        <w:rPr>
          <w:rFonts w:ascii="Times New Roman" w:hAnsi="Times New Roman"/>
          <w:b/>
          <w:bCs/>
        </w:rPr>
        <w:t>I</w:t>
      </w:r>
    </w:p>
    <w:p w:rsidR="002E0C17" w:rsidP="002E0C17">
      <w:pPr>
        <w:bidi w:val="0"/>
        <w:jc w:val="both"/>
        <w:rPr>
          <w:rFonts w:ascii="Times New Roman" w:hAnsi="Times New Roman"/>
        </w:rPr>
      </w:pPr>
    </w:p>
    <w:p w:rsidR="00FC14C5" w:rsidP="005367E1">
      <w:pPr>
        <w:bidi w:val="0"/>
        <w:jc w:val="both"/>
        <w:rPr>
          <w:rFonts w:ascii="Times New Roman" w:hAnsi="Times New Roman"/>
        </w:rPr>
      </w:pPr>
      <w:r w:rsidR="002E0C17">
        <w:rPr>
          <w:rFonts w:ascii="Times New Roman" w:hAnsi="Times New Roman"/>
        </w:rPr>
        <w:t xml:space="preserve">Ustanovuje sa účinnosť zákona k 1. </w:t>
      </w:r>
      <w:r w:rsidR="00D54AAA">
        <w:rPr>
          <w:rFonts w:ascii="Times New Roman" w:hAnsi="Times New Roman"/>
        </w:rPr>
        <w:t>júlu 2014</w:t>
      </w:r>
      <w:r w:rsidR="002E0C17">
        <w:rPr>
          <w:rFonts w:ascii="Times New Roman" w:hAnsi="Times New Roman"/>
        </w:rPr>
        <w:t>.</w:t>
      </w:r>
    </w:p>
    <w:p w:rsidR="00767DEC" w:rsidP="005367E1">
      <w:pPr>
        <w:bidi w:val="0"/>
        <w:jc w:val="both"/>
        <w:rPr>
          <w:rFonts w:ascii="Times New Roman" w:hAnsi="Times New Roman"/>
        </w:rPr>
      </w:pPr>
      <w:r w:rsidR="004C12E1">
        <w:rPr>
          <w:rFonts w:ascii="Times New Roman" w:hAnsi="Times New Roman"/>
        </w:rPr>
        <w:br w:type="page"/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DF1A6E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právneho predpisu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s právom Európskych spoločenstiev a právom Európskej únie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1.</w:t>
        <w:tab/>
        <w:t xml:space="preserve">  Predkladateľ právneho predpisu:</w:t>
      </w:r>
      <w:r w:rsidR="00FC178C">
        <w:rPr>
          <w:rFonts w:ascii="Times New Roman" w:hAnsi="Times New Roman"/>
        </w:rPr>
        <w:t xml:space="preserve"> poslan</w:t>
      </w:r>
      <w:r w:rsidR="00FC0B6B">
        <w:rPr>
          <w:rFonts w:ascii="Times New Roman" w:hAnsi="Times New Roman"/>
        </w:rPr>
        <w:t>ec</w:t>
      </w:r>
      <w:r w:rsidRPr="00DF1A6E">
        <w:rPr>
          <w:rFonts w:ascii="Times New Roman" w:hAnsi="Times New Roman"/>
        </w:rPr>
        <w:t xml:space="preserve"> NR SR </w:t>
      </w:r>
      <w:r w:rsidRPr="00DF1A6E" w:rsidR="00F840A0">
        <w:rPr>
          <w:rFonts w:ascii="Times New Roman" w:hAnsi="Times New Roman"/>
        </w:rPr>
        <w:t>Ivan Štefanec</w:t>
      </w:r>
      <w:r w:rsidR="00BC4AD9">
        <w:rPr>
          <w:rFonts w:ascii="Times New Roman" w:hAnsi="Times New Roman"/>
        </w:rPr>
        <w:t xml:space="preserve"> a Ivan Mikloš</w:t>
      </w:r>
    </w:p>
    <w:p w:rsidR="00290A63" w:rsidRPr="00DF1A6E" w:rsidP="00290A6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 </w:t>
      </w:r>
    </w:p>
    <w:p w:rsidR="00834962" w:rsidRPr="00DF1A6E" w:rsidP="00834962">
      <w:pPr>
        <w:bidi w:val="0"/>
        <w:jc w:val="both"/>
        <w:rPr>
          <w:rFonts w:ascii="Times New Roman" w:hAnsi="Times New Roman"/>
          <w:b/>
        </w:rPr>
      </w:pPr>
      <w:r w:rsidRPr="00DF1A6E" w:rsidR="00290A63">
        <w:rPr>
          <w:rFonts w:ascii="Times New Roman" w:hAnsi="Times New Roman"/>
          <w:b/>
          <w:bCs/>
        </w:rPr>
        <w:t xml:space="preserve">2.   Názov návrhu právneho predpisu: </w:t>
      </w:r>
      <w:r w:rsidRPr="00DF1A6E">
        <w:rPr>
          <w:rFonts w:ascii="Times New Roman" w:hAnsi="Times New Roman"/>
        </w:rPr>
        <w:t xml:space="preserve">ktorým sa mení a dopĺňa zákon č. 595/2003 Z. z. o dani z </w:t>
      </w:r>
      <w:r w:rsidRPr="00DF1A6E" w:rsidR="00DF1A6E">
        <w:rPr>
          <w:rFonts w:ascii="Times New Roman" w:hAnsi="Times New Roman"/>
        </w:rPr>
        <w:t>príjmov</w:t>
      </w:r>
      <w:r w:rsidRPr="00DF1A6E">
        <w:rPr>
          <w:rFonts w:ascii="Times New Roman" w:hAnsi="Times New Roman"/>
        </w:rPr>
        <w:t xml:space="preserve"> v znení neskorších predpisov</w:t>
      </w:r>
    </w:p>
    <w:p w:rsidR="00290A63" w:rsidRPr="00DF1A6E" w:rsidP="00290A63">
      <w:pPr>
        <w:bidi w:val="0"/>
        <w:jc w:val="both"/>
        <w:rPr>
          <w:rFonts w:ascii="Times New Roman" w:hAnsi="Times New Roman"/>
          <w:b/>
        </w:rPr>
      </w:pPr>
    </w:p>
    <w:p w:rsidR="00290A63" w:rsidRPr="00DF1A6E" w:rsidP="00290A63">
      <w:pPr>
        <w:bidi w:val="0"/>
        <w:ind w:left="540" w:hanging="540"/>
        <w:jc w:val="both"/>
        <w:rPr>
          <w:rFonts w:ascii="Times New Roman" w:hAnsi="Times New Roman"/>
          <w:b/>
          <w:bCs/>
        </w:rPr>
      </w:pPr>
    </w:p>
    <w:p w:rsidR="00290A63" w:rsidRPr="00DF1A6E" w:rsidP="00290A63">
      <w:pPr>
        <w:bidi w:val="0"/>
        <w:ind w:left="540" w:hanging="54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290A63" w:rsidRPr="00DF1A6E" w:rsidP="00290A63">
      <w:pPr>
        <w:bidi w:val="0"/>
        <w:ind w:firstLine="360"/>
        <w:jc w:val="both"/>
        <w:rPr>
          <w:rFonts w:ascii="Times New Roman" w:hAnsi="Times New Roman"/>
        </w:rPr>
      </w:pPr>
    </w:p>
    <w:p w:rsidR="00FF7681" w:rsidRPr="00DF1A6E" w:rsidP="00FF7681">
      <w:pPr>
        <w:numPr>
          <w:ilvl w:val="1"/>
          <w:numId w:val="7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je upravená v práve Európskej únie:</w:t>
      </w:r>
    </w:p>
    <w:p w:rsidR="00FF7681" w:rsidRPr="00DF1A6E" w:rsidP="00FF7681">
      <w:pPr>
        <w:bidi w:val="0"/>
        <w:spacing w:after="120"/>
        <w:ind w:left="900" w:hanging="425"/>
        <w:rPr>
          <w:rFonts w:ascii="Times New Roman" w:hAnsi="Times New Roman"/>
          <w:b/>
          <w:bCs/>
          <w:iCs/>
          <w:lang w:eastAsia="cs-CZ"/>
        </w:rPr>
      </w:pPr>
      <w:r w:rsidRPr="00DF1A6E">
        <w:rPr>
          <w:rFonts w:ascii="Times New Roman" w:hAnsi="Times New Roman"/>
          <w:b/>
          <w:bCs/>
          <w:iCs/>
          <w:lang w:eastAsia="cs-CZ"/>
        </w:rPr>
        <w:t xml:space="preserve">Primárne právo: </w:t>
      </w:r>
    </w:p>
    <w:p w:rsidR="00FF7681" w:rsidRPr="00DF1A6E" w:rsidP="00FF7681">
      <w:pPr>
        <w:numPr>
          <w:numId w:val="8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 xml:space="preserve">čl. 110 až 112 Zmluvy o fungovaní Európskej únie, </w:t>
      </w:r>
    </w:p>
    <w:p w:rsidR="00FF7681" w:rsidRPr="00DF1A6E" w:rsidP="00FF7681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/>
          <w:bCs/>
          <w:iCs/>
        </w:rPr>
        <w:t xml:space="preserve">Sekundárne právo </w:t>
      </w:r>
      <w:r w:rsidRPr="00DF1A6E">
        <w:rPr>
          <w:rFonts w:ascii="Times New Roman" w:hAnsi="Times New Roman"/>
        </w:rPr>
        <w:t>(prijaté pred nadobudnutím platnosti Lisabonskej zmluvy, ktorou sa mení a dopĺňa Zmluva o Európskom spoločenstve a Zmluva o Európskej únii - do 30. novembra 2009):</w:t>
      </w:r>
    </w:p>
    <w:p w:rsidR="00FF7681" w:rsidRPr="00DF1A6E" w:rsidP="00FF7681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b/>
          <w:bCs/>
          <w:iCs/>
        </w:rPr>
      </w:pPr>
    </w:p>
    <w:p w:rsidR="00FF7681" w:rsidRPr="00DF1A6E" w:rsidP="00FF7681">
      <w:pPr>
        <w:numPr>
          <w:numId w:val="9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smernica Rady 90/435/EHS z 23. júla 1990 o spoločnom systéme zdaňovania uplatňovanom v prípade materských spoločností a dcérskych spoločností v rozličných členských štátoch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 9/ zv. 1),</w:t>
      </w:r>
    </w:p>
    <w:p w:rsidR="00FF7681" w:rsidRPr="00DF1A6E" w:rsidP="00FF7681">
      <w:pPr>
        <w:numPr>
          <w:numId w:val="10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Cs/>
        </w:rPr>
        <w:t xml:space="preserve">smernica Rady 2003/48/ES z 3. júna 2003 </w:t>
      </w:r>
      <w:r w:rsidRPr="00DF1A6E">
        <w:rPr>
          <w:rFonts w:ascii="Times New Roman" w:hAnsi="Times New Roman"/>
        </w:rPr>
        <w:t xml:space="preserve">o zdaňovaní príjmu z úspor v podobe výplaty úrokov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 9/ zv. 1),</w:t>
      </w:r>
    </w:p>
    <w:p w:rsidR="00FF7681" w:rsidRPr="00DF1A6E" w:rsidP="00FF7681">
      <w:pPr>
        <w:numPr>
          <w:numId w:val="11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Cs/>
        </w:rPr>
        <w:t xml:space="preserve">smernica Rady 2003/49/ES z 3. júna 2003 o spoločnom systéme zdaňovania uplatňovanom na výplaty úrokov a licenčných poplatkov medzi združenými spoločnosťami rôznych členských štátov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9/ zv. 1),</w:t>
      </w:r>
    </w:p>
    <w:p w:rsidR="00FF7681" w:rsidRPr="00DF1A6E" w:rsidP="00FF7681">
      <w:pPr>
        <w:numPr>
          <w:numId w:val="11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>smernica Rady 2008/7/ES z 12. februára 2008 o nepriamych daniach z navyšovania kapitálu ( Ú. v. EÚ L 46, 21.2. 2008),</w:t>
      </w:r>
    </w:p>
    <w:p w:rsidR="00FF7681" w:rsidRPr="00DF1A6E" w:rsidP="00FF7681">
      <w:pPr>
        <w:numPr>
          <w:numId w:val="14"/>
        </w:numPr>
        <w:tabs>
          <w:tab w:val="clear" w:pos="360"/>
          <w:tab w:val="num" w:pos="851"/>
        </w:tabs>
        <w:bidi w:val="0"/>
        <w:spacing w:before="150" w:after="150"/>
        <w:ind w:left="851" w:hanging="284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smernica Rady 2009/133/ES z  19. októbra 2009 o spoločnom systéme zdaňovania, uplatniteľnom pri zlučovaní, rozdeľovaní, čiastočnom rozdeľovaní, prevode aktív a výmene akcií spoločností rôznych členských štátov a pri premiestnení sídla SE alebo SCE medzi členskými štátmi (kodifikované znenie) (Ú. v. EÚ L 310, 25.11. 2009). </w:t>
      </w:r>
    </w:p>
    <w:p w:rsidR="00FF7681" w:rsidRPr="00DF1A6E" w:rsidP="00FF7681">
      <w:pPr>
        <w:numPr>
          <w:ilvl w:val="1"/>
          <w:numId w:val="7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je obsiahnutá v judikatúre Súdneho dvora Európskej únie:</w:t>
      </w:r>
    </w:p>
    <w:p w:rsidR="00FF7681" w:rsidRPr="00DF1A6E" w:rsidP="00FF7681">
      <w:pPr>
        <w:numPr>
          <w:numId w:val="12"/>
        </w:numPr>
        <w:bidi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>rozhodnutie Súdneho dvora vo veci C - 522/04, Európska komisia v. Belgické kráľovstvo, rok  2007</w:t>
      </w:r>
      <w:r w:rsidRPr="00DF1A6E">
        <w:rPr>
          <w:rFonts w:ascii="Times New Roman" w:hAnsi="Times New Roman"/>
          <w:lang w:val="cs-CZ"/>
        </w:rPr>
        <w:t>.</w:t>
      </w:r>
    </w:p>
    <w:p w:rsidR="00290A63" w:rsidRPr="00DF1A6E" w:rsidP="00290A63">
      <w:pPr>
        <w:bidi w:val="0"/>
        <w:ind w:left="72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4.</w:t>
        <w:tab/>
        <w:t xml:space="preserve">Záväzky Slovenskej republiky vo vzťahu k Európskym spoločenstvám a Európskej únii: 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 w:rsidR="00290A63">
        <w:rPr>
          <w:rFonts w:ascii="Times New Roman" w:hAnsi="Times New Roman"/>
        </w:rPr>
        <w:t>a)</w:t>
        <w:tab/>
      </w:r>
      <w:r w:rsidRPr="00DF1A6E">
        <w:rPr>
          <w:rFonts w:ascii="Times New Roman" w:hAnsi="Times New Roman"/>
          <w:lang w:eastAsia="cs-CZ"/>
        </w:rPr>
        <w:t>Lehota na prebratie smernice: bezpredmetné.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Proti SR bolo začaté konanie o porušení Zmluvy o fungovaní Európskej únie podľa čl. 258 až 260 Zmluvy o fungovaní Európskej únie, a to konanie č. 2009/2215 a č. 2009/2267.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Návrhom právneho predpisu sa nepreberá žiadna smernica.</w:t>
      </w:r>
    </w:p>
    <w:p w:rsidR="00290A63" w:rsidRPr="00DF1A6E" w:rsidP="00FF7681">
      <w:pPr>
        <w:bidi w:val="0"/>
        <w:ind w:left="709" w:hanging="349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5.</w:t>
        <w:tab/>
        <w:t>Stupeň zlučiteľnosti návrhu právneho predpisu s právom Európskych spoločenstiev alebo právom Európskej únie: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62B19">
      <w:pPr>
        <w:bidi w:val="0"/>
        <w:ind w:left="360" w:firstLine="348"/>
        <w:jc w:val="both"/>
        <w:outlineLvl w:val="0"/>
        <w:rPr>
          <w:rFonts w:ascii="Times New Roman" w:hAnsi="Times New Roman"/>
        </w:rPr>
      </w:pPr>
      <w:r w:rsidRPr="00DF1A6E">
        <w:rPr>
          <w:rFonts w:ascii="Times New Roman" w:hAnsi="Times New Roman"/>
        </w:rPr>
        <w:t>Úplný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290A63" w:rsidRPr="00DF1A6E" w:rsidP="00290A63">
      <w:pPr>
        <w:tabs>
          <w:tab w:val="left" w:pos="0"/>
        </w:tabs>
        <w:bidi w:val="0"/>
        <w:adjustRightInd w:val="0"/>
        <w:jc w:val="both"/>
        <w:rPr>
          <w:rFonts w:ascii="Times New Roman" w:hAnsi="Times New Roman"/>
          <w:b/>
          <w:bCs/>
          <w:caps/>
          <w:spacing w:val="30"/>
        </w:rPr>
      </w:pPr>
    </w:p>
    <w:p w:rsidR="00262B19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="002E0C17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290A63" w:rsidRPr="00B705D9" w:rsidP="002E0C17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B705D9">
        <w:rPr>
          <w:rFonts w:ascii="Times New Roman" w:hAnsi="Times New Roman"/>
          <w:b/>
          <w:bCs/>
          <w:caps/>
          <w:spacing w:val="30"/>
        </w:rPr>
        <w:t>D</w:t>
      </w:r>
      <w:r w:rsidRPr="00B705D9" w:rsidR="00262B19">
        <w:rPr>
          <w:rFonts w:ascii="Times New Roman" w:hAnsi="Times New Roman"/>
          <w:b/>
          <w:bCs/>
          <w:caps/>
          <w:spacing w:val="30"/>
        </w:rPr>
        <w:t>OLOŽKA VYBRANÝCH VPLYVOV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RPr="00D93DAE" w:rsidP="00290A63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A.1. Názov materiálu: </w:t>
      </w:r>
      <w:r w:rsidRPr="00D93DAE" w:rsidR="004C12E1">
        <w:rPr>
          <w:rFonts w:ascii="Times New Roman" w:hAnsi="Times New Roman"/>
        </w:rPr>
        <w:t xml:space="preserve">ktorým sa mení a dopĺňa zákon č. 595/2003 Z. z. o dani z </w:t>
      </w:r>
      <w:r w:rsidRPr="00D93DAE" w:rsidR="00565420">
        <w:rPr>
          <w:rFonts w:ascii="Times New Roman" w:hAnsi="Times New Roman"/>
        </w:rPr>
        <w:t>príjmov</w:t>
      </w:r>
      <w:r w:rsidRPr="00D93DAE" w:rsidR="004C12E1">
        <w:rPr>
          <w:rFonts w:ascii="Times New Roman" w:hAnsi="Times New Roman"/>
        </w:rPr>
        <w:t xml:space="preserve"> v znení neskorších predpisov</w:t>
      </w:r>
    </w:p>
    <w:p w:rsidR="00290A63" w:rsidRPr="00F4260A" w:rsidP="00290A63">
      <w:pPr>
        <w:bidi w:val="0"/>
        <w:jc w:val="both"/>
        <w:rPr>
          <w:rFonts w:ascii="Times New Roman" w:hAnsi="Times New Roman"/>
        </w:rPr>
      </w:pP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BC4AD9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BC4AD9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3, Sociálne vplyvy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vplyvy na hospodárenie    obyvateľstva,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sociálnu exklúziu,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BC4AD9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BC4AD9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BC4AD9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</w:tbl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A.3. Poznámky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A.4. Alternatívne riešenia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A.5. Stanovisko gestorov</w:t>
      </w: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sectPr w:rsidSect="00181BC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81" w:rsidP="00181BC7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A1454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C33C8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11342B0A"/>
    <w:multiLevelType w:val="hybridMultilevel"/>
    <w:tmpl w:val="A66E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09D563D"/>
    <w:multiLevelType w:val="hybridMultilevel"/>
    <w:tmpl w:val="A0B0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9D26494"/>
    <w:multiLevelType w:val="hybridMultilevel"/>
    <w:tmpl w:val="0002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D8A59B9"/>
    <w:multiLevelType w:val="hybridMultilevel"/>
    <w:tmpl w:val="AC36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7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9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6847615"/>
    <w:multiLevelType w:val="hybridMultilevel"/>
    <w:tmpl w:val="CF7A3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81BC7"/>
    <w:rsid w:val="000238A4"/>
    <w:rsid w:val="00061720"/>
    <w:rsid w:val="00064B44"/>
    <w:rsid w:val="000702CA"/>
    <w:rsid w:val="0008513C"/>
    <w:rsid w:val="000B62F8"/>
    <w:rsid w:val="000C0113"/>
    <w:rsid w:val="000D688B"/>
    <w:rsid w:val="00101668"/>
    <w:rsid w:val="00111ECF"/>
    <w:rsid w:val="001564F9"/>
    <w:rsid w:val="0016556E"/>
    <w:rsid w:val="0017495E"/>
    <w:rsid w:val="00181BC7"/>
    <w:rsid w:val="00197FAB"/>
    <w:rsid w:val="001D4269"/>
    <w:rsid w:val="001E2162"/>
    <w:rsid w:val="001E366E"/>
    <w:rsid w:val="001E527A"/>
    <w:rsid w:val="002003F2"/>
    <w:rsid w:val="0020764C"/>
    <w:rsid w:val="00225734"/>
    <w:rsid w:val="00231700"/>
    <w:rsid w:val="00243DC2"/>
    <w:rsid w:val="002600A0"/>
    <w:rsid w:val="00262B19"/>
    <w:rsid w:val="00264F81"/>
    <w:rsid w:val="002907BD"/>
    <w:rsid w:val="00290A63"/>
    <w:rsid w:val="00293E22"/>
    <w:rsid w:val="002A0A5B"/>
    <w:rsid w:val="002A7B2E"/>
    <w:rsid w:val="002C6047"/>
    <w:rsid w:val="002D42F3"/>
    <w:rsid w:val="002E0C17"/>
    <w:rsid w:val="003465DC"/>
    <w:rsid w:val="003529B8"/>
    <w:rsid w:val="00370C70"/>
    <w:rsid w:val="00374CC5"/>
    <w:rsid w:val="0038076C"/>
    <w:rsid w:val="003A0A70"/>
    <w:rsid w:val="003D245C"/>
    <w:rsid w:val="00411C4B"/>
    <w:rsid w:val="0041416E"/>
    <w:rsid w:val="004142F1"/>
    <w:rsid w:val="004156D1"/>
    <w:rsid w:val="00442C37"/>
    <w:rsid w:val="00445831"/>
    <w:rsid w:val="00447CF4"/>
    <w:rsid w:val="00450208"/>
    <w:rsid w:val="00452447"/>
    <w:rsid w:val="004662D1"/>
    <w:rsid w:val="004B4F9D"/>
    <w:rsid w:val="004C02ED"/>
    <w:rsid w:val="004C12E1"/>
    <w:rsid w:val="004C4567"/>
    <w:rsid w:val="004D1FA0"/>
    <w:rsid w:val="004D7019"/>
    <w:rsid w:val="004E2AA9"/>
    <w:rsid w:val="004E6A17"/>
    <w:rsid w:val="00505360"/>
    <w:rsid w:val="00517C15"/>
    <w:rsid w:val="00530E29"/>
    <w:rsid w:val="00534417"/>
    <w:rsid w:val="005367E1"/>
    <w:rsid w:val="00556D04"/>
    <w:rsid w:val="00565420"/>
    <w:rsid w:val="00570CDF"/>
    <w:rsid w:val="00585452"/>
    <w:rsid w:val="0058628A"/>
    <w:rsid w:val="005A238E"/>
    <w:rsid w:val="005A3886"/>
    <w:rsid w:val="005B3B8E"/>
    <w:rsid w:val="005E02FF"/>
    <w:rsid w:val="005E2D84"/>
    <w:rsid w:val="005E36AD"/>
    <w:rsid w:val="00601C08"/>
    <w:rsid w:val="006176D0"/>
    <w:rsid w:val="00641EB1"/>
    <w:rsid w:val="006422FE"/>
    <w:rsid w:val="00661FAA"/>
    <w:rsid w:val="00662171"/>
    <w:rsid w:val="006668F4"/>
    <w:rsid w:val="00672C80"/>
    <w:rsid w:val="00696DC4"/>
    <w:rsid w:val="0069742F"/>
    <w:rsid w:val="006E7B15"/>
    <w:rsid w:val="006F668B"/>
    <w:rsid w:val="0070166F"/>
    <w:rsid w:val="00705DA5"/>
    <w:rsid w:val="00731F44"/>
    <w:rsid w:val="00744D98"/>
    <w:rsid w:val="00746C56"/>
    <w:rsid w:val="00750F81"/>
    <w:rsid w:val="00755F70"/>
    <w:rsid w:val="00767DEC"/>
    <w:rsid w:val="007807DE"/>
    <w:rsid w:val="00780CBD"/>
    <w:rsid w:val="007A1454"/>
    <w:rsid w:val="007B71AF"/>
    <w:rsid w:val="007F0F51"/>
    <w:rsid w:val="007F438E"/>
    <w:rsid w:val="007F4B6E"/>
    <w:rsid w:val="007F74E6"/>
    <w:rsid w:val="00802427"/>
    <w:rsid w:val="008073B4"/>
    <w:rsid w:val="00807E67"/>
    <w:rsid w:val="00813B44"/>
    <w:rsid w:val="008223F8"/>
    <w:rsid w:val="00833495"/>
    <w:rsid w:val="00834962"/>
    <w:rsid w:val="00834AEF"/>
    <w:rsid w:val="008469CB"/>
    <w:rsid w:val="00882941"/>
    <w:rsid w:val="00890D95"/>
    <w:rsid w:val="008A7798"/>
    <w:rsid w:val="008C63BD"/>
    <w:rsid w:val="008D1F45"/>
    <w:rsid w:val="008E5AD1"/>
    <w:rsid w:val="008F450C"/>
    <w:rsid w:val="0091262C"/>
    <w:rsid w:val="0092785E"/>
    <w:rsid w:val="0093293F"/>
    <w:rsid w:val="00934B2F"/>
    <w:rsid w:val="00964245"/>
    <w:rsid w:val="00967020"/>
    <w:rsid w:val="00980A48"/>
    <w:rsid w:val="00994F4C"/>
    <w:rsid w:val="009A48B0"/>
    <w:rsid w:val="009D208A"/>
    <w:rsid w:val="009D55F0"/>
    <w:rsid w:val="009E14C3"/>
    <w:rsid w:val="009E4AE9"/>
    <w:rsid w:val="00A11D69"/>
    <w:rsid w:val="00A17E22"/>
    <w:rsid w:val="00A66F83"/>
    <w:rsid w:val="00A74BF6"/>
    <w:rsid w:val="00A8345B"/>
    <w:rsid w:val="00A9131B"/>
    <w:rsid w:val="00A93A6A"/>
    <w:rsid w:val="00A948CA"/>
    <w:rsid w:val="00AB5301"/>
    <w:rsid w:val="00AC6291"/>
    <w:rsid w:val="00AD2673"/>
    <w:rsid w:val="00AE088E"/>
    <w:rsid w:val="00B1727B"/>
    <w:rsid w:val="00B35071"/>
    <w:rsid w:val="00B3516B"/>
    <w:rsid w:val="00B43E12"/>
    <w:rsid w:val="00B5673F"/>
    <w:rsid w:val="00B705D9"/>
    <w:rsid w:val="00BB2672"/>
    <w:rsid w:val="00BB4BAB"/>
    <w:rsid w:val="00BC4AD9"/>
    <w:rsid w:val="00BD28D1"/>
    <w:rsid w:val="00BE51B5"/>
    <w:rsid w:val="00BF7251"/>
    <w:rsid w:val="00C04729"/>
    <w:rsid w:val="00C20EDB"/>
    <w:rsid w:val="00C33C81"/>
    <w:rsid w:val="00C34E71"/>
    <w:rsid w:val="00C56DE7"/>
    <w:rsid w:val="00C81664"/>
    <w:rsid w:val="00CC0EA2"/>
    <w:rsid w:val="00CD6295"/>
    <w:rsid w:val="00CE74A7"/>
    <w:rsid w:val="00D07A9F"/>
    <w:rsid w:val="00D20A5F"/>
    <w:rsid w:val="00D30EEB"/>
    <w:rsid w:val="00D34969"/>
    <w:rsid w:val="00D46C1A"/>
    <w:rsid w:val="00D54AAA"/>
    <w:rsid w:val="00D62CDC"/>
    <w:rsid w:val="00D67199"/>
    <w:rsid w:val="00D91F21"/>
    <w:rsid w:val="00D93DAE"/>
    <w:rsid w:val="00DC24E4"/>
    <w:rsid w:val="00DC2831"/>
    <w:rsid w:val="00DE5A1D"/>
    <w:rsid w:val="00DF15DD"/>
    <w:rsid w:val="00DF1A6E"/>
    <w:rsid w:val="00E01768"/>
    <w:rsid w:val="00E02796"/>
    <w:rsid w:val="00E079AA"/>
    <w:rsid w:val="00E2083F"/>
    <w:rsid w:val="00E32177"/>
    <w:rsid w:val="00E679EA"/>
    <w:rsid w:val="00E67D8C"/>
    <w:rsid w:val="00EC5FE7"/>
    <w:rsid w:val="00EC761F"/>
    <w:rsid w:val="00F1063C"/>
    <w:rsid w:val="00F2487A"/>
    <w:rsid w:val="00F3037A"/>
    <w:rsid w:val="00F32768"/>
    <w:rsid w:val="00F33A31"/>
    <w:rsid w:val="00F4260A"/>
    <w:rsid w:val="00F73CB4"/>
    <w:rsid w:val="00F83406"/>
    <w:rsid w:val="00F840A0"/>
    <w:rsid w:val="00FB44C7"/>
    <w:rsid w:val="00FC0B6B"/>
    <w:rsid w:val="00FC14C5"/>
    <w:rsid w:val="00FC178C"/>
    <w:rsid w:val="00FE0127"/>
    <w:rsid w:val="00FF76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217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177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181BC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CharChar">
    <w:name w:val="Char Char Char Char Char"/>
    <w:basedOn w:val="Normal"/>
    <w:next w:val="Normal"/>
    <w:uiPriority w:val="99"/>
    <w:rsid w:val="008469CB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ageNumber">
    <w:name w:val="page number"/>
    <w:basedOn w:val="DefaultParagraphFont"/>
    <w:uiPriority w:val="99"/>
    <w:rsid w:val="00181BC7"/>
    <w:rPr>
      <w:rFonts w:cs="Times New Roman"/>
      <w:rtl w:val="0"/>
      <w:cs w:val="0"/>
    </w:rPr>
  </w:style>
  <w:style w:type="paragraph" w:customStyle="1" w:styleId="CharChar">
    <w:name w:val="Char Char"/>
    <w:basedOn w:val="Normal"/>
    <w:uiPriority w:val="99"/>
    <w:rsid w:val="00F4260A"/>
    <w:pPr>
      <w:jc w:val="left"/>
    </w:pPr>
    <w:rPr>
      <w:lang w:val="pl-PL" w:eastAsia="pl-PL"/>
    </w:rPr>
  </w:style>
  <w:style w:type="paragraph" w:styleId="NormalWeb">
    <w:name w:val="Normal (Web)"/>
    <w:basedOn w:val="Normal"/>
    <w:uiPriority w:val="99"/>
    <w:rsid w:val="00AD2673"/>
    <w:pPr>
      <w:spacing w:before="100" w:beforeAutospacing="1" w:after="100" w:afterAutospacing="1"/>
      <w:jc w:val="left"/>
    </w:pPr>
  </w:style>
  <w:style w:type="character" w:styleId="CommentReference">
    <w:name w:val="annotation reference"/>
    <w:basedOn w:val="DefaultParagraphFont"/>
    <w:uiPriority w:val="99"/>
    <w:semiHidden/>
    <w:rsid w:val="009D55F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9D55F0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5F0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3496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727</Words>
  <Characters>4145</Characters>
  <Application>Microsoft Office Word</Application>
  <DocSecurity>0</DocSecurity>
  <Lines>0</Lines>
  <Paragraphs>0</Paragraphs>
  <ScaleCrop>false</ScaleCrop>
  <Company>MV SR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kriska</dc:creator>
  <cp:lastModifiedBy>Gašparíková, Jarmila</cp:lastModifiedBy>
  <cp:revision>2</cp:revision>
  <cp:lastPrinted>2010-10-15T10:40:00Z</cp:lastPrinted>
  <dcterms:created xsi:type="dcterms:W3CDTF">2014-02-28T12:16:00Z</dcterms:created>
  <dcterms:modified xsi:type="dcterms:W3CDTF">2014-02-28T12:16:00Z</dcterms:modified>
</cp:coreProperties>
</file>