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0387">
      <w:pPr>
        <w:pStyle w:val="Vchodzie"/>
        <w:autoSpaceDE/>
        <w:bidi w:val="0"/>
        <w:spacing w:before="60" w:line="200" w:lineRule="atLeast"/>
        <w:jc w:val="center"/>
      </w:pPr>
      <w:r>
        <w:rPr>
          <w:rFonts w:hint="default"/>
          <w:lang w:bidi="ar-SA"/>
        </w:rPr>
        <w:t>NÁ</w:t>
      </w:r>
      <w:r>
        <w:rPr>
          <w:rFonts w:hint="default"/>
          <w:lang w:bidi="ar-SA"/>
        </w:rPr>
        <w:t>RODNÁ</w:t>
      </w:r>
      <w:r>
        <w:rPr>
          <w:rFonts w:hint="default"/>
          <w:lang w:bidi="ar-SA"/>
        </w:rPr>
        <w:t xml:space="preserve"> RADA SLOVENSKEJ REPUBLIKY</w:t>
      </w:r>
    </w:p>
    <w:p w:rsidR="00F50387">
      <w:pPr>
        <w:pStyle w:val="Vchodzie"/>
        <w:autoSpaceDE/>
        <w:bidi w:val="0"/>
        <w:spacing w:before="60" w:line="200" w:lineRule="atLeast"/>
        <w:jc w:val="center"/>
      </w:pPr>
      <w:r w:rsidR="0033555C">
        <w:rPr>
          <w:lang w:bidi="ar-SA"/>
        </w:rPr>
        <w:t>VI.</w:t>
      </w:r>
      <w:r>
        <w:rPr>
          <w:rFonts w:hint="default"/>
          <w:lang w:bidi="ar-SA"/>
        </w:rPr>
        <w:t xml:space="preserve"> volebné</w:t>
      </w:r>
      <w:r>
        <w:rPr>
          <w:rFonts w:hint="default"/>
          <w:lang w:bidi="ar-SA"/>
        </w:rPr>
        <w:t xml:space="preserve"> obdobie</w:t>
      </w:r>
    </w:p>
    <w:p w:rsidR="00F50387">
      <w:pPr>
        <w:pStyle w:val="Vchodzie"/>
        <w:autoSpaceDE/>
        <w:bidi w:val="0"/>
        <w:spacing w:before="60" w:line="200" w:lineRule="atLeast"/>
        <w:jc w:val="center"/>
      </w:pPr>
      <w:r>
        <w:rPr>
          <w:lang w:bidi="ar-SA"/>
        </w:rPr>
        <w:t>___________________________________________________________________________</w:t>
      </w:r>
    </w:p>
    <w:p w:rsidR="00F50387">
      <w:pPr>
        <w:pStyle w:val="Vchodzie"/>
        <w:autoSpaceDE/>
        <w:bidi w:val="0"/>
        <w:spacing w:line="200" w:lineRule="atLeast"/>
        <w:jc w:val="both"/>
      </w:pPr>
    </w:p>
    <w:p w:rsidR="00F50387">
      <w:pPr>
        <w:pStyle w:val="Vchodzie"/>
        <w:autoSpaceDE/>
        <w:bidi w:val="0"/>
        <w:spacing w:line="200" w:lineRule="atLeast"/>
        <w:jc w:val="center"/>
      </w:pPr>
      <w:r>
        <w:rPr>
          <w:rFonts w:hint="default"/>
          <w:b/>
          <w:lang w:bidi="ar-SA"/>
        </w:rPr>
        <w:t>Ná</w:t>
      </w:r>
      <w:r>
        <w:rPr>
          <w:rFonts w:hint="default"/>
          <w:b/>
          <w:lang w:bidi="ar-SA"/>
        </w:rPr>
        <w:t>vrh</w:t>
      </w:r>
    </w:p>
    <w:p w:rsidR="00F50387">
      <w:pPr>
        <w:pStyle w:val="Vchodzie"/>
        <w:autoSpaceDE/>
        <w:bidi w:val="0"/>
        <w:spacing w:line="200" w:lineRule="atLeast"/>
      </w:pPr>
    </w:p>
    <w:p w:rsidR="00F50387">
      <w:pPr>
        <w:pStyle w:val="Vchodzie"/>
        <w:autoSpaceDE/>
        <w:bidi w:val="0"/>
        <w:spacing w:line="200" w:lineRule="atLeast"/>
        <w:jc w:val="center"/>
      </w:pPr>
      <w:r>
        <w:rPr>
          <w:rFonts w:hint="default"/>
          <w:b/>
          <w:caps/>
          <w:spacing w:val="30"/>
          <w:lang w:eastAsia="en-US" w:bidi="ar-SA"/>
        </w:rPr>
        <w:t>Zá</w:t>
      </w:r>
      <w:r>
        <w:rPr>
          <w:rFonts w:hint="default"/>
          <w:b/>
          <w:caps/>
          <w:spacing w:val="30"/>
          <w:lang w:eastAsia="en-US" w:bidi="ar-SA"/>
        </w:rPr>
        <w:t>kon</w:t>
      </w:r>
    </w:p>
    <w:p w:rsidR="00F50387">
      <w:pPr>
        <w:pStyle w:val="Vchodzie"/>
        <w:autoSpaceDE/>
        <w:bidi w:val="0"/>
        <w:spacing w:line="200" w:lineRule="atLeast"/>
        <w:jc w:val="center"/>
      </w:pPr>
    </w:p>
    <w:p w:rsidR="00F50387">
      <w:pPr>
        <w:pStyle w:val="Vchodzie"/>
        <w:autoSpaceDE/>
        <w:bidi w:val="0"/>
        <w:spacing w:line="200" w:lineRule="atLeast"/>
        <w:jc w:val="center"/>
      </w:pPr>
    </w:p>
    <w:p w:rsidR="00F50387">
      <w:pPr>
        <w:pStyle w:val="Vchodzie"/>
        <w:autoSpaceDE/>
        <w:bidi w:val="0"/>
        <w:spacing w:line="200" w:lineRule="atLeast"/>
        <w:jc w:val="center"/>
      </w:pPr>
      <w:r>
        <w:rPr>
          <w:lang w:eastAsia="en-US" w:bidi="ar-SA"/>
        </w:rPr>
        <w:t>z ... 2014,</w:t>
      </w:r>
    </w:p>
    <w:p w:rsidR="00F50387">
      <w:pPr>
        <w:pStyle w:val="Vchodzie"/>
        <w:autoSpaceDE/>
        <w:bidi w:val="0"/>
        <w:spacing w:line="200" w:lineRule="atLeast"/>
        <w:jc w:val="center"/>
      </w:pPr>
    </w:p>
    <w:p w:rsidR="00F50387">
      <w:pPr>
        <w:pStyle w:val="Vchodzie"/>
        <w:autoSpaceDE/>
        <w:bidi w:val="0"/>
        <w:spacing w:before="100" w:after="100" w:line="200" w:lineRule="atLeast"/>
        <w:jc w:val="center"/>
      </w:pPr>
      <w:r>
        <w:rPr>
          <w:rFonts w:hint="default"/>
          <w:b/>
          <w:lang w:bidi="ar-SA"/>
        </w:rPr>
        <w:t>ktorý</w:t>
      </w:r>
      <w:r>
        <w:rPr>
          <w:rFonts w:hint="default"/>
          <w:b/>
          <w:lang w:bidi="ar-SA"/>
        </w:rPr>
        <w:t>m sa dopĺň</w:t>
      </w:r>
      <w:r>
        <w:rPr>
          <w:rFonts w:hint="default"/>
          <w:b/>
          <w:lang w:bidi="ar-SA"/>
        </w:rPr>
        <w:t>a zá</w:t>
      </w:r>
      <w:r>
        <w:rPr>
          <w:rFonts w:hint="default"/>
          <w:b/>
          <w:lang w:bidi="ar-SA"/>
        </w:rPr>
        <w:t>kon č</w:t>
      </w:r>
      <w:r>
        <w:rPr>
          <w:rFonts w:hint="default"/>
          <w:b/>
          <w:lang w:bidi="ar-SA"/>
        </w:rPr>
        <w:t>. 576/2004 Z. z. o zdravotnej starostlivosti, služ</w:t>
      </w:r>
      <w:r>
        <w:rPr>
          <w:rFonts w:hint="default"/>
          <w:b/>
          <w:lang w:bidi="ar-SA"/>
        </w:rPr>
        <w:t>bá</w:t>
      </w:r>
      <w:r>
        <w:rPr>
          <w:rFonts w:hint="default"/>
          <w:b/>
          <w:lang w:bidi="ar-SA"/>
        </w:rPr>
        <w:t>ch sú</w:t>
      </w:r>
      <w:r>
        <w:rPr>
          <w:rFonts w:hint="default"/>
          <w:b/>
          <w:lang w:bidi="ar-SA"/>
        </w:rPr>
        <w:t>visiacich s poskytovaní</w:t>
      </w:r>
      <w:r>
        <w:rPr>
          <w:rFonts w:hint="default"/>
          <w:b/>
          <w:lang w:bidi="ar-SA"/>
        </w:rPr>
        <w:t>m zdravotnej starostlivosti a o zmene a doplnení</w:t>
      </w:r>
      <w:r>
        <w:rPr>
          <w:rFonts w:hint="default"/>
          <w:b/>
          <w:lang w:bidi="ar-SA"/>
        </w:rPr>
        <w:t xml:space="preserve"> niektorý</w:t>
      </w:r>
      <w:r>
        <w:rPr>
          <w:rFonts w:hint="default"/>
          <w:b/>
          <w:lang w:bidi="ar-SA"/>
        </w:rPr>
        <w:t>ch zá</w:t>
      </w:r>
      <w:r>
        <w:rPr>
          <w:rFonts w:hint="default"/>
          <w:b/>
          <w:lang w:bidi="ar-SA"/>
        </w:rPr>
        <w:t>konov v znení</w:t>
      </w:r>
      <w:r>
        <w:rPr>
          <w:rFonts w:hint="default"/>
          <w:b/>
          <w:lang w:bidi="ar-SA"/>
        </w:rPr>
        <w:t xml:space="preserve"> neskorší</w:t>
      </w:r>
      <w:r>
        <w:rPr>
          <w:rFonts w:hint="default"/>
          <w:b/>
          <w:lang w:bidi="ar-SA"/>
        </w:rPr>
        <w:t>ch predpisov a ktorý</w:t>
      </w:r>
      <w:r>
        <w:rPr>
          <w:rFonts w:hint="default"/>
          <w:b/>
          <w:lang w:bidi="ar-SA"/>
        </w:rPr>
        <w:t>m sa dopĺň</w:t>
      </w:r>
      <w:r>
        <w:rPr>
          <w:rFonts w:hint="default"/>
          <w:b/>
          <w:lang w:bidi="ar-SA"/>
        </w:rPr>
        <w:t>a zá</w:t>
      </w:r>
      <w:r>
        <w:rPr>
          <w:rFonts w:hint="default"/>
          <w:b/>
          <w:lang w:bidi="ar-SA"/>
        </w:rPr>
        <w:t>kon č</w:t>
      </w:r>
      <w:r>
        <w:rPr>
          <w:rFonts w:hint="default"/>
          <w:b/>
          <w:lang w:bidi="ar-SA"/>
        </w:rPr>
        <w:t>. 577/2004</w:t>
      </w:r>
      <w:r>
        <w:rPr>
          <w:rFonts w:hint="default"/>
          <w:b/>
          <w:lang w:bidi="ar-SA"/>
        </w:rPr>
        <w:t xml:space="preserve"> Z. z. o rozsahu zdravotnej starostlivosti uhrá</w:t>
      </w:r>
      <w:r>
        <w:rPr>
          <w:rFonts w:hint="default"/>
          <w:b/>
          <w:lang w:bidi="ar-SA"/>
        </w:rPr>
        <w:t>dzanej na zá</w:t>
      </w:r>
      <w:r>
        <w:rPr>
          <w:rFonts w:hint="default"/>
          <w:b/>
          <w:lang w:bidi="ar-SA"/>
        </w:rPr>
        <w:t>klade verejné</w:t>
      </w:r>
      <w:r>
        <w:rPr>
          <w:rFonts w:hint="default"/>
          <w:b/>
          <w:lang w:bidi="ar-SA"/>
        </w:rPr>
        <w:t>ho zdravotné</w:t>
      </w:r>
      <w:r>
        <w:rPr>
          <w:rFonts w:hint="default"/>
          <w:b/>
          <w:lang w:bidi="ar-SA"/>
        </w:rPr>
        <w:t>ho poistenia a o ú</w:t>
      </w:r>
      <w:r>
        <w:rPr>
          <w:rFonts w:hint="default"/>
          <w:b/>
          <w:lang w:bidi="ar-SA"/>
        </w:rPr>
        <w:t>hradá</w:t>
      </w:r>
      <w:r>
        <w:rPr>
          <w:rFonts w:hint="default"/>
          <w:b/>
          <w:lang w:bidi="ar-SA"/>
        </w:rPr>
        <w:t>ch za služ</w:t>
      </w:r>
      <w:r>
        <w:rPr>
          <w:rFonts w:hint="default"/>
          <w:b/>
          <w:lang w:bidi="ar-SA"/>
        </w:rPr>
        <w:t>by sú</w:t>
      </w:r>
      <w:r>
        <w:rPr>
          <w:rFonts w:hint="default"/>
          <w:b/>
          <w:lang w:bidi="ar-SA"/>
        </w:rPr>
        <w:t>visiace s poskytovaní</w:t>
      </w:r>
      <w:r>
        <w:rPr>
          <w:rFonts w:hint="default"/>
          <w:b/>
          <w:lang w:bidi="ar-SA"/>
        </w:rPr>
        <w:t>m zdravotnej starostlivosti v znení</w:t>
      </w:r>
      <w:r>
        <w:rPr>
          <w:rFonts w:hint="default"/>
          <w:b/>
          <w:lang w:bidi="ar-SA"/>
        </w:rPr>
        <w:t xml:space="preserve"> neskorší</w:t>
      </w:r>
      <w:r>
        <w:rPr>
          <w:rFonts w:hint="default"/>
          <w:b/>
          <w:lang w:bidi="ar-SA"/>
        </w:rPr>
        <w:t>ch predpisov</w:t>
      </w:r>
    </w:p>
    <w:p w:rsidR="00F50387">
      <w:pPr>
        <w:pStyle w:val="Vchodzie"/>
        <w:autoSpaceDE/>
        <w:bidi w:val="0"/>
        <w:spacing w:line="200" w:lineRule="atLeast"/>
        <w:jc w:val="center"/>
      </w:pPr>
      <w:r>
        <w:rPr>
          <w:lang w:eastAsia="en-US" w:bidi="ar-SA"/>
        </w:rPr>
        <w:br/>
      </w:r>
    </w:p>
    <w:p w:rsidR="00F50387">
      <w:pPr>
        <w:pStyle w:val="Vchodzie"/>
        <w:autoSpaceDE/>
        <w:bidi w:val="0"/>
        <w:spacing w:line="200" w:lineRule="atLeast"/>
        <w:ind w:firstLine="708"/>
        <w:jc w:val="both"/>
      </w:pPr>
      <w:r>
        <w:rPr>
          <w:rFonts w:hint="default"/>
          <w:lang w:eastAsia="en-US" w:bidi="ar-SA"/>
        </w:rPr>
        <w:t>Ná</w:t>
      </w:r>
      <w:r>
        <w:rPr>
          <w:rFonts w:hint="default"/>
          <w:lang w:eastAsia="en-US" w:bidi="ar-SA"/>
        </w:rPr>
        <w:t>rodná</w:t>
      </w:r>
      <w:r>
        <w:rPr>
          <w:rFonts w:hint="default"/>
          <w:lang w:eastAsia="en-US" w:bidi="ar-SA"/>
        </w:rPr>
        <w:t xml:space="preserve"> rada Slovenskej republiky sa uzniesla na tomto</w:t>
      </w:r>
      <w:r>
        <w:rPr>
          <w:rFonts w:hint="default"/>
          <w:lang w:eastAsia="en-US" w:bidi="ar-SA"/>
        </w:rPr>
        <w:t xml:space="preserve"> zá</w:t>
      </w:r>
      <w:r>
        <w:rPr>
          <w:rFonts w:hint="default"/>
          <w:lang w:eastAsia="en-US" w:bidi="ar-SA"/>
        </w:rPr>
        <w:t xml:space="preserve">kone: </w:t>
      </w:r>
    </w:p>
    <w:p w:rsidR="00F50387">
      <w:pPr>
        <w:pStyle w:val="Vchodzie"/>
        <w:autoSpaceDE/>
        <w:bidi w:val="0"/>
        <w:spacing w:line="200" w:lineRule="atLeast"/>
        <w:jc w:val="both"/>
      </w:pPr>
    </w:p>
    <w:p w:rsidR="00F50387">
      <w:pPr>
        <w:pStyle w:val="Vchodzie"/>
        <w:autoSpaceDE/>
        <w:bidi w:val="0"/>
        <w:spacing w:line="200" w:lineRule="atLeast"/>
        <w:jc w:val="both"/>
      </w:pPr>
    </w:p>
    <w:p w:rsidR="00F50387">
      <w:pPr>
        <w:pStyle w:val="Vchodzie"/>
        <w:autoSpaceDE/>
        <w:bidi w:val="0"/>
        <w:spacing w:after="200" w:line="276" w:lineRule="auto"/>
        <w:jc w:val="center"/>
      </w:pPr>
      <w:r>
        <w:rPr>
          <w:rFonts w:hint="default"/>
          <w:b/>
          <w:lang w:eastAsia="en-US" w:bidi="ar-SA"/>
        </w:rPr>
        <w:t>Č</w:t>
      </w:r>
      <w:r>
        <w:rPr>
          <w:rFonts w:hint="default"/>
          <w:b/>
          <w:lang w:eastAsia="en-US" w:bidi="ar-SA"/>
        </w:rPr>
        <w:t>l. I</w:t>
      </w:r>
    </w:p>
    <w:p w:rsidR="00F50387">
      <w:pPr>
        <w:pStyle w:val="Vchodzie"/>
        <w:autoSpaceDE/>
        <w:bidi w:val="0"/>
        <w:spacing w:before="100" w:after="100" w:line="200" w:lineRule="atLeast"/>
        <w:ind w:firstLine="708"/>
        <w:jc w:val="both"/>
      </w:pPr>
      <w:r>
        <w:rPr>
          <w:rFonts w:hint="default"/>
          <w:lang w:bidi="ar-SA"/>
        </w:rPr>
        <w:t>Zá</w:t>
      </w:r>
      <w:r>
        <w:rPr>
          <w:rFonts w:hint="default"/>
          <w:lang w:bidi="ar-SA"/>
        </w:rPr>
        <w:t>kon č</w:t>
      </w:r>
      <w:r>
        <w:rPr>
          <w:rFonts w:hint="default"/>
          <w:lang w:bidi="ar-SA"/>
        </w:rPr>
        <w:t>. 576/2004 Z. z. o zdravotnej starostlivosti, služ</w:t>
      </w:r>
      <w:r>
        <w:rPr>
          <w:rFonts w:hint="default"/>
          <w:lang w:bidi="ar-SA"/>
        </w:rPr>
        <w:t>bá</w:t>
      </w:r>
      <w:r>
        <w:rPr>
          <w:rFonts w:hint="default"/>
          <w:lang w:bidi="ar-SA"/>
        </w:rPr>
        <w:t>ch sú</w:t>
      </w:r>
      <w:r>
        <w:rPr>
          <w:rFonts w:hint="default"/>
          <w:lang w:bidi="ar-SA"/>
        </w:rPr>
        <w:t>visiacich s poskytovaní</w:t>
      </w:r>
      <w:r>
        <w:rPr>
          <w:rFonts w:hint="default"/>
          <w:lang w:bidi="ar-SA"/>
        </w:rPr>
        <w:t>m zdravotnej starostlivosti a o zmene a doplnení</w:t>
      </w:r>
      <w:r>
        <w:rPr>
          <w:rFonts w:hint="default"/>
          <w:lang w:bidi="ar-SA"/>
        </w:rPr>
        <w:t xml:space="preserve"> niektorý</w:t>
      </w:r>
      <w:r>
        <w:rPr>
          <w:rFonts w:hint="default"/>
          <w:lang w:bidi="ar-SA"/>
        </w:rPr>
        <w:t>ch zá</w:t>
      </w:r>
      <w:r>
        <w:rPr>
          <w:rFonts w:hint="default"/>
          <w:lang w:bidi="ar-SA"/>
        </w:rPr>
        <w:t>konov v znení</w:t>
      </w:r>
      <w:r>
        <w:rPr>
          <w:rFonts w:hint="default"/>
          <w:lang w:bidi="ar-SA"/>
        </w:rPr>
        <w:t xml:space="preserve">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82/2005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350/2005 Z. z., 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 xml:space="preserve">.  538/2005 Z. </w:t>
      </w:r>
      <w:r>
        <w:rPr>
          <w:rFonts w:hint="default"/>
          <w:lang w:bidi="ar-SA"/>
        </w:rPr>
        <w:t>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 660/2005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282/2006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518/2007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662/2007 Z. z., 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489/2008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192/2009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345/2009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489/2008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132/2010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133/20</w:t>
      </w:r>
      <w:r>
        <w:rPr>
          <w:rFonts w:hint="default"/>
          <w:lang w:bidi="ar-SA"/>
        </w:rPr>
        <w:t>10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34/2011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172/2011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313/2012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345/2012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41/2013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153/2013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160/2013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220/2013 Z. z. a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 xml:space="preserve">. 365/2013 Z. z. </w:t>
      </w:r>
      <w:r>
        <w:rPr>
          <w:rFonts w:hint="default"/>
          <w:lang w:eastAsia="en-US" w:bidi="ar-SA"/>
        </w:rPr>
        <w:t>sa dopĺň</w:t>
      </w:r>
      <w:r>
        <w:rPr>
          <w:rFonts w:hint="default"/>
          <w:lang w:eastAsia="en-US" w:bidi="ar-SA"/>
        </w:rPr>
        <w:t>a takt</w:t>
      </w:r>
      <w:r>
        <w:rPr>
          <w:rFonts w:hint="default"/>
          <w:lang w:eastAsia="en-US" w:bidi="ar-SA"/>
        </w:rPr>
        <w:t>o:</w:t>
      </w:r>
    </w:p>
    <w:p w:rsidR="00F50387">
      <w:pPr>
        <w:pStyle w:val="Vchodzie"/>
        <w:autoSpaceDE/>
        <w:bidi w:val="0"/>
        <w:spacing w:after="200" w:line="276" w:lineRule="auto"/>
        <w:ind w:left="720"/>
      </w:pPr>
      <w:r>
        <w:rPr>
          <w:lang w:eastAsia="en-US" w:bidi="ar-SA"/>
        </w:rPr>
        <w:t xml:space="preserve"> </w:t>
        <w:br/>
      </w:r>
      <w:r>
        <w:rPr>
          <w:rFonts w:hint="default"/>
          <w:lang w:eastAsia="en-US" w:bidi="ar-SA"/>
        </w:rPr>
        <w:t>Za §</w:t>
      </w:r>
      <w:r>
        <w:rPr>
          <w:rFonts w:hint="default"/>
          <w:lang w:eastAsia="en-US" w:bidi="ar-SA"/>
        </w:rPr>
        <w:t xml:space="preserve"> 40 sa vkladá</w:t>
      </w:r>
      <w:r>
        <w:rPr>
          <w:rFonts w:hint="default"/>
          <w:lang w:eastAsia="en-US" w:bidi="ar-SA"/>
        </w:rPr>
        <w:t xml:space="preserve"> nový</w:t>
      </w:r>
      <w:r>
        <w:rPr>
          <w:rFonts w:hint="default"/>
          <w:lang w:eastAsia="en-US" w:bidi="ar-SA"/>
        </w:rPr>
        <w:t xml:space="preserve"> §</w:t>
      </w:r>
      <w:r>
        <w:rPr>
          <w:rFonts w:hint="default"/>
          <w:lang w:eastAsia="en-US" w:bidi="ar-SA"/>
        </w:rPr>
        <w:t xml:space="preserve"> 40a, ktorý</w:t>
      </w:r>
      <w:r>
        <w:rPr>
          <w:rFonts w:hint="default"/>
          <w:lang w:eastAsia="en-US" w:bidi="ar-SA"/>
        </w:rPr>
        <w:t xml:space="preserve"> znie:</w:t>
      </w:r>
    </w:p>
    <w:p w:rsidR="00F50387">
      <w:pPr>
        <w:pStyle w:val="Vchodzie"/>
        <w:autoSpaceDE/>
        <w:bidi w:val="0"/>
        <w:spacing w:after="200" w:line="276" w:lineRule="auto"/>
        <w:ind w:left="720"/>
        <w:jc w:val="center"/>
      </w:pPr>
      <w:r>
        <w:rPr>
          <w:rFonts w:hint="default"/>
          <w:lang w:eastAsia="en-US" w:bidi="ar-SA"/>
        </w:rPr>
        <w:t>"§</w:t>
      </w:r>
      <w:r>
        <w:rPr>
          <w:rFonts w:hint="default"/>
          <w:lang w:eastAsia="en-US" w:bidi="ar-SA"/>
        </w:rPr>
        <w:t xml:space="preserve"> 40a</w:t>
      </w:r>
    </w:p>
    <w:p w:rsidR="00F50387">
      <w:pPr>
        <w:pStyle w:val="Vchodzie"/>
        <w:autoSpaceDE/>
        <w:bidi w:val="0"/>
        <w:spacing w:after="200" w:line="276" w:lineRule="auto"/>
        <w:ind w:left="720"/>
        <w:jc w:val="center"/>
      </w:pPr>
      <w:r>
        <w:rPr>
          <w:rFonts w:hint="default"/>
          <w:lang w:eastAsia="en-US" w:bidi="ar-SA"/>
        </w:rPr>
        <w:t>Vnú</w:t>
      </w:r>
      <w:r>
        <w:rPr>
          <w:rFonts w:hint="default"/>
          <w:lang w:eastAsia="en-US" w:bidi="ar-SA"/>
        </w:rPr>
        <w:t>tromaternicové</w:t>
      </w:r>
      <w:r>
        <w:rPr>
          <w:rFonts w:hint="default"/>
          <w:lang w:eastAsia="en-US" w:bidi="ar-SA"/>
        </w:rPr>
        <w:t xml:space="preserve"> teliesko</w:t>
      </w:r>
    </w:p>
    <w:p w:rsidR="00F50387">
      <w:pPr>
        <w:pStyle w:val="Vchodzie"/>
        <w:autoSpaceDE/>
        <w:bidi w:val="0"/>
        <w:spacing w:after="200" w:line="276" w:lineRule="auto"/>
        <w:ind w:left="720"/>
      </w:pPr>
    </w:p>
    <w:p w:rsidR="00F50387" w:rsidP="008F07BC">
      <w:pPr>
        <w:pStyle w:val="Vchodzie"/>
        <w:numPr>
          <w:numId w:val="1"/>
        </w:numPr>
        <w:tabs>
          <w:tab w:val="left" w:pos="720"/>
        </w:tabs>
        <w:autoSpaceDE/>
        <w:bidi w:val="0"/>
        <w:spacing w:after="200" w:line="276" w:lineRule="auto"/>
        <w:rPr>
          <w:rFonts w:hint="default"/>
        </w:rPr>
      </w:pPr>
      <w:r>
        <w:rPr>
          <w:rFonts w:hint="default"/>
          <w:lang w:eastAsia="en-US" w:bidi="ar-SA"/>
        </w:rPr>
        <w:t>Doč</w:t>
      </w:r>
      <w:r>
        <w:rPr>
          <w:rFonts w:hint="default"/>
          <w:lang w:eastAsia="en-US" w:bidi="ar-SA"/>
        </w:rPr>
        <w:t>asné</w:t>
      </w:r>
      <w:r>
        <w:rPr>
          <w:rFonts w:hint="default"/>
          <w:lang w:eastAsia="en-US" w:bidi="ar-SA"/>
        </w:rPr>
        <w:t xml:space="preserve"> zabrá</w:t>
      </w:r>
      <w:r>
        <w:rPr>
          <w:rFonts w:hint="default"/>
          <w:lang w:eastAsia="en-US" w:bidi="ar-SA"/>
        </w:rPr>
        <w:t>nenie plodnosti zavedení</w:t>
      </w:r>
      <w:r>
        <w:rPr>
          <w:rFonts w:hint="default"/>
          <w:lang w:eastAsia="en-US" w:bidi="ar-SA"/>
        </w:rPr>
        <w:t>m vnú</w:t>
      </w:r>
      <w:r>
        <w:rPr>
          <w:rFonts w:hint="default"/>
          <w:lang w:eastAsia="en-US" w:bidi="ar-SA"/>
        </w:rPr>
        <w:t>tromaternicové</w:t>
      </w:r>
      <w:r>
        <w:rPr>
          <w:rFonts w:hint="default"/>
          <w:lang w:eastAsia="en-US" w:bidi="ar-SA"/>
        </w:rPr>
        <w:t>ho telieska</w:t>
      </w:r>
      <w:r w:rsidR="00297E43">
        <w:rPr>
          <w:lang w:eastAsia="en-US" w:bidi="ar-SA"/>
        </w:rPr>
        <w:t xml:space="preserve"> </w:t>
      </w:r>
      <w:r>
        <w:rPr>
          <w:rFonts w:hint="default"/>
        </w:rPr>
        <w:t>podľ</w:t>
      </w:r>
      <w:r>
        <w:rPr>
          <w:rFonts w:hint="default"/>
        </w:rPr>
        <w:t>a tohto zá</w:t>
      </w:r>
      <w:r>
        <w:rPr>
          <w:rFonts w:hint="default"/>
        </w:rPr>
        <w:t>kona mož</w:t>
      </w:r>
      <w:r>
        <w:rPr>
          <w:rFonts w:hint="default"/>
        </w:rPr>
        <w:t>no poskytnúť</w:t>
      </w:r>
      <w:r>
        <w:rPr>
          <w:rFonts w:hint="default"/>
        </w:rPr>
        <w:t xml:space="preserve"> len na zá</w:t>
      </w:r>
      <w:r>
        <w:rPr>
          <w:rFonts w:hint="default"/>
        </w:rPr>
        <w:t>klade pí</w:t>
      </w:r>
      <w:r>
        <w:rPr>
          <w:rFonts w:hint="default"/>
        </w:rPr>
        <w:t>somné</w:t>
      </w:r>
      <w:r>
        <w:rPr>
          <w:rFonts w:hint="default"/>
        </w:rPr>
        <w:t>ho informované</w:t>
      </w:r>
      <w:r>
        <w:rPr>
          <w:rFonts w:hint="default"/>
        </w:rPr>
        <w:t>ho sú</w:t>
      </w:r>
      <w:r>
        <w:rPr>
          <w:rFonts w:hint="default"/>
        </w:rPr>
        <w:t>hlasu po predchá</w:t>
      </w:r>
      <w:r>
        <w:rPr>
          <w:rFonts w:hint="default"/>
        </w:rPr>
        <w:t>dzajú</w:t>
      </w:r>
      <w:r>
        <w:rPr>
          <w:rFonts w:hint="default"/>
        </w:rPr>
        <w:t>com pouč</w:t>
      </w:r>
      <w:r>
        <w:rPr>
          <w:rFonts w:hint="default"/>
        </w:rPr>
        <w:t>ení</w:t>
      </w:r>
      <w:r>
        <w:rPr>
          <w:rFonts w:hint="default"/>
        </w:rPr>
        <w:t xml:space="preserve"> osoby plne spô</w:t>
      </w:r>
      <w:r>
        <w:rPr>
          <w:rFonts w:hint="default"/>
        </w:rPr>
        <w:t>sobilej na prá</w:t>
      </w:r>
      <w:r>
        <w:rPr>
          <w:rFonts w:hint="default"/>
        </w:rPr>
        <w:t>vne ú</w:t>
      </w:r>
      <w:r>
        <w:rPr>
          <w:rFonts w:hint="default"/>
        </w:rPr>
        <w:t>kony</w:t>
      </w:r>
      <w:r w:rsidRPr="008F07BC">
        <w:rPr>
          <w:position w:val="6"/>
          <w:lang w:bidi="ar-SA"/>
        </w:rPr>
        <w:t xml:space="preserve">41) </w:t>
      </w:r>
      <w:r>
        <w:rPr>
          <w:rFonts w:hint="default"/>
        </w:rPr>
        <w:t>alebo zá</w:t>
      </w:r>
      <w:r>
        <w:rPr>
          <w:rFonts w:hint="default"/>
        </w:rPr>
        <w:t>konné</w:t>
      </w:r>
      <w:r>
        <w:rPr>
          <w:rFonts w:hint="default"/>
        </w:rPr>
        <w:t>ho zá</w:t>
      </w:r>
      <w:r>
        <w:rPr>
          <w:rFonts w:hint="default"/>
        </w:rPr>
        <w:t>stupcu osoby nespô</w:t>
      </w:r>
      <w:r>
        <w:rPr>
          <w:rFonts w:hint="default"/>
        </w:rPr>
        <w:t>sobilej dať</w:t>
      </w:r>
      <w:r>
        <w:rPr>
          <w:rFonts w:hint="default"/>
        </w:rPr>
        <w:t xml:space="preserve"> informovaný</w:t>
      </w:r>
      <w:r>
        <w:rPr>
          <w:rFonts w:hint="default"/>
        </w:rPr>
        <w:t xml:space="preserve"> sú</w:t>
      </w:r>
      <w:r>
        <w:rPr>
          <w:rFonts w:hint="default"/>
        </w:rPr>
        <w:t>hlas alebo na zá</w:t>
      </w:r>
      <w:r>
        <w:rPr>
          <w:rFonts w:hint="default"/>
        </w:rPr>
        <w:t>klade rozhodnutia sú</w:t>
      </w:r>
      <w:r>
        <w:rPr>
          <w:rFonts w:hint="default"/>
        </w:rPr>
        <w:t>du na zá</w:t>
      </w:r>
      <w:r>
        <w:rPr>
          <w:rFonts w:hint="default"/>
        </w:rPr>
        <w:t>klade ž</w:t>
      </w:r>
      <w:r>
        <w:rPr>
          <w:rFonts w:hint="default"/>
        </w:rPr>
        <w:t>iadosti zá</w:t>
      </w:r>
      <w:r>
        <w:rPr>
          <w:rFonts w:hint="default"/>
        </w:rPr>
        <w:t>konné</w:t>
      </w:r>
      <w:r>
        <w:rPr>
          <w:rFonts w:hint="default"/>
        </w:rPr>
        <w:t>ho zá</w:t>
      </w:r>
      <w:r>
        <w:rPr>
          <w:rFonts w:hint="default"/>
        </w:rPr>
        <w:t xml:space="preserve">stupcu. </w:t>
      </w:r>
    </w:p>
    <w:p w:rsidR="00E53F11">
      <w:pPr>
        <w:pStyle w:val="Vchodzie"/>
        <w:numPr>
          <w:numId w:val="1"/>
        </w:numPr>
        <w:tabs>
          <w:tab w:val="left" w:pos="720"/>
        </w:tabs>
        <w:autoSpaceDE/>
        <w:bidi w:val="0"/>
        <w:spacing w:after="200" w:line="276" w:lineRule="auto"/>
        <w:rPr>
          <w:rFonts w:hint="default"/>
        </w:rPr>
      </w:pPr>
      <w:bookmarkStart w:id="0" w:name="font-text1"/>
      <w:bookmarkEnd w:id="0"/>
      <w:r w:rsidR="00F50387">
        <w:rPr>
          <w:rFonts w:hint="default"/>
        </w:rPr>
        <w:t>Pouč</w:t>
      </w:r>
      <w:r w:rsidR="00F50387">
        <w:rPr>
          <w:rFonts w:hint="default"/>
        </w:rPr>
        <w:t>enie predchá</w:t>
      </w:r>
      <w:r w:rsidR="00F50387">
        <w:rPr>
          <w:rFonts w:hint="default"/>
        </w:rPr>
        <w:t>dzajú</w:t>
      </w:r>
      <w:r w:rsidR="00F50387">
        <w:rPr>
          <w:rFonts w:hint="default"/>
        </w:rPr>
        <w:t>ce informované</w:t>
      </w:r>
      <w:r w:rsidR="00F50387">
        <w:rPr>
          <w:rFonts w:hint="default"/>
        </w:rPr>
        <w:t xml:space="preserve">mu </w:t>
      </w:r>
      <w:r w:rsidR="00F50387">
        <w:rPr>
          <w:rFonts w:hint="default"/>
        </w:rPr>
        <w:t>sú</w:t>
      </w:r>
      <w:r w:rsidR="00F50387">
        <w:rPr>
          <w:rFonts w:hint="default"/>
        </w:rPr>
        <w:t>hlasu sa musí</w:t>
      </w:r>
      <w:r w:rsidR="00F50387">
        <w:rPr>
          <w:rFonts w:hint="default"/>
        </w:rPr>
        <w:t xml:space="preserve"> poskytnúť</w:t>
      </w:r>
      <w:r w:rsidR="00F50387">
        <w:rPr>
          <w:rFonts w:hint="default"/>
        </w:rPr>
        <w:t xml:space="preserve"> spô</w:t>
      </w:r>
      <w:r w:rsidR="00F50387">
        <w:rPr>
          <w:rFonts w:hint="default"/>
        </w:rPr>
        <w:t>sobom ustanovený</w:t>
      </w:r>
      <w:r w:rsidR="00F50387">
        <w:rPr>
          <w:rFonts w:hint="default"/>
        </w:rPr>
        <w:t>m v §</w:t>
      </w:r>
      <w:r w:rsidR="00F50387">
        <w:rPr>
          <w:rFonts w:hint="default"/>
        </w:rPr>
        <w:t xml:space="preserve"> 6 ods. 2</w:t>
      </w:r>
      <w:r>
        <w:rPr>
          <w:rFonts w:hint="default"/>
        </w:rPr>
        <w:t xml:space="preserve"> a musí</w:t>
      </w:r>
      <w:r>
        <w:rPr>
          <w:rFonts w:hint="default"/>
        </w:rPr>
        <w:t xml:space="preserve"> zahŕň</w:t>
      </w:r>
      <w:r>
        <w:rPr>
          <w:rFonts w:hint="default"/>
        </w:rPr>
        <w:t>ať</w:t>
      </w:r>
      <w:r>
        <w:rPr>
          <w:rFonts w:hint="default"/>
        </w:rPr>
        <w:t xml:space="preserve"> informá</w:t>
      </w:r>
      <w:r>
        <w:rPr>
          <w:rFonts w:hint="default"/>
        </w:rPr>
        <w:t>cie o</w:t>
      </w:r>
    </w:p>
    <w:p w:rsidR="00F50387" w:rsidP="00E53F11">
      <w:pPr>
        <w:pStyle w:val="Vchodzie"/>
        <w:tabs>
          <w:tab w:val="left" w:pos="720"/>
        </w:tabs>
        <w:autoSpaceDE/>
        <w:bidi w:val="0"/>
        <w:spacing w:after="200" w:line="276" w:lineRule="auto"/>
        <w:ind w:left="720"/>
      </w:pPr>
      <w:r w:rsidR="00E53F11">
        <w:br/>
      </w:r>
      <w:r w:rsidR="00E53F11">
        <w:t>a</w:t>
      </w:r>
      <w:r>
        <w:t>) nutnosti pr</w:t>
      </w:r>
      <w:r w:rsidR="00E53F11">
        <w:rPr>
          <w:rFonts w:hint="default"/>
        </w:rPr>
        <w:t>avidelný</w:t>
      </w:r>
      <w:r w:rsidR="00E53F11">
        <w:rPr>
          <w:rFonts w:hint="default"/>
        </w:rPr>
        <w:t>ch leká</w:t>
      </w:r>
      <w:r w:rsidR="00E53F11">
        <w:rPr>
          <w:rFonts w:hint="default"/>
        </w:rPr>
        <w:t>rskych vyš</w:t>
      </w:r>
      <w:r w:rsidR="00E53F11">
        <w:rPr>
          <w:rFonts w:hint="default"/>
        </w:rPr>
        <w:t>etrení,</w:t>
        <w:br/>
      </w:r>
      <w:r w:rsidR="00E53F11">
        <w:rPr>
          <w:rFonts w:hint="default"/>
        </w:rPr>
        <w:t>b</w:t>
      </w:r>
      <w:r>
        <w:t xml:space="preserve">) </w:t>
      </w:r>
      <w:r w:rsidR="001F3020">
        <w:rPr>
          <w:rFonts w:hint="default"/>
        </w:rPr>
        <w:t>úč</w:t>
      </w:r>
      <w:r w:rsidR="001F3020">
        <w:rPr>
          <w:rFonts w:hint="default"/>
        </w:rPr>
        <w:t xml:space="preserve">inkoch </w:t>
      </w:r>
      <w:r w:rsidR="008F07BC">
        <w:rPr>
          <w:rFonts w:hint="default"/>
        </w:rPr>
        <w:t>vnú</w:t>
      </w:r>
      <w:r w:rsidR="008F07BC">
        <w:rPr>
          <w:rFonts w:hint="default"/>
        </w:rPr>
        <w:t>tromaternicové</w:t>
      </w:r>
      <w:r w:rsidR="008F07BC">
        <w:rPr>
          <w:rFonts w:hint="default"/>
        </w:rPr>
        <w:t>ho telieska</w:t>
      </w:r>
      <w:r w:rsidR="001F3020">
        <w:t xml:space="preserve"> a </w:t>
      </w:r>
      <w:r w:rsidR="001F3020">
        <w:rPr>
          <w:rFonts w:hint="default"/>
        </w:rPr>
        <w:t>jeho mož</w:t>
      </w:r>
      <w:r w:rsidR="001F3020">
        <w:rPr>
          <w:rFonts w:hint="default"/>
        </w:rPr>
        <w:t>nom zlyhaní</w:t>
      </w:r>
      <w:r>
        <w:t xml:space="preserve">. </w:t>
      </w:r>
    </w:p>
    <w:p w:rsidR="00F50387">
      <w:pPr>
        <w:pStyle w:val="Vchodzie"/>
        <w:tabs>
          <w:tab w:val="left" w:pos="720"/>
        </w:tabs>
        <w:autoSpaceDE/>
        <w:bidi w:val="0"/>
        <w:spacing w:after="200" w:line="276" w:lineRule="auto"/>
        <w:ind w:left="720"/>
      </w:pPr>
    </w:p>
    <w:p w:rsidR="00F50387">
      <w:pPr>
        <w:pStyle w:val="Vchodzie"/>
        <w:numPr>
          <w:numId w:val="1"/>
        </w:numPr>
        <w:tabs>
          <w:tab w:val="left" w:pos="720"/>
        </w:tabs>
        <w:autoSpaceDE/>
        <w:bidi w:val="0"/>
        <w:spacing w:after="200" w:line="276" w:lineRule="auto"/>
        <w:rPr>
          <w:rFonts w:hint="default"/>
        </w:rPr>
      </w:pPr>
      <w:bookmarkStart w:id="1" w:name="font-text2"/>
      <w:bookmarkEnd w:id="1"/>
      <w:r w:rsidR="008F07BC">
        <w:rPr>
          <w:rFonts w:hint="default"/>
        </w:rPr>
        <w:t>Zavedenie vnú</w:t>
      </w:r>
      <w:r w:rsidR="008F07BC">
        <w:rPr>
          <w:rFonts w:hint="default"/>
        </w:rPr>
        <w:t>tromaternicové</w:t>
      </w:r>
      <w:r w:rsidR="008F07BC">
        <w:rPr>
          <w:rFonts w:hint="default"/>
        </w:rPr>
        <w:t>ho t</w:t>
      </w:r>
      <w:r w:rsidR="008F07BC">
        <w:rPr>
          <w:rFonts w:hint="default"/>
        </w:rPr>
        <w:t>elieska</w:t>
      </w:r>
      <w:r>
        <w:t xml:space="preserve"> </w:t>
      </w:r>
      <w:r w:rsidR="008F07BC">
        <w:t>a </w:t>
      </w:r>
      <w:r w:rsidR="008F07BC">
        <w:rPr>
          <w:rFonts w:hint="default"/>
        </w:rPr>
        <w:t>pravidelné</w:t>
      </w:r>
      <w:r w:rsidR="008F07BC">
        <w:rPr>
          <w:rFonts w:hint="default"/>
        </w:rPr>
        <w:t xml:space="preserve"> leká</w:t>
      </w:r>
      <w:r w:rsidR="008F07BC">
        <w:rPr>
          <w:rFonts w:hint="default"/>
        </w:rPr>
        <w:t>rske vyš</w:t>
      </w:r>
      <w:r w:rsidR="008F07BC">
        <w:rPr>
          <w:rFonts w:hint="default"/>
        </w:rPr>
        <w:t>etrenia poskytuje</w:t>
      </w:r>
      <w:r>
        <w:t xml:space="preserve"> </w:t>
      </w:r>
      <w:bookmarkStart w:id="2" w:name="font-text"/>
      <w:bookmarkEnd w:id="2"/>
      <w:r>
        <w:rPr>
          <w:rFonts w:hint="default"/>
        </w:rPr>
        <w:t>leká</w:t>
      </w:r>
      <w:r>
        <w:rPr>
          <w:rFonts w:hint="default"/>
        </w:rPr>
        <w:t>r so š</w:t>
      </w:r>
      <w:r>
        <w:rPr>
          <w:rFonts w:hint="default"/>
        </w:rPr>
        <w:t>pecializá</w:t>
      </w:r>
      <w:r>
        <w:rPr>
          <w:rFonts w:hint="default"/>
        </w:rPr>
        <w:t>ciou v š</w:t>
      </w:r>
      <w:r>
        <w:rPr>
          <w:rFonts w:hint="default"/>
        </w:rPr>
        <w:t>pecializač</w:t>
      </w:r>
      <w:r>
        <w:rPr>
          <w:rFonts w:hint="default"/>
        </w:rPr>
        <w:t>nom odbore gynekoló</w:t>
      </w:r>
      <w:r>
        <w:rPr>
          <w:rFonts w:hint="default"/>
        </w:rPr>
        <w:t>gia a pô</w:t>
      </w:r>
      <w:r>
        <w:rPr>
          <w:rFonts w:hint="default"/>
        </w:rPr>
        <w:t>rodní</w:t>
      </w:r>
      <w:r>
        <w:rPr>
          <w:rFonts w:hint="default"/>
        </w:rPr>
        <w:t>ctvo.</w:t>
      </w:r>
    </w:p>
    <w:p w:rsidR="00F50387">
      <w:pPr>
        <w:pStyle w:val="Vchodzie"/>
        <w:numPr>
          <w:numId w:val="1"/>
        </w:numPr>
        <w:tabs>
          <w:tab w:val="left" w:pos="720"/>
        </w:tabs>
        <w:autoSpaceDE/>
        <w:bidi w:val="0"/>
        <w:spacing w:after="200" w:line="276" w:lineRule="auto"/>
        <w:rPr>
          <w:rFonts w:hint="default"/>
        </w:rPr>
      </w:pPr>
      <w:bookmarkStart w:id="3" w:name="font-text3"/>
      <w:bookmarkEnd w:id="3"/>
      <w:r>
        <w:rPr>
          <w:rFonts w:hint="default"/>
        </w:rPr>
        <w:t>Ministerstvo zdravotní</w:t>
      </w:r>
      <w:r>
        <w:rPr>
          <w:rFonts w:hint="default"/>
        </w:rPr>
        <w:t>ctva ustanoví</w:t>
      </w:r>
      <w:r>
        <w:rPr>
          <w:rFonts w:hint="default"/>
        </w:rPr>
        <w:t xml:space="preserve"> vš</w:t>
      </w:r>
      <w:r>
        <w:rPr>
          <w:rFonts w:hint="default"/>
        </w:rPr>
        <w:t>eobecne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>m prá</w:t>
      </w:r>
      <w:r>
        <w:rPr>
          <w:rFonts w:hint="default"/>
        </w:rPr>
        <w:t xml:space="preserve">vnym predpisom </w:t>
        <w:br/>
        <w:t xml:space="preserve">a) podrobnosti </w:t>
      </w:r>
      <w:r>
        <w:rPr>
          <w:rFonts w:hint="default"/>
        </w:rPr>
        <w:t>o pouč</w:t>
      </w:r>
      <w:r>
        <w:rPr>
          <w:rFonts w:hint="default"/>
        </w:rPr>
        <w:t>ení</w:t>
      </w:r>
      <w:r>
        <w:rPr>
          <w:rFonts w:hint="default"/>
        </w:rPr>
        <w:t>, ktoré</w:t>
      </w:r>
      <w:r>
        <w:rPr>
          <w:rFonts w:hint="default"/>
        </w:rPr>
        <w:t xml:space="preserve"> predchá</w:t>
      </w:r>
      <w:r>
        <w:rPr>
          <w:rFonts w:hint="default"/>
        </w:rPr>
        <w:t>dza inform</w:t>
      </w:r>
      <w:r w:rsidR="008F07BC">
        <w:rPr>
          <w:rFonts w:hint="default"/>
        </w:rPr>
        <w:t>ované</w:t>
      </w:r>
      <w:r w:rsidR="008F07BC">
        <w:rPr>
          <w:rFonts w:hint="default"/>
        </w:rPr>
        <w:t>mu sú</w:t>
      </w:r>
      <w:r w:rsidR="008F07BC">
        <w:rPr>
          <w:rFonts w:hint="default"/>
        </w:rPr>
        <w:t>hlasu pred zavedení</w:t>
      </w:r>
      <w:r w:rsidR="008F07BC">
        <w:rPr>
          <w:rFonts w:hint="default"/>
        </w:rPr>
        <w:t>m vnú</w:t>
      </w:r>
      <w:r w:rsidR="008F07BC">
        <w:rPr>
          <w:rFonts w:hint="default"/>
        </w:rPr>
        <w:t>tromaternicové</w:t>
      </w:r>
      <w:r w:rsidR="008F07BC">
        <w:rPr>
          <w:rFonts w:hint="default"/>
        </w:rPr>
        <w:t>ho telieska</w:t>
      </w:r>
      <w:r>
        <w:t xml:space="preserve">, </w:t>
        <w:br/>
      </w:r>
      <w:r>
        <w:rPr>
          <w:rFonts w:hint="default"/>
        </w:rPr>
        <w:t>b) vzory informované</w:t>
      </w:r>
      <w:r>
        <w:rPr>
          <w:rFonts w:hint="default"/>
        </w:rPr>
        <w:t>ho sú</w:t>
      </w:r>
      <w:r>
        <w:rPr>
          <w:rFonts w:hint="default"/>
        </w:rPr>
        <w:t>hlasu podľ</w:t>
      </w:r>
      <w:r>
        <w:rPr>
          <w:rFonts w:hint="default"/>
        </w:rPr>
        <w:t>a pí</w:t>
      </w:r>
      <w:r>
        <w:rPr>
          <w:rFonts w:hint="default"/>
        </w:rPr>
        <w:t>smena a) v š</w:t>
      </w:r>
      <w:r>
        <w:rPr>
          <w:rFonts w:hint="default"/>
        </w:rPr>
        <w:t>tá</w:t>
      </w:r>
      <w:r>
        <w:rPr>
          <w:rFonts w:hint="default"/>
        </w:rPr>
        <w:t>tnom jazyku a v jazykoch ná</w:t>
      </w:r>
      <w:r>
        <w:rPr>
          <w:rFonts w:hint="default"/>
        </w:rPr>
        <w:t>rodnostný</w:t>
      </w:r>
      <w:r>
        <w:rPr>
          <w:rFonts w:hint="default"/>
        </w:rPr>
        <w:t>ch menší</w:t>
      </w:r>
      <w:r>
        <w:rPr>
          <w:rFonts w:hint="default"/>
        </w:rPr>
        <w:t xml:space="preserve">n. </w:t>
      </w:r>
    </w:p>
    <w:p w:rsidR="00F50387">
      <w:pPr>
        <w:pStyle w:val="Vchodzie"/>
        <w:autoSpaceDE/>
        <w:bidi w:val="0"/>
        <w:spacing w:after="200" w:line="276" w:lineRule="auto"/>
        <w:ind w:left="720"/>
      </w:pPr>
    </w:p>
    <w:p w:rsidR="00F50387">
      <w:pPr>
        <w:pStyle w:val="Vchodzie"/>
        <w:autoSpaceDE/>
        <w:bidi w:val="0"/>
        <w:spacing w:after="200" w:line="276" w:lineRule="auto"/>
      </w:pPr>
    </w:p>
    <w:p w:rsidR="00F50387">
      <w:pPr>
        <w:pStyle w:val="Vchodzie"/>
        <w:autoSpaceDE/>
        <w:bidi w:val="0"/>
        <w:spacing w:after="200" w:line="276" w:lineRule="auto"/>
        <w:jc w:val="center"/>
      </w:pPr>
      <w:r>
        <w:rPr>
          <w:rFonts w:hint="default"/>
          <w:b/>
          <w:lang w:eastAsia="en-US" w:bidi="ar-SA"/>
        </w:rPr>
        <w:t>Č</w:t>
      </w:r>
      <w:r>
        <w:rPr>
          <w:rFonts w:hint="default"/>
          <w:b/>
          <w:lang w:eastAsia="en-US" w:bidi="ar-SA"/>
        </w:rPr>
        <w:t>l. II</w:t>
      </w:r>
    </w:p>
    <w:p w:rsidR="00F50387">
      <w:pPr>
        <w:pStyle w:val="Vchodzie"/>
        <w:autoSpaceDE/>
        <w:bidi w:val="0"/>
        <w:spacing w:before="100" w:after="100" w:line="200" w:lineRule="atLeast"/>
        <w:ind w:firstLine="708"/>
        <w:jc w:val="both"/>
      </w:pPr>
      <w:r>
        <w:rPr>
          <w:rFonts w:hint="default"/>
          <w:lang w:bidi="ar-SA"/>
        </w:rPr>
        <w:t>Zá</w:t>
      </w:r>
      <w:r>
        <w:rPr>
          <w:rFonts w:hint="default"/>
          <w:lang w:bidi="ar-SA"/>
        </w:rPr>
        <w:t>kon č</w:t>
      </w:r>
      <w:r>
        <w:rPr>
          <w:rFonts w:hint="default"/>
          <w:lang w:bidi="ar-SA"/>
        </w:rPr>
        <w:t>. 577/2004 Z. z. o rozsahu zdravotnej staro</w:t>
      </w:r>
      <w:r>
        <w:rPr>
          <w:rFonts w:hint="default"/>
          <w:lang w:bidi="ar-SA"/>
        </w:rPr>
        <w:t>stlivosti uhrá</w:t>
      </w:r>
      <w:r>
        <w:rPr>
          <w:rFonts w:hint="default"/>
          <w:lang w:bidi="ar-SA"/>
        </w:rPr>
        <w:t>dzanej na zá</w:t>
      </w:r>
      <w:r>
        <w:rPr>
          <w:rFonts w:hint="default"/>
          <w:lang w:bidi="ar-SA"/>
        </w:rPr>
        <w:t>klade verejné</w:t>
      </w:r>
      <w:r>
        <w:rPr>
          <w:rFonts w:hint="default"/>
          <w:lang w:bidi="ar-SA"/>
        </w:rPr>
        <w:t>ho zdravotné</w:t>
      </w:r>
      <w:r>
        <w:rPr>
          <w:rFonts w:hint="default"/>
          <w:lang w:bidi="ar-SA"/>
        </w:rPr>
        <w:t>ho poistenia a o ú</w:t>
      </w:r>
      <w:r>
        <w:rPr>
          <w:rFonts w:hint="default"/>
          <w:lang w:bidi="ar-SA"/>
        </w:rPr>
        <w:t>hradá</w:t>
      </w:r>
      <w:r>
        <w:rPr>
          <w:rFonts w:hint="default"/>
          <w:lang w:bidi="ar-SA"/>
        </w:rPr>
        <w:t>ch za služ</w:t>
      </w:r>
      <w:r>
        <w:rPr>
          <w:rFonts w:hint="default"/>
          <w:lang w:bidi="ar-SA"/>
        </w:rPr>
        <w:t>by sú</w:t>
      </w:r>
      <w:r>
        <w:rPr>
          <w:rFonts w:hint="default"/>
          <w:lang w:bidi="ar-SA"/>
        </w:rPr>
        <w:t>visiace s poskytovaní</w:t>
      </w:r>
      <w:r>
        <w:rPr>
          <w:rFonts w:hint="default"/>
          <w:lang w:bidi="ar-SA"/>
        </w:rPr>
        <w:t>m zdravotnej starostl</w:t>
      </w:r>
      <w:r w:rsidR="007C1FB8">
        <w:rPr>
          <w:lang w:bidi="ar-SA"/>
        </w:rPr>
        <w:t>ivosti v</w:t>
      </w:r>
      <w:r>
        <w:rPr>
          <w:rFonts w:hint="default"/>
          <w:lang w:bidi="ar-SA"/>
        </w:rPr>
        <w:t xml:space="preserve"> znení</w:t>
      </w:r>
      <w:r>
        <w:rPr>
          <w:rFonts w:hint="default"/>
          <w:lang w:bidi="ar-SA"/>
        </w:rPr>
        <w:t xml:space="preserve">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720/2004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347/2005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538/2005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660/2005 Z. z., zá</w:t>
      </w:r>
      <w:r>
        <w:rPr>
          <w:rFonts w:hint="default"/>
          <w:lang w:bidi="ar-SA"/>
        </w:rPr>
        <w:t>kona</w:t>
      </w:r>
      <w:r>
        <w:rPr>
          <w:rFonts w:hint="default"/>
          <w:lang w:bidi="ar-SA"/>
        </w:rPr>
        <w:t xml:space="preserve"> č</w:t>
      </w:r>
      <w:r>
        <w:rPr>
          <w:rFonts w:hint="default"/>
          <w:lang w:bidi="ar-SA"/>
        </w:rPr>
        <w:t>. 342/2006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522/2006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661/2007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81/2009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402/2009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34/2011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363/2011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41/2013 Z. z.,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220/2013 Z. z. a zá</w:t>
      </w:r>
      <w:r>
        <w:rPr>
          <w:rFonts w:hint="default"/>
          <w:lang w:bidi="ar-SA"/>
        </w:rPr>
        <w:t>kona č</w:t>
      </w:r>
      <w:r>
        <w:rPr>
          <w:rFonts w:hint="default"/>
          <w:lang w:bidi="ar-SA"/>
        </w:rPr>
        <w:t>. 365/2013 Z. z. sa d</w:t>
      </w:r>
      <w:r>
        <w:rPr>
          <w:rFonts w:hint="default"/>
          <w:lang w:bidi="ar-SA"/>
        </w:rPr>
        <w:t>o</w:t>
      </w:r>
      <w:r>
        <w:rPr>
          <w:rFonts w:hint="default"/>
          <w:lang w:bidi="ar-SA"/>
        </w:rPr>
        <w:t>pĺň</w:t>
      </w:r>
      <w:r>
        <w:rPr>
          <w:rFonts w:hint="default"/>
          <w:lang w:bidi="ar-SA"/>
        </w:rPr>
        <w:t>a takto:</w:t>
      </w:r>
    </w:p>
    <w:p w:rsidR="00F50387">
      <w:pPr>
        <w:pStyle w:val="Vchodzie"/>
        <w:autoSpaceDE/>
        <w:bidi w:val="0"/>
        <w:spacing w:before="100" w:after="100" w:line="200" w:lineRule="atLeast"/>
        <w:ind w:firstLine="708"/>
        <w:jc w:val="both"/>
      </w:pPr>
    </w:p>
    <w:p w:rsidR="00F50387" w:rsidP="00F904D5">
      <w:pPr>
        <w:pStyle w:val="Vchodzie"/>
        <w:tabs>
          <w:tab w:val="left" w:pos="1068"/>
        </w:tabs>
        <w:autoSpaceDE/>
        <w:bidi w:val="0"/>
        <w:spacing w:before="100" w:after="100" w:line="200" w:lineRule="atLeast"/>
        <w:jc w:val="both"/>
      </w:pPr>
      <w:r w:rsidR="00F904D5">
        <w:rPr>
          <w:lang w:bidi="ar-SA"/>
        </w:rPr>
        <w:tab/>
      </w:r>
      <w:r w:rsidRPr="00F904D5" w:rsidR="00F904D5">
        <w:rPr>
          <w:lang w:eastAsia="en-US" w:bidi="ar-SA"/>
        </w:rPr>
        <w:t xml:space="preserve"> </w:t>
      </w:r>
      <w:r w:rsidR="00F904D5">
        <w:rPr>
          <w:rFonts w:hint="default"/>
          <w:lang w:eastAsia="en-US" w:bidi="ar-SA"/>
        </w:rPr>
        <w:t>Za §</w:t>
      </w:r>
      <w:r w:rsidR="00F904D5">
        <w:rPr>
          <w:rFonts w:hint="default"/>
          <w:lang w:eastAsia="en-US" w:bidi="ar-SA"/>
        </w:rPr>
        <w:t xml:space="preserve"> 3 sa vkladá</w:t>
      </w:r>
      <w:r w:rsidR="00F904D5">
        <w:rPr>
          <w:rFonts w:hint="default"/>
          <w:lang w:eastAsia="en-US" w:bidi="ar-SA"/>
        </w:rPr>
        <w:t xml:space="preserve"> nový</w:t>
      </w:r>
      <w:r w:rsidR="00F904D5">
        <w:rPr>
          <w:rFonts w:hint="default"/>
          <w:lang w:eastAsia="en-US" w:bidi="ar-SA"/>
        </w:rPr>
        <w:t xml:space="preserve"> §</w:t>
      </w:r>
      <w:r w:rsidR="00F904D5">
        <w:rPr>
          <w:rFonts w:hint="default"/>
          <w:lang w:eastAsia="en-US" w:bidi="ar-SA"/>
        </w:rPr>
        <w:t xml:space="preserve"> 3a, ktorý</w:t>
      </w:r>
      <w:r w:rsidR="00F904D5">
        <w:rPr>
          <w:rFonts w:hint="default"/>
          <w:lang w:eastAsia="en-US" w:bidi="ar-SA"/>
        </w:rPr>
        <w:t xml:space="preserve"> znie:</w:t>
      </w:r>
    </w:p>
    <w:p w:rsidR="00F50387">
      <w:pPr>
        <w:pStyle w:val="Vchodzie"/>
        <w:autoSpaceDE/>
        <w:bidi w:val="0"/>
        <w:spacing w:before="100" w:after="100" w:line="200" w:lineRule="atLeast"/>
        <w:jc w:val="center"/>
      </w:pPr>
      <w:r w:rsidR="00F904D5">
        <w:rPr>
          <w:rFonts w:hint="default"/>
          <w:lang w:bidi="ar-SA"/>
        </w:rPr>
        <w:t>„§</w:t>
      </w:r>
      <w:r w:rsidR="00F904D5">
        <w:rPr>
          <w:rFonts w:hint="default"/>
          <w:lang w:bidi="ar-SA"/>
        </w:rPr>
        <w:t xml:space="preserve"> 3a</w:t>
      </w:r>
    </w:p>
    <w:p w:rsidR="00F50387">
      <w:pPr>
        <w:pStyle w:val="Vchodzie"/>
        <w:autoSpaceDE/>
        <w:bidi w:val="0"/>
        <w:spacing w:before="100" w:after="100" w:line="200" w:lineRule="atLeast"/>
        <w:ind w:firstLine="708"/>
        <w:jc w:val="both"/>
      </w:pPr>
      <w:r>
        <w:rPr>
          <w:rFonts w:hint="default"/>
          <w:lang w:bidi="ar-SA"/>
        </w:rPr>
        <w:t>Na zá</w:t>
      </w:r>
      <w:r>
        <w:rPr>
          <w:rFonts w:hint="default"/>
          <w:lang w:bidi="ar-SA"/>
        </w:rPr>
        <w:t>klade verejné</w:t>
      </w:r>
      <w:r>
        <w:rPr>
          <w:rFonts w:hint="default"/>
          <w:lang w:bidi="ar-SA"/>
        </w:rPr>
        <w:t>ho zdravotné</w:t>
      </w:r>
      <w:r>
        <w:rPr>
          <w:rFonts w:hint="default"/>
          <w:lang w:bidi="ar-SA"/>
        </w:rPr>
        <w:t>ho poistenia sa plne uhrá</w:t>
      </w:r>
      <w:r>
        <w:rPr>
          <w:rFonts w:hint="default"/>
          <w:lang w:bidi="ar-SA"/>
        </w:rPr>
        <w:t>dza</w:t>
      </w:r>
      <w:r>
        <w:rPr>
          <w:i/>
          <w:lang w:bidi="ar-SA"/>
        </w:rPr>
        <w:t xml:space="preserve"> </w:t>
      </w:r>
      <w:r w:rsidR="008F07BC">
        <w:rPr>
          <w:rFonts w:hint="default"/>
          <w:lang w:bidi="ar-SA"/>
        </w:rPr>
        <w:t>vnú</w:t>
      </w:r>
      <w:r w:rsidR="008F07BC">
        <w:rPr>
          <w:rFonts w:hint="default"/>
          <w:lang w:bidi="ar-SA"/>
        </w:rPr>
        <w:t>tromaternicové</w:t>
      </w:r>
      <w:r w:rsidR="008F07BC">
        <w:rPr>
          <w:rFonts w:hint="default"/>
          <w:lang w:bidi="ar-SA"/>
        </w:rPr>
        <w:t xml:space="preserve"> teliesko a </w:t>
      </w:r>
      <w:r w:rsidR="008F07BC">
        <w:rPr>
          <w:rFonts w:hint="default"/>
          <w:lang w:bidi="ar-SA"/>
        </w:rPr>
        <w:t>jeho zavedenie podľ</w:t>
      </w:r>
      <w:r w:rsidR="008F07BC">
        <w:rPr>
          <w:rFonts w:hint="default"/>
          <w:lang w:bidi="ar-SA"/>
        </w:rPr>
        <w:t>a osobitné</w:t>
      </w:r>
      <w:r w:rsidR="008F07BC">
        <w:rPr>
          <w:rFonts w:hint="default"/>
          <w:lang w:bidi="ar-SA"/>
        </w:rPr>
        <w:t>ho predpisu</w:t>
      </w:r>
      <w:r>
        <w:rPr>
          <w:position w:val="6"/>
          <w:lang w:bidi="ar-SA"/>
        </w:rPr>
        <w:t>11g)</w:t>
      </w:r>
      <w:r>
        <w:rPr>
          <w:rFonts w:hint="default"/>
          <w:lang w:bidi="ar-SA"/>
        </w:rPr>
        <w:t xml:space="preserve"> ž</w:t>
      </w:r>
      <w:r>
        <w:rPr>
          <w:rFonts w:hint="default"/>
          <w:lang w:bidi="ar-SA"/>
        </w:rPr>
        <w:t>ene, ktorá</w:t>
      </w:r>
      <w:r>
        <w:rPr>
          <w:rFonts w:hint="default"/>
          <w:lang w:bidi="ar-SA"/>
        </w:rPr>
        <w:t xml:space="preserve"> má</w:t>
      </w:r>
      <w:r>
        <w:rPr>
          <w:rFonts w:hint="default"/>
          <w:lang w:bidi="ar-SA"/>
        </w:rPr>
        <w:t xml:space="preserve"> minimá</w:t>
      </w:r>
      <w:r>
        <w:rPr>
          <w:rFonts w:hint="default"/>
          <w:lang w:bidi="ar-SA"/>
        </w:rPr>
        <w:t>lne š</w:t>
      </w:r>
      <w:r>
        <w:rPr>
          <w:rFonts w:hint="default"/>
          <w:lang w:bidi="ar-SA"/>
        </w:rPr>
        <w:t>tyri deti.“</w:t>
      </w:r>
    </w:p>
    <w:p w:rsidR="00F50387">
      <w:pPr>
        <w:pStyle w:val="Vchodzie"/>
        <w:autoSpaceDE/>
        <w:bidi w:val="0"/>
        <w:spacing w:before="100" w:after="100" w:line="200" w:lineRule="atLeast"/>
      </w:pPr>
      <w:r>
        <w:rPr>
          <w:rFonts w:hint="default"/>
          <w:lang w:bidi="ar-SA"/>
        </w:rPr>
        <w:t>Pozná</w:t>
      </w:r>
      <w:r>
        <w:rPr>
          <w:rFonts w:hint="default"/>
          <w:lang w:bidi="ar-SA"/>
        </w:rPr>
        <w:t>mka pod č</w:t>
      </w:r>
      <w:r>
        <w:rPr>
          <w:rFonts w:hint="default"/>
          <w:lang w:bidi="ar-SA"/>
        </w:rPr>
        <w:t xml:space="preserve">iarou k odkazu 11h znie: </w:t>
      </w:r>
    </w:p>
    <w:p w:rsidR="00F50387">
      <w:pPr>
        <w:pStyle w:val="Vchodzie"/>
        <w:autoSpaceDE/>
        <w:bidi w:val="0"/>
        <w:spacing w:before="100" w:after="100" w:line="200" w:lineRule="atLeast"/>
      </w:pPr>
      <w:r>
        <w:rPr>
          <w:rFonts w:hint="default"/>
          <w:lang w:bidi="ar-SA"/>
        </w:rPr>
        <w:t>„</w:t>
      </w:r>
      <w:r>
        <w:rPr>
          <w:rFonts w:hint="default"/>
          <w:position w:val="6"/>
          <w:lang w:bidi="ar-SA"/>
        </w:rPr>
        <w:t>11g) §</w:t>
      </w:r>
      <w:r>
        <w:rPr>
          <w:rFonts w:hint="default"/>
          <w:position w:val="6"/>
          <w:lang w:bidi="ar-SA"/>
        </w:rPr>
        <w:t xml:space="preserve"> 40a zá</w:t>
      </w:r>
      <w:r>
        <w:rPr>
          <w:rFonts w:hint="default"/>
          <w:position w:val="6"/>
          <w:lang w:bidi="ar-SA"/>
        </w:rPr>
        <w:t>kona č</w:t>
      </w:r>
      <w:r>
        <w:rPr>
          <w:rFonts w:hint="default"/>
          <w:position w:val="6"/>
          <w:lang w:bidi="ar-SA"/>
        </w:rPr>
        <w:t>. 577/2004 Z. z.“.</w:t>
      </w:r>
    </w:p>
    <w:p w:rsidR="00F50387">
      <w:pPr>
        <w:pStyle w:val="Vchodzie"/>
        <w:autoSpaceDE/>
        <w:bidi w:val="0"/>
        <w:spacing w:before="100" w:after="100" w:line="200" w:lineRule="atLeast"/>
        <w:jc w:val="center"/>
      </w:pPr>
      <w:r>
        <w:rPr>
          <w:rFonts w:hint="default"/>
          <w:b/>
          <w:lang w:bidi="ar-SA"/>
        </w:rPr>
        <w:t>Č</w:t>
      </w:r>
      <w:r>
        <w:rPr>
          <w:rFonts w:hint="default"/>
          <w:b/>
          <w:lang w:bidi="ar-SA"/>
        </w:rPr>
        <w:t>l. III</w:t>
      </w:r>
    </w:p>
    <w:p w:rsidR="00F50387">
      <w:pPr>
        <w:pStyle w:val="Vchodzie"/>
        <w:autoSpaceDE/>
        <w:bidi w:val="0"/>
        <w:spacing w:before="100" w:after="100" w:line="200" w:lineRule="atLeast"/>
        <w:ind w:left="1068"/>
      </w:pPr>
      <w:r>
        <w:rPr>
          <w:rFonts w:hint="default"/>
          <w:lang w:bidi="ar-SA"/>
        </w:rPr>
        <w:t>Tento zá</w:t>
      </w:r>
      <w:r>
        <w:rPr>
          <w:rFonts w:hint="default"/>
          <w:lang w:bidi="ar-SA"/>
        </w:rPr>
        <w:t>kon nadobú</w:t>
      </w:r>
      <w:r>
        <w:rPr>
          <w:rFonts w:hint="default"/>
          <w:lang w:bidi="ar-SA"/>
        </w:rPr>
        <w:t>da úč</w:t>
      </w:r>
      <w:r>
        <w:rPr>
          <w:rFonts w:hint="default"/>
          <w:lang w:bidi="ar-SA"/>
        </w:rPr>
        <w:t>innosť</w:t>
      </w:r>
      <w:r>
        <w:rPr>
          <w:rFonts w:hint="default"/>
          <w:lang w:bidi="ar-SA"/>
        </w:rPr>
        <w:t xml:space="preserve"> 1. jú</w:t>
      </w:r>
      <w:r>
        <w:rPr>
          <w:rFonts w:hint="default"/>
          <w:lang w:bidi="ar-SA"/>
        </w:rPr>
        <w:t>la 2014.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AT*Toronto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hAnsi="Times New Roman" w:cs="Times New Roman"/>
        <w:rtl w:val="0"/>
        <w: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hAnsi="Times New Roman" w:cs="Times New Roman"/>
        <w:rtl w:val="0"/>
        <w: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eastAsia="Times New Roman" w:hAnsi="Times New Roman" w:cs="Times New Roman"/>
        <w:rtl w:val="0"/>
        <w: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eastAsia="Times New Roman" w:hAnsi="Times New Roman" w:cs="Times New Roman"/>
        <w:rtl w:val="0"/>
        <w: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eastAsia="Times New Roman" w:hAnsi="Times New Roman" w:cs="Times New Roman"/>
        <w:rtl w:val="0"/>
        <w: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eastAsia="Times New Roman" w:hAnsi="Times New Roman" w:cs="Times New Roman"/>
        <w:rtl w:val="0"/>
        <w: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eastAsia="Times New Roman" w:hAnsi="Times New Roman" w:cs="Times New Roman"/>
        <w:rtl w:val="0"/>
        <w: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eastAsia="Times New Roman" w:hAnsi="Times New Roman" w:cs="Times New Roman"/>
        <w:rtl w:val="0"/>
        <w: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eastAsia="Times New Roman" w:hAnsi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decimal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decimal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decimal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decimal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decimal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decimal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Jc w:val="left"/>
      <w:pPr>
        <w:ind w:left="1584" w:hanging="1584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97E43"/>
    <w:rsid w:val="001F3020"/>
    <w:rsid w:val="00297E43"/>
    <w:rsid w:val="0033555C"/>
    <w:rsid w:val="005B1AB9"/>
    <w:rsid w:val="007C1FB8"/>
    <w:rsid w:val="008A7181"/>
    <w:rsid w:val="008F07BC"/>
    <w:rsid w:val="00A32403"/>
    <w:rsid w:val="00BE7361"/>
    <w:rsid w:val="00C80504"/>
    <w:rsid w:val="00D62F65"/>
    <w:rsid w:val="00E53F11"/>
    <w:rsid w:val="00F50387"/>
    <w:rsid w:val="00F904D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chodzie">
    <w:name w:val="Vchodzie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kern w:val="1"/>
      <w:sz w:val="24"/>
      <w:szCs w:val="24"/>
      <w:rtl w:val="0"/>
      <w:cs w:val="0"/>
      <w:lang w:val="sk-SK" w:eastAsia="sk-SK" w:bidi="hi-IN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paragraph" w:customStyle="1" w:styleId="Nadpis">
    <w:name w:val="Nadpis"/>
    <w:basedOn w:val="Vchodzie"/>
    <w:next w:val="Telotextu"/>
    <w:uiPriority w:val="99"/>
    <w:pPr>
      <w:keepNext/>
      <w:spacing w:before="240" w:after="120"/>
      <w:jc w:val="left"/>
    </w:pPr>
    <w:rPr>
      <w:rFonts w:ascii="AT*Toronto" w:eastAsia="Microsoft YaHei" w:hAnsi="Mangal" w:cs="AT*Toronto"/>
      <w:sz w:val="28"/>
      <w:szCs w:val="28"/>
      <w:lang w:eastAsia="zh-CN" w:bidi="ar-SA"/>
    </w:rPr>
  </w:style>
  <w:style w:type="paragraph" w:customStyle="1" w:styleId="Telotextu">
    <w:name w:val="Telo textu"/>
    <w:basedOn w:val="Vchodzie"/>
    <w:uiPriority w:val="99"/>
    <w:pPr>
      <w:spacing w:after="120"/>
      <w:jc w:val="left"/>
    </w:pPr>
    <w:rPr>
      <w:lang w:eastAsia="zh-CN" w:bidi="ar-SA"/>
    </w:rPr>
  </w:style>
  <w:style w:type="paragraph" w:styleId="List">
    <w:name w:val="List"/>
    <w:basedOn w:val="Telotextu"/>
    <w:uiPriority w:val="99"/>
    <w:pPr>
      <w:jc w:val="left"/>
    </w:pPr>
    <w:rPr>
      <w:rFonts w:ascii="Arial" w:eastAsia="Times New Roman" w:hAnsi="Mangal" w:cs="Arial"/>
    </w:rPr>
  </w:style>
  <w:style w:type="paragraph" w:customStyle="1" w:styleId="Popisok">
    <w:name w:val="Popisok"/>
    <w:basedOn w:val="Vchodzie"/>
    <w:uiPriority w:val="99"/>
    <w:pPr>
      <w:spacing w:before="120" w:after="120"/>
      <w:jc w:val="left"/>
    </w:pPr>
    <w:rPr>
      <w:rFonts w:ascii="Arial" w:eastAsia="Times New Roman" w:hAnsi="Mangal" w:cs="Arial"/>
      <w:i/>
      <w:iCs/>
      <w:lang w:eastAsia="zh-CN" w:bidi="ar-SA"/>
    </w:rPr>
  </w:style>
  <w:style w:type="paragraph" w:customStyle="1" w:styleId="Index">
    <w:name w:val="Index"/>
    <w:basedOn w:val="Vchodzie"/>
    <w:uiPriority w:val="99"/>
    <w:pPr>
      <w:jc w:val="left"/>
    </w:pPr>
    <w:rPr>
      <w:rFonts w:ascii="Arial" w:eastAsia="Times New Roman" w:hAnsi="Mangal" w:cs="Arial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8D827-3DBE-4918-AD07-C2C45043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528</Words>
  <Characters>2951</Characters>
  <Application>Microsoft Office Word</Application>
  <DocSecurity>0</DocSecurity>
  <Lines>0</Lines>
  <Paragraphs>0</Paragraphs>
  <ScaleCrop>false</ScaleCrop>
  <Company>Kancelaria NR SR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Martin_Poliacik</dc:creator>
  <cp:lastModifiedBy>klubSaS</cp:lastModifiedBy>
  <cp:revision>4</cp:revision>
  <cp:lastPrinted>2012-08-14T10:07:00Z</cp:lastPrinted>
  <dcterms:created xsi:type="dcterms:W3CDTF">2014-02-26T14:04:00Z</dcterms:created>
  <dcterms:modified xsi:type="dcterms:W3CDTF">2014-02-27T13:59:00Z</dcterms:modified>
</cp:coreProperties>
</file>