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310A" w:rsidRPr="00927AA1" w:rsidP="002F310A">
      <w:pPr>
        <w:pStyle w:val="Title"/>
        <w:bidi w:val="0"/>
        <w:spacing w:after="240"/>
        <w:rPr>
          <w:rFonts w:ascii="Times New Roman" w:hAnsi="Times New Roman"/>
          <w:bCs/>
          <w:sz w:val="24"/>
          <w:szCs w:val="24"/>
        </w:rPr>
      </w:pPr>
      <w:r w:rsidRPr="00927AA1" w:rsidR="00927AA1">
        <w:rPr>
          <w:rFonts w:ascii="Times New Roman" w:hAnsi="Times New Roman"/>
          <w:caps/>
          <w:color w:val="000000"/>
          <w:spacing w:val="30"/>
          <w:sz w:val="24"/>
          <w:szCs w:val="24"/>
        </w:rPr>
        <w:t>Dôvodová správa</w:t>
      </w:r>
    </w:p>
    <w:p w:rsidR="002F310A" w:rsidRPr="007D4CAB" w:rsidP="002F310A">
      <w:pPr>
        <w:bidi w:val="0"/>
        <w:spacing w:after="120"/>
        <w:jc w:val="both"/>
        <w:rPr>
          <w:rFonts w:ascii="Times New Roman" w:hAnsi="Times New Roman"/>
          <w:b/>
          <w:bCs/>
          <w:u w:val="single"/>
        </w:rPr>
      </w:pPr>
      <w:r w:rsidRPr="007D4CAB">
        <w:rPr>
          <w:rFonts w:ascii="Times New Roman" w:hAnsi="Times New Roman"/>
          <w:b/>
          <w:bCs/>
          <w:u w:val="single"/>
        </w:rPr>
        <w:t>Všeobecná časť:</w:t>
      </w:r>
    </w:p>
    <w:p w:rsidR="002F310A" w:rsidRPr="007D4CAB" w:rsidP="002F310A">
      <w:pPr>
        <w:bidi w:val="0"/>
        <w:spacing w:after="120"/>
        <w:ind w:firstLine="708"/>
        <w:jc w:val="both"/>
        <w:rPr>
          <w:rFonts w:ascii="Times New Roman" w:hAnsi="Times New Roman"/>
        </w:rPr>
      </w:pPr>
      <w:r w:rsidRPr="007D4CAB">
        <w:rPr>
          <w:rFonts w:ascii="Times New Roman" w:hAnsi="Times New Roman"/>
        </w:rPr>
        <w:t xml:space="preserve">Ministerstvo dopravy, výstavby a regionálneho rozvoja Slovenskej republiky vypracovalo návrh zákona, ktorým sa mení a dopĺňa zákon č. 435/2000 Z. z. o námornej plavbe v znení neskorších predpisov a ktorým sa dopĺňa zákon </w:t>
      </w:r>
      <w:r w:rsidRPr="007D4CAB">
        <w:rPr>
          <w:rFonts w:ascii="Times New Roman" w:hAnsi="Times New Roman"/>
          <w:bCs/>
        </w:rPr>
        <w:t xml:space="preserve">Národnej rady Slovenskej republiky č. </w:t>
      </w:r>
      <w:r w:rsidRPr="007D4CAB">
        <w:rPr>
          <w:rFonts w:ascii="Times New Roman" w:hAnsi="Times New Roman"/>
        </w:rPr>
        <w:t xml:space="preserve">145/1995 Z. z. o správnych poplatkoch v znení neskorších predpisov (ďalej len „návrh zákona“) na základe Plánu legislatívnych úloh vlády SR na rok </w:t>
      </w:r>
      <w:smartTag w:uri="urn:schemas-microsoft-com:office:smarttags" w:element="metricconverter">
        <w:smartTagPr>
          <w:attr w:name="ProductID" w:val="51 a"/>
        </w:smartTagPr>
        <w:r w:rsidRPr="007D4CAB">
          <w:rPr>
            <w:rFonts w:ascii="Times New Roman" w:hAnsi="Times New Roman"/>
          </w:rPr>
          <w:t>2014 a</w:t>
        </w:r>
      </w:smartTag>
      <w:r w:rsidRPr="007D4CAB">
        <w:rPr>
          <w:rFonts w:ascii="Times New Roman" w:hAnsi="Times New Roman"/>
        </w:rPr>
        <w:t xml:space="preserve"> úlohy B.8. z uznesenia vlády SR č. 155/2013.</w:t>
      </w:r>
    </w:p>
    <w:p w:rsidR="002F310A" w:rsidRPr="007D4CAB" w:rsidP="002F310A">
      <w:pPr>
        <w:pStyle w:val="CM4"/>
        <w:bidi w:val="0"/>
        <w:spacing w:before="60" w:after="60"/>
        <w:ind w:firstLine="708"/>
        <w:jc w:val="both"/>
        <w:rPr>
          <w:rFonts w:ascii="Times New Roman" w:hAnsi="Times New Roman"/>
        </w:rPr>
      </w:pPr>
      <w:r w:rsidRPr="007D4CAB">
        <w:rPr>
          <w:rFonts w:ascii="Times New Roman" w:hAnsi="Times New Roman"/>
        </w:rPr>
        <w:t>Návrh zákona má za cieľ transpozíciu smernice Európskeho parlamentu a Rady 2012/35/EÚ z 21. novembra 2012, ktorou sa mení a dopĺňa smernica 2008/106/ES o minimálnej úrovni prípravy námorníkov a smernice Európskeho parlamentu a Rady 2013/38/EÚ z 12. augusta 2013, ktorou sa mení smernica 2009/16/ES o štátnej prístavnej kontrole do právneho poriadku Slovenskej republiky.</w:t>
      </w:r>
    </w:p>
    <w:p w:rsidR="002F310A" w:rsidRPr="007D4CAB" w:rsidP="002F310A">
      <w:pPr>
        <w:bidi w:val="0"/>
        <w:spacing w:after="120"/>
        <w:ind w:firstLine="708"/>
        <w:jc w:val="both"/>
        <w:rPr>
          <w:rFonts w:ascii="Times New Roman" w:hAnsi="Times New Roman"/>
        </w:rPr>
      </w:pPr>
      <w:r w:rsidRPr="007D4CAB">
        <w:rPr>
          <w:rFonts w:ascii="Times New Roman" w:hAnsi="Times New Roman"/>
        </w:rPr>
        <w:t xml:space="preserve">Návrhom zákona sa zároveň odstraňujú niektoré nedostatky súčasného právneho stavu, ktoré vyplynuli z aplikačnej praxe zákona. Ide o zmeny a doplnenia ustanovení týkajúcich sa postupov a posudzovania noriem podľa Medzinárodného dohovoru o normách výcviku, kvalifikácie a strážnej služby námorníkov (STCW) 1978 v platnom znení a technickej spôsobilosti námornej jachty. Z toho vyplynula aj zmena v ustanoveniach zákona </w:t>
      </w:r>
      <w:r w:rsidRPr="007D4CAB">
        <w:rPr>
          <w:rFonts w:ascii="Times New Roman" w:hAnsi="Times New Roman"/>
          <w:bCs/>
        </w:rPr>
        <w:t xml:space="preserve">Národnej rady Slovenskej republiky č. </w:t>
      </w:r>
      <w:r w:rsidRPr="007D4CAB">
        <w:rPr>
          <w:rFonts w:ascii="Times New Roman" w:hAnsi="Times New Roman"/>
        </w:rPr>
        <w:t>145/1995 Z. z. o správnych poplatkoch v znení neskorších predpisov.</w:t>
      </w:r>
    </w:p>
    <w:p w:rsidR="002F310A" w:rsidRPr="007D4CAB" w:rsidP="002F310A">
      <w:pPr>
        <w:pStyle w:val="BodyTextIndent2"/>
        <w:bidi w:val="0"/>
        <w:spacing w:after="120"/>
        <w:ind w:firstLine="708"/>
        <w:rPr>
          <w:rFonts w:ascii="Times New Roman" w:hAnsi="Times New Roman"/>
        </w:rPr>
      </w:pPr>
      <w:r w:rsidRPr="007D4CAB">
        <w:rPr>
          <w:rFonts w:ascii="Times New Roman" w:hAnsi="Times New Roman"/>
        </w:rPr>
        <w:t>Navrhovaný zákon má pozitívny vplyv na rozpočet verejnej správy a nemá vplyv na podnikateľské prostredie, sociálny vplyv, vplyv na životné prostredie a informatizáciu spoločnosti.</w:t>
      </w:r>
    </w:p>
    <w:p w:rsidR="002F310A" w:rsidRPr="007D4CAB" w:rsidP="007D4CAB">
      <w:pPr>
        <w:pStyle w:val="NormalWeb"/>
        <w:bidi w:val="0"/>
        <w:spacing w:before="0" w:beforeAutospacing="0" w:after="0" w:afterAutospacing="0" w:line="276" w:lineRule="auto"/>
        <w:ind w:firstLine="720"/>
        <w:jc w:val="both"/>
        <w:rPr>
          <w:rFonts w:ascii="Times New Roman" w:hAnsi="Times New Roman"/>
        </w:rPr>
      </w:pPr>
      <w:r w:rsidRPr="007D4CAB">
        <w:rPr>
          <w:rFonts w:ascii="Times New Roman" w:hAnsi="Times New Roman"/>
        </w:rPr>
        <w:t>Návrh zákona je v súlade s Ústavou SR, ústavnými zákonmi SR, platným právnym poriadkom SR, medzinárodnými zmluvami a inými medzinárodnými dokumentmi, ktorými je Slovenská republika viazaná.</w:t>
      </w:r>
    </w:p>
    <w:p w:rsidR="002F310A" w:rsidP="002F310A">
      <w:pPr>
        <w:pStyle w:val="NormalWeb"/>
        <w:bidi w:val="0"/>
        <w:spacing w:before="0" w:beforeAutospacing="0" w:after="0" w:afterAutospacing="0" w:line="276" w:lineRule="auto"/>
        <w:jc w:val="center"/>
        <w:rPr>
          <w:rFonts w:ascii="Times New Roman" w:hAnsi="Times New Roman"/>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2F310A" w:rsidP="002F310A">
      <w:pPr>
        <w:pStyle w:val="NormalWeb"/>
        <w:bidi w:val="0"/>
        <w:spacing w:before="0" w:beforeAutospacing="0" w:after="0" w:afterAutospacing="0" w:line="276" w:lineRule="auto"/>
        <w:jc w:val="center"/>
        <w:rPr>
          <w:rFonts w:ascii="Times New Roman" w:hAnsi="Times New Roman"/>
          <w:b/>
          <w:bCs/>
          <w:caps/>
          <w:color w:val="000000"/>
          <w:spacing w:val="30"/>
        </w:rPr>
      </w:pPr>
    </w:p>
    <w:p w:rsidR="00B32C2A" w:rsidP="002F310A">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aps/>
          <w:color w:val="000000"/>
          <w:spacing w:val="30"/>
        </w:rPr>
        <w:t>Doložka</w:t>
      </w:r>
    </w:p>
    <w:p w:rsidR="00B32C2A" w:rsidP="00B32C2A">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000000"/>
        </w:rPr>
        <w:t>vybraných vplyvov</w:t>
      </w:r>
    </w:p>
    <w:p w:rsidR="00B32C2A" w:rsidP="00B32C2A">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p w:rsidR="00B32C2A" w:rsidP="00B32C2A">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p w:rsidR="00B32C2A" w:rsidRPr="00702856" w:rsidP="00B32C2A">
      <w:pPr>
        <w:pStyle w:val="NormalWeb"/>
        <w:bidi w:val="0"/>
        <w:spacing w:before="0" w:beforeAutospacing="0" w:after="0" w:afterAutospacing="0" w:line="276" w:lineRule="auto"/>
        <w:jc w:val="both"/>
        <w:rPr>
          <w:rFonts w:ascii="Times New Roman" w:hAnsi="Times New Roman"/>
        </w:rPr>
      </w:pPr>
      <w:r>
        <w:rPr>
          <w:rFonts w:ascii="Times New Roman" w:hAnsi="Times New Roman"/>
          <w:b/>
          <w:bCs/>
          <w:color w:val="000000"/>
        </w:rPr>
        <w:t xml:space="preserve">A.1. Názov materiálu: </w:t>
      </w:r>
      <w:r w:rsidRPr="00702856">
        <w:rPr>
          <w:rFonts w:ascii="Times New Roman" w:hAnsi="Times New Roman"/>
          <w:color w:val="000000"/>
        </w:rPr>
        <w:t xml:space="preserve">Návrh zákona, </w:t>
      </w:r>
      <w:r w:rsidRPr="00702856">
        <w:rPr>
          <w:rFonts w:ascii="Times New Roman" w:hAnsi="Times New Roman"/>
        </w:rPr>
        <w:t xml:space="preserve">ktorým sa mení a dopĺňa zákon č. 435/2000 Z. z. o námornej plavbe v znení neskorších </w:t>
      </w:r>
      <w:r w:rsidRPr="008C6AB3">
        <w:rPr>
          <w:rFonts w:ascii="Times New Roman" w:hAnsi="Times New Roman"/>
        </w:rPr>
        <w:t>predpisov</w:t>
      </w:r>
      <w:r w:rsidRPr="008C6AB3">
        <w:rPr>
          <w:rFonts w:ascii="Times New Roman" w:hAnsi="Times New Roman"/>
          <w:bCs/>
        </w:rPr>
        <w:t xml:space="preserve"> a ktorým sa dopĺňa zákon Národnej rady</w:t>
      </w:r>
      <w:r w:rsidRPr="008E3EF9">
        <w:rPr>
          <w:rFonts w:ascii="Times New Roman" w:hAnsi="Times New Roman"/>
          <w:bCs/>
        </w:rPr>
        <w:t xml:space="preserve"> Slovenskej republiky č. </w:t>
      </w:r>
      <w:r w:rsidRPr="008E3EF9">
        <w:rPr>
          <w:rFonts w:ascii="Times New Roman" w:hAnsi="Times New Roman"/>
        </w:rPr>
        <w:t>145/1995 Z. z. o správnych poplatkoch</w:t>
      </w:r>
      <w:r w:rsidRPr="00702856">
        <w:rPr>
          <w:rFonts w:ascii="Times New Roman" w:hAnsi="Times New Roman"/>
        </w:rPr>
        <w:t xml:space="preserve"> v znení neskorších predpisov</w:t>
      </w:r>
    </w:p>
    <w:p w:rsidR="00B32C2A" w:rsidP="00B32C2A">
      <w:pPr>
        <w:pStyle w:val="NormalWeb"/>
        <w:bidi w:val="0"/>
        <w:spacing w:before="0" w:beforeAutospacing="0" w:after="0" w:afterAutospacing="0" w:line="276" w:lineRule="auto"/>
        <w:jc w:val="both"/>
        <w:rPr>
          <w:rFonts w:ascii="Times New Roman" w:hAnsi="Times New Roman"/>
        </w:rPr>
      </w:pPr>
    </w:p>
    <w:p w:rsidR="00B32C2A" w:rsidP="00B32C2A">
      <w:pPr>
        <w:bidi w:val="0"/>
        <w:ind w:firstLine="720"/>
        <w:jc w:val="both"/>
        <w:rPr>
          <w:rFonts w:ascii="Times New Roman" w:hAnsi="Times New Roman"/>
          <w:b/>
          <w:bCs/>
          <w:color w:val="000000"/>
        </w:rPr>
      </w:pPr>
    </w:p>
    <w:p w:rsidR="00B32C2A" w:rsidP="00B32C2A">
      <w:pPr>
        <w:pStyle w:val="NormalWeb"/>
        <w:bidi w:val="0"/>
        <w:spacing w:before="0" w:beforeAutospacing="0" w:after="0" w:afterAutospacing="0" w:line="276" w:lineRule="auto"/>
        <w:jc w:val="both"/>
        <w:rPr>
          <w:rFonts w:ascii="Times New Roman" w:hAnsi="Times New Roman"/>
        </w:rPr>
      </w:pPr>
      <w:r>
        <w:rPr>
          <w:rFonts w:ascii="Times New Roman" w:hAnsi="Times New Roman"/>
          <w:b/>
          <w:bCs/>
          <w:color w:val="000000"/>
        </w:rPr>
        <w:t>         </w:t>
      </w:r>
    </w:p>
    <w:p w:rsidR="00B32C2A" w:rsidP="00B32C2A">
      <w:pPr>
        <w:pStyle w:val="NormalWeb"/>
        <w:bidi w:val="0"/>
        <w:spacing w:before="0" w:beforeAutospacing="0" w:after="0" w:afterAutospacing="0" w:line="276" w:lineRule="auto"/>
        <w:jc w:val="both"/>
        <w:rPr>
          <w:rFonts w:ascii="Times New Roman" w:hAnsi="Times New Roman"/>
        </w:rPr>
      </w:pPr>
      <w:r>
        <w:rPr>
          <w:rFonts w:ascii="Times New Roman" w:hAnsi="Times New Roman"/>
          <w:b/>
          <w:bCs/>
          <w:color w:val="000000"/>
        </w:rPr>
        <w:t>A.2. Vplyvy:</w:t>
      </w:r>
    </w:p>
    <w:tbl>
      <w:tblPr>
        <w:tblStyle w:val="TableNormal"/>
        <w:tblW w:w="5000" w:type="pct"/>
        <w:tblCellMar>
          <w:left w:w="0" w:type="dxa"/>
          <w:right w:w="0" w:type="dxa"/>
        </w:tblCellMar>
        <w:tblLook w:val="00A0"/>
      </w:tblPr>
      <w:tblGrid>
        <w:gridCol w:w="5519"/>
        <w:gridCol w:w="1192"/>
        <w:gridCol w:w="1181"/>
        <w:gridCol w:w="1196"/>
      </w:tblGrid>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Negatívne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r w:rsidR="00985A14">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r>
        <w:tblPrEx>
          <w:tblW w:w="5000" w:type="pct"/>
          <w:tblCellMar>
            <w:left w:w="0" w:type="dxa"/>
            <w:right w:w="0" w:type="dxa"/>
          </w:tblCellMar>
          <w:tblLook w:val="00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2C2A" w:rsidP="005E1956">
            <w:pPr>
              <w:pStyle w:val="NormalWeb"/>
              <w:bidi w:val="0"/>
              <w:spacing w:before="0" w:beforeAutospacing="0" w:after="0" w:afterAutospacing="0" w:line="276" w:lineRule="auto"/>
              <w:jc w:val="center"/>
              <w:rPr>
                <w:rFonts w:ascii="Times New Roman" w:hAnsi="Times New Roman"/>
              </w:rPr>
            </w:pPr>
            <w:r>
              <w:rPr>
                <w:rFonts w:ascii="Times New Roman" w:hAnsi="Times New Roman"/>
                <w:color w:val="000000"/>
              </w:rPr>
              <w:t> </w:t>
            </w:r>
          </w:p>
        </w:tc>
      </w:tr>
    </w:tbl>
    <w:p w:rsidR="00B32C2A" w:rsidP="00B32C2A">
      <w:pPr>
        <w:pStyle w:val="NormalWeb"/>
        <w:bidi w:val="0"/>
        <w:spacing w:before="0" w:beforeAutospacing="0" w:after="0" w:afterAutospacing="0" w:line="276" w:lineRule="auto"/>
        <w:rPr>
          <w:rFonts w:ascii="Times New Roman" w:hAnsi="Times New Roman"/>
        </w:rPr>
      </w:pPr>
      <w:r>
        <w:rPr>
          <w:rFonts w:ascii="Times New Roman" w:hAnsi="Times New Roman"/>
          <w:color w:val="000000"/>
        </w:rPr>
        <w:t> </w:t>
      </w:r>
    </w:p>
    <w:p w:rsidR="00B32C2A" w:rsidP="00B32C2A">
      <w:pPr>
        <w:pStyle w:val="NormalWeb"/>
        <w:bidi w:val="0"/>
        <w:spacing w:before="0" w:beforeAutospacing="0" w:after="0" w:afterAutospacing="0" w:line="276" w:lineRule="auto"/>
        <w:jc w:val="both"/>
        <w:rPr>
          <w:rFonts w:ascii="Times New Roman" w:hAnsi="Times New Roman"/>
        </w:rPr>
      </w:pPr>
      <w:r>
        <w:rPr>
          <w:rFonts w:ascii="Times New Roman" w:hAnsi="Times New Roman"/>
          <w:b/>
          <w:bCs/>
          <w:color w:val="000000"/>
        </w:rPr>
        <w:t> </w:t>
      </w:r>
    </w:p>
    <w:p w:rsidR="00B32C2A" w:rsidP="00B32C2A">
      <w:pPr>
        <w:pStyle w:val="NormalWeb"/>
        <w:bidi w:val="0"/>
        <w:spacing w:before="0" w:beforeAutospacing="0" w:after="0" w:afterAutospacing="0" w:line="276" w:lineRule="auto"/>
        <w:jc w:val="both"/>
        <w:rPr>
          <w:rFonts w:ascii="Times New Roman" w:hAnsi="Times New Roman"/>
          <w:b/>
          <w:bCs/>
          <w:color w:val="000000"/>
        </w:rPr>
      </w:pPr>
      <w:r>
        <w:rPr>
          <w:rFonts w:ascii="Times New Roman" w:hAnsi="Times New Roman"/>
          <w:b/>
          <w:bCs/>
          <w:color w:val="000000"/>
        </w:rPr>
        <w:t>A.3. Poznámky</w:t>
      </w:r>
    </w:p>
    <w:p w:rsidR="00B32C2A" w:rsidP="00B32C2A">
      <w:pPr>
        <w:pStyle w:val="NormalWeb"/>
        <w:bidi w:val="0"/>
        <w:spacing w:before="0" w:beforeAutospacing="0" w:after="0" w:afterAutospacing="0" w:line="276" w:lineRule="auto"/>
        <w:jc w:val="both"/>
        <w:rPr>
          <w:rFonts w:ascii="Times New Roman" w:hAnsi="Times New Roman"/>
          <w:iCs/>
          <w:color w:val="000000"/>
        </w:rPr>
      </w:pPr>
    </w:p>
    <w:p w:rsidR="00B32C2A" w:rsidP="00B32C2A">
      <w:pPr>
        <w:pStyle w:val="NormalWeb"/>
        <w:bidi w:val="0"/>
        <w:spacing w:before="0" w:beforeAutospacing="0" w:after="0" w:afterAutospacing="0" w:line="276" w:lineRule="auto"/>
        <w:jc w:val="both"/>
        <w:rPr>
          <w:rFonts w:ascii="Times New Roman" w:hAnsi="Times New Roman"/>
        </w:rPr>
      </w:pPr>
      <w:r>
        <w:rPr>
          <w:rFonts w:ascii="Times New Roman" w:hAnsi="Times New Roman"/>
          <w:i/>
          <w:iCs/>
          <w:color w:val="000000"/>
        </w:rPr>
        <w:t xml:space="preserve">      </w:t>
      </w:r>
    </w:p>
    <w:p w:rsidR="00B32C2A" w:rsidP="00B32C2A">
      <w:pPr>
        <w:pStyle w:val="NormalWeb"/>
        <w:bidi w:val="0"/>
        <w:spacing w:before="0" w:beforeAutospacing="0" w:after="0" w:afterAutospacing="0" w:line="276" w:lineRule="auto"/>
        <w:jc w:val="both"/>
        <w:rPr>
          <w:rFonts w:ascii="Times New Roman" w:hAnsi="Times New Roman"/>
          <w:b/>
          <w:bCs/>
          <w:color w:val="000000"/>
        </w:rPr>
      </w:pPr>
      <w:r>
        <w:rPr>
          <w:rFonts w:ascii="Times New Roman" w:hAnsi="Times New Roman"/>
          <w:b/>
          <w:bCs/>
          <w:color w:val="000000"/>
        </w:rPr>
        <w:t>A.4. Alternatívne riešenia</w:t>
      </w:r>
    </w:p>
    <w:p w:rsidR="00B32C2A" w:rsidP="00B32C2A">
      <w:pPr>
        <w:pStyle w:val="NormalWeb"/>
        <w:bidi w:val="0"/>
        <w:spacing w:before="0" w:beforeAutospacing="0" w:after="0" w:afterAutospacing="0" w:line="276" w:lineRule="auto"/>
        <w:jc w:val="both"/>
        <w:rPr>
          <w:rFonts w:ascii="Times New Roman" w:hAnsi="Times New Roman"/>
          <w:b/>
          <w:bCs/>
          <w:color w:val="000000"/>
        </w:rPr>
      </w:pPr>
      <w:r>
        <w:rPr>
          <w:rFonts w:ascii="Times New Roman" w:hAnsi="Times New Roman"/>
          <w:b/>
          <w:bCs/>
          <w:color w:val="000000"/>
        </w:rPr>
        <w:t> </w:t>
      </w:r>
    </w:p>
    <w:p w:rsidR="00B32C2A" w:rsidP="00B32C2A">
      <w:pPr>
        <w:pStyle w:val="NormalWeb"/>
        <w:bidi w:val="0"/>
        <w:spacing w:before="0" w:beforeAutospacing="0" w:after="0" w:afterAutospacing="0" w:line="276" w:lineRule="auto"/>
        <w:jc w:val="both"/>
        <w:rPr>
          <w:rFonts w:ascii="Times New Roman" w:hAnsi="Times New Roman"/>
        </w:rPr>
      </w:pPr>
    </w:p>
    <w:p w:rsidR="00B32C2A" w:rsidP="00B32C2A">
      <w:pPr>
        <w:pStyle w:val="NormalWeb"/>
        <w:bidi w:val="0"/>
        <w:spacing w:before="0" w:beforeAutospacing="0" w:after="0" w:afterAutospacing="0" w:line="276" w:lineRule="auto"/>
        <w:jc w:val="both"/>
        <w:rPr>
          <w:rFonts w:ascii="Times New Roman" w:hAnsi="Times New Roman"/>
          <w:b/>
          <w:bCs/>
          <w:color w:val="000000"/>
        </w:rPr>
      </w:pPr>
      <w:r>
        <w:rPr>
          <w:rFonts w:ascii="Times New Roman" w:hAnsi="Times New Roman"/>
          <w:b/>
          <w:bCs/>
          <w:color w:val="000000"/>
        </w:rPr>
        <w:t>A.5. Stanovisko gestorov</w:t>
      </w:r>
    </w:p>
    <w:p w:rsidR="00B32C2A" w:rsidP="00B32C2A">
      <w:pPr>
        <w:pStyle w:val="NormalWeb"/>
        <w:bidi w:val="0"/>
        <w:spacing w:before="0" w:beforeAutospacing="0" w:after="0" w:afterAutospacing="0" w:line="276" w:lineRule="auto"/>
        <w:jc w:val="both"/>
        <w:rPr>
          <w:rFonts w:ascii="Times New Roman" w:hAnsi="Times New Roman"/>
        </w:rPr>
      </w:pPr>
    </w:p>
    <w:p w:rsidR="00B32C2A" w:rsidP="00B32C2A">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B32C2A" w:rsidP="005727BF">
      <w:pPr>
        <w:bidi w:val="0"/>
        <w:jc w:val="center"/>
        <w:rPr>
          <w:rFonts w:ascii="Times New Roman" w:hAnsi="Times New Roman"/>
          <w:b/>
          <w:bCs/>
          <w:sz w:val="28"/>
          <w:szCs w:val="28"/>
        </w:rPr>
      </w:pPr>
    </w:p>
    <w:p w:rsidR="00B32C2A" w:rsidP="005727BF">
      <w:pPr>
        <w:bidi w:val="0"/>
        <w:jc w:val="center"/>
        <w:rPr>
          <w:rFonts w:ascii="Times New Roman" w:hAnsi="Times New Roman"/>
          <w:b/>
          <w:bCs/>
          <w:sz w:val="28"/>
          <w:szCs w:val="28"/>
        </w:rPr>
      </w:pPr>
    </w:p>
    <w:p w:rsidR="00B32C2A"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RPr="00A601EF" w:rsidP="005727BF">
      <w:pPr>
        <w:bidi w:val="0"/>
        <w:jc w:val="center"/>
        <w:rPr>
          <w:rFonts w:ascii="Times New Roman" w:hAnsi="Times New Roman"/>
        </w:rPr>
      </w:pPr>
      <w:r w:rsidRPr="00A601EF">
        <w:rPr>
          <w:rFonts w:ascii="Times New Roman" w:hAnsi="Times New Roman"/>
          <w:b/>
          <w:bCs/>
          <w:sz w:val="28"/>
          <w:szCs w:val="28"/>
        </w:rPr>
        <w:t>Vplyvy na rozpočet verejnej správy,</w:t>
      </w:r>
    </w:p>
    <w:p w:rsidR="005727BF" w:rsidRPr="00A601EF" w:rsidP="005727BF">
      <w:pPr>
        <w:bidi w:val="0"/>
        <w:jc w:val="center"/>
        <w:rPr>
          <w:rFonts w:ascii="Times New Roman" w:hAnsi="Times New Roman"/>
        </w:rPr>
      </w:pPr>
      <w:r w:rsidRPr="00A601EF">
        <w:rPr>
          <w:rFonts w:ascii="Times New Roman" w:hAnsi="Times New Roman"/>
          <w:b/>
          <w:bCs/>
          <w:sz w:val="28"/>
          <w:szCs w:val="28"/>
        </w:rPr>
        <w:t>na zamestnanosť vo verejnej správe a financovanie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2.1. Zhrnutie vplyvov na rozpočet verejnej správy v návrhu</w:t>
      </w:r>
    </w:p>
    <w:p w:rsidR="005727BF" w:rsidRPr="00A601EF" w:rsidP="005727BF">
      <w:pPr>
        <w:bidi w:val="0"/>
        <w:jc w:val="right"/>
        <w:rPr>
          <w:rFonts w:ascii="Times New Roman" w:hAnsi="Times New Roman"/>
        </w:rPr>
      </w:pPr>
      <w:r w:rsidRPr="00A601EF">
        <w:rPr>
          <w:rFonts w:ascii="Times New Roman" w:hAnsi="Times New Roman"/>
          <w:sz w:val="20"/>
          <w:szCs w:val="20"/>
        </w:rPr>
        <w:t xml:space="preserve">Tabuľka č. 1 </w:t>
      </w:r>
    </w:p>
    <w:tbl>
      <w:tblPr>
        <w:tblStyle w:val="TableNormal"/>
        <w:tblW w:w="9250" w:type="dxa"/>
        <w:tblCellMar>
          <w:left w:w="0" w:type="dxa"/>
          <w:right w:w="0" w:type="dxa"/>
        </w:tblCellMar>
      </w:tblPr>
      <w:tblGrid>
        <w:gridCol w:w="4210"/>
        <w:gridCol w:w="1080"/>
        <w:gridCol w:w="1260"/>
        <w:gridCol w:w="1440"/>
        <w:gridCol w:w="1260"/>
      </w:tblGrid>
      <w:tr>
        <w:tblPrEx>
          <w:tblW w:w="9250" w:type="dxa"/>
          <w:tblCellMar>
            <w:left w:w="0" w:type="dxa"/>
            <w:right w:w="0" w:type="dxa"/>
          </w:tblCellMar>
        </w:tblPrEx>
        <w:trPr>
          <w:trHeight w:val="194"/>
        </w:trPr>
        <w:tc>
          <w:tcPr>
            <w:tcW w:w="421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194" w:lineRule="atLeast"/>
              <w:jc w:val="center"/>
              <w:rPr>
                <w:rFonts w:ascii="Times New Roman" w:hAnsi="Times New Roman"/>
              </w:rPr>
            </w:pPr>
            <w:bookmarkStart w:id="0" w:name="OLE_LINK1"/>
            <w:bookmarkEnd w:id="0"/>
            <w:r w:rsidRPr="00A601EF">
              <w:rPr>
                <w:rFonts w:ascii="Times New Roman" w:hAnsi="Times New Roman"/>
                <w:b/>
                <w:bCs/>
                <w:color w:val="FFFFFF"/>
              </w:rPr>
              <w:t xml:space="preserve">Vplyvy na </w:t>
            </w:r>
            <w:r w:rsidRPr="00A601EF">
              <w:rPr>
                <w:rFonts w:ascii="Times New Roman" w:hAnsi="Times New Roman"/>
                <w:b/>
                <w:bCs/>
              </w:rPr>
              <w:t>rozpočet verejnej správy</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194" w:lineRule="atLeast"/>
              <w:jc w:val="center"/>
              <w:rPr>
                <w:rFonts w:ascii="Times New Roman" w:hAnsi="Times New Roman"/>
              </w:rPr>
            </w:pPr>
            <w:r w:rsidRPr="00A601EF">
              <w:rPr>
                <w:rFonts w:ascii="Times New Roman" w:hAnsi="Times New Roman"/>
                <w:b/>
                <w:bCs/>
                <w:color w:val="FFFFFF"/>
              </w:rPr>
              <w:t xml:space="preserve">Vplyv na rozpočet verejnej správy </w:t>
            </w:r>
            <w:r w:rsidRPr="00A601EF">
              <w:rPr>
                <w:rFonts w:ascii="Times New Roman" w:hAnsi="Times New Roman"/>
                <w:b/>
                <w:bCs/>
              </w:rPr>
              <w:t>(v eurách)</w:t>
            </w:r>
          </w:p>
        </w:tc>
      </w:tr>
      <w:tr>
        <w:tblPrEx>
          <w:tblW w:w="9250" w:type="dxa"/>
          <w:tblCellMar>
            <w:left w:w="0" w:type="dxa"/>
            <w:right w:w="0" w:type="dxa"/>
          </w:tblCellMar>
        </w:tblPrEx>
        <w:trPr>
          <w:trHeight w:val="422"/>
        </w:trPr>
        <w:tc>
          <w:tcPr>
            <w:tcW w:w="421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b/>
                <w:bCs/>
                <w:sz w:val="20"/>
                <w:szCs w:val="20"/>
              </w:rPr>
            </w:pPr>
            <w:r w:rsidRPr="00A601EF">
              <w:rPr>
                <w:rFonts w:ascii="Times New Roman" w:hAnsi="Times New Roman"/>
                <w:b/>
                <w:bCs/>
                <w:sz w:val="20"/>
                <w:szCs w:val="20"/>
              </w:rPr>
              <w:t>r. 201</w:t>
            </w:r>
            <w:r>
              <w:rPr>
                <w:rFonts w:ascii="Times New Roman" w:hAnsi="Times New Roman"/>
                <w:b/>
                <w:bCs/>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rPr>
              <w:t>Príjmy verejnej správy celkom</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sidRPr="00675F4F">
              <w:rPr>
                <w:rFonts w:ascii="Times New Roman" w:hAnsi="Times New Roman"/>
                <w:bCs/>
              </w:rPr>
              <w:t>?</w:t>
            </w:r>
          </w:p>
        </w:tc>
      </w:tr>
      <w:tr>
        <w:tblPrEx>
          <w:tblW w:w="9250" w:type="dxa"/>
          <w:tblCellMar>
            <w:left w:w="0" w:type="dxa"/>
            <w:right w:w="0" w:type="dxa"/>
          </w:tblCellMar>
        </w:tblPrEx>
        <w:trPr>
          <w:trHeight w:val="132"/>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32" w:lineRule="atLeast"/>
              <w:rPr>
                <w:rFonts w:ascii="Times New Roman" w:hAnsi="Times New Roman"/>
              </w:rPr>
            </w:pPr>
            <w:r w:rsidRPr="00A601EF">
              <w:rPr>
                <w:rFonts w:ascii="Times New Roman" w:hAnsi="Times New Roman"/>
              </w:rPr>
              <w:t>v tom: za každý subjekt verejnej správy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32"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32"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32"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132"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i/>
                <w:iCs/>
              </w:rPr>
              <w:t xml:space="preserve">z toho: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25" w:lineRule="atLeast"/>
              <w:rPr>
                <w:rFonts w:ascii="Times New Roman" w:hAnsi="Times New Roman"/>
              </w:rPr>
            </w:pPr>
            <w:r w:rsidRPr="00A601EF">
              <w:rPr>
                <w:rFonts w:ascii="Times New Roman" w:hAnsi="Times New Roman"/>
                <w:b/>
                <w:bCs/>
                <w:i/>
                <w:iCs/>
              </w:rPr>
              <w:t>- vplyv na ŠR</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125"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25" w:lineRule="atLeast"/>
              <w:rPr>
                <w:rFonts w:ascii="Times New Roman" w:hAnsi="Times New Roman"/>
              </w:rPr>
            </w:pPr>
            <w:r w:rsidRPr="00A601EF">
              <w:rPr>
                <w:rFonts w:ascii="Times New Roman" w:hAnsi="Times New Roman"/>
                <w:b/>
                <w:bCs/>
                <w:i/>
                <w:iCs/>
              </w:rPr>
              <w:t>- vplyv na územnú samosprávu</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125"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line="125" w:lineRule="atLeast"/>
              <w:rPr>
                <w:rFonts w:ascii="Times New Roman" w:hAnsi="Times New Roman"/>
              </w:rPr>
            </w:pPr>
            <w:r w:rsidRPr="00A601EF">
              <w:rPr>
                <w:rFonts w:ascii="Times New Roman" w:hAnsi="Times New Roman"/>
                <w:b/>
                <w:bCs/>
              </w:rPr>
              <w:t>Výdavky verejnej správy celkom</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bCs/>
              </w:rPr>
            </w:pPr>
            <w:r>
              <w:rPr>
                <w:rFonts w:ascii="Times New Roman" w:hAnsi="Times New Roman"/>
                <w:bCs/>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line="125"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rPr>
              <w:t>v tom: za každý subjekt verejnej správy / program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i/>
                <w:iCs/>
              </w:rPr>
              <w:t xml:space="preserve">z toho: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i/>
                <w:iCs/>
              </w:rPr>
              <w:t>- vplyv na ŠR</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125" w:lineRule="atLeast"/>
              <w:jc w:val="center"/>
              <w:rPr>
                <w:rFonts w:ascii="Times New Roman" w:hAnsi="Times New Roman"/>
              </w:rPr>
            </w:pP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25" w:lineRule="atLeast"/>
              <w:rPr>
                <w:rFonts w:ascii="Times New Roman" w:hAnsi="Times New Roman"/>
              </w:rPr>
            </w:pPr>
            <w:r w:rsidRPr="00A601EF">
              <w:rPr>
                <w:rFonts w:ascii="Times New Roman" w:hAnsi="Times New Roman"/>
                <w:b/>
                <w:bCs/>
                <w:i/>
                <w:iCs/>
              </w:rPr>
              <w:t>- vplyv na územnú samosprávu</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125" w:lineRule="atLeast"/>
              <w:jc w:val="center"/>
              <w:rPr>
                <w:rFonts w:ascii="Times New Roman" w:hAnsi="Times New Roman"/>
                <w:bCs/>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125" w:lineRule="atLeast"/>
              <w:jc w:val="center"/>
              <w:rPr>
                <w:rFonts w:ascii="Times New Roman" w:hAnsi="Times New Roman"/>
                <w:bCs/>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rPr>
              <w:t xml:space="preserve">Celková zamestnanosť </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i/>
                <w:iCs/>
              </w:rPr>
              <w:t>- z toho vplyv na ŠR</w:t>
            </w:r>
            <w:r w:rsidRPr="00A601EF">
              <w:rPr>
                <w:rFonts w:ascii="Times New Roman" w:hAnsi="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rPr>
              <w:t>Financovanie zabezpečené v rozpočte</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rPr>
              <w:t>v tom: za každý subjekt verejnej správy / program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center"/>
              <w:rPr>
                <w:rFonts w:ascii="Times New Roman" w:hAnsi="Times New Roman"/>
              </w:rPr>
            </w:pPr>
          </w:p>
        </w:tc>
      </w:tr>
      <w:tr>
        <w:tblPrEx>
          <w:tblW w:w="9250" w:type="dxa"/>
          <w:tblCellMar>
            <w:left w:w="0" w:type="dxa"/>
            <w:right w:w="0" w:type="dxa"/>
          </w:tblCellMar>
        </w:tblPrEx>
        <w:tc>
          <w:tcPr>
            <w:tcW w:w="421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08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44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r>
    </w:tbl>
    <w:p w:rsidR="005727B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2.2. Financovanie návrhu</w:t>
      </w:r>
    </w:p>
    <w:p w:rsidR="005727BF" w:rsidRPr="00A601EF" w:rsidP="005727BF">
      <w:pPr>
        <w:bidi w:val="0"/>
        <w:jc w:val="right"/>
        <w:rPr>
          <w:rFonts w:ascii="Times New Roman" w:hAnsi="Times New Roman"/>
        </w:rPr>
      </w:pPr>
      <w:r w:rsidRPr="00A601EF">
        <w:rPr>
          <w:rFonts w:ascii="Times New Roman" w:hAnsi="Times New Roman"/>
          <w:sz w:val="20"/>
          <w:szCs w:val="20"/>
        </w:rPr>
        <w:t>Tabuľka č. 2</w:t>
      </w:r>
    </w:p>
    <w:tbl>
      <w:tblPr>
        <w:tblStyle w:val="TableNormal"/>
        <w:tblW w:w="9360" w:type="dxa"/>
        <w:tblCellMar>
          <w:left w:w="0" w:type="dxa"/>
          <w:right w:w="0" w:type="dxa"/>
        </w:tblCellMar>
      </w:tblPr>
      <w:tblGrid>
        <w:gridCol w:w="4030"/>
        <w:gridCol w:w="1260"/>
        <w:gridCol w:w="1260"/>
        <w:gridCol w:w="1440"/>
        <w:gridCol w:w="1370"/>
      </w:tblGrid>
      <w:tr>
        <w:tblPrEx>
          <w:tblW w:w="9360" w:type="dxa"/>
          <w:tblCellMar>
            <w:left w:w="0" w:type="dxa"/>
            <w:right w:w="0" w:type="dxa"/>
          </w:tblCellMar>
        </w:tblPrEx>
        <w:trPr>
          <w:trHeight w:val="70"/>
        </w:trPr>
        <w:tc>
          <w:tcPr>
            <w:tcW w:w="40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Financovanie</w:t>
            </w:r>
          </w:p>
        </w:tc>
        <w:tc>
          <w:tcPr>
            <w:tcW w:w="533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 xml:space="preserve">Vplyv na rozpočet verejnej správy </w:t>
            </w:r>
            <w:r w:rsidRPr="00A601EF">
              <w:rPr>
                <w:rFonts w:ascii="Times New Roman" w:hAnsi="Times New Roman"/>
                <w:b/>
                <w:bCs/>
              </w:rPr>
              <w:t>(v eurách)</w:t>
            </w:r>
          </w:p>
        </w:tc>
      </w:tr>
      <w:tr>
        <w:tblPrEx>
          <w:tblW w:w="9360" w:type="dxa"/>
          <w:tblCellMar>
            <w:left w:w="0" w:type="dxa"/>
            <w:right w:w="0" w:type="dxa"/>
          </w:tblCellMar>
        </w:tblPrEx>
        <w:trPr>
          <w:trHeight w:val="70"/>
        </w:trPr>
        <w:tc>
          <w:tcPr>
            <w:tcW w:w="403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37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r>
      <w:tr>
        <w:tblPrEx>
          <w:tblW w:w="9360" w:type="dxa"/>
          <w:tblCellMar>
            <w:left w:w="0" w:type="dxa"/>
            <w:right w:w="0" w:type="dxa"/>
          </w:tblCellMar>
        </w:tblPrEx>
        <w:trPr>
          <w:trHeight w:val="70"/>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rPr>
              <w:t>Celkový vplyv na rozpočet verejnej správy ( - príjmy, + výdavky)</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bCs/>
              </w:rPr>
            </w:pPr>
            <w:r>
              <w:rPr>
                <w:rFonts w:ascii="Times New Roman" w:hAnsi="Times New Roman"/>
                <w:bCs/>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bCs/>
              </w:rPr>
            </w:pPr>
            <w:r>
              <w:rPr>
                <w:rFonts w:ascii="Times New Roman" w:hAnsi="Times New Roman"/>
                <w:bCs/>
              </w:rPr>
              <w:t>-</w:t>
            </w:r>
          </w:p>
        </w:tc>
      </w:tr>
      <w:tr>
        <w:tblPrEx>
          <w:tblW w:w="9360" w:type="dxa"/>
          <w:tblCellMar>
            <w:left w:w="0" w:type="dxa"/>
            <w:right w:w="0" w:type="dxa"/>
          </w:tblCellMar>
        </w:tblPrEx>
        <w:trPr>
          <w:trHeight w:val="525"/>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rPr>
              <w:t>  z toho vplyv na ŠR</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r>
              <w:rPr>
                <w:rFonts w:ascii="Times New Roman" w:hAnsi="Times New Roman"/>
              </w:rPr>
              <w:t>-</w:t>
            </w:r>
          </w:p>
        </w:tc>
      </w:tr>
      <w:tr>
        <w:tblPrEx>
          <w:tblW w:w="9360" w:type="dxa"/>
          <w:tblCellMar>
            <w:left w:w="0" w:type="dxa"/>
            <w:right w:w="0" w:type="dxa"/>
          </w:tblCellMar>
        </w:tblPrEx>
        <w:trPr>
          <w:trHeight w:val="151"/>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51" w:lineRule="atLeast"/>
              <w:rPr>
                <w:rFonts w:ascii="Times New Roman" w:hAnsi="Times New Roman"/>
              </w:rPr>
            </w:pPr>
            <w:r w:rsidRPr="00A601EF">
              <w:rPr>
                <w:rFonts w:ascii="Times New Roman" w:hAnsi="Times New Roman"/>
              </w:rPr>
              <w:t>  financovanie zabezpečené v rozpočte</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r>
      <w:tr>
        <w:tblPrEx>
          <w:tblW w:w="9360" w:type="dxa"/>
          <w:tblCellMar>
            <w:left w:w="0" w:type="dxa"/>
            <w:right w:w="0" w:type="dxa"/>
          </w:tblCellMar>
        </w:tblPrEx>
        <w:trPr>
          <w:trHeight w:val="135"/>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135" w:lineRule="atLeast"/>
              <w:rPr>
                <w:rFonts w:ascii="Times New Roman" w:hAnsi="Times New Roman"/>
              </w:rPr>
            </w:pPr>
            <w:r w:rsidRPr="00A601EF">
              <w:rPr>
                <w:rFonts w:ascii="Times New Roman" w:hAnsi="Times New Roman"/>
              </w:rPr>
              <w:t>  ostatné zdroje financovania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r>
      <w:tr>
        <w:tblPrEx>
          <w:tblW w:w="9360" w:type="dxa"/>
          <w:tblCellMar>
            <w:left w:w="0" w:type="dxa"/>
            <w:right w:w="0" w:type="dxa"/>
          </w:tblCellMar>
        </w:tblPrEx>
        <w:trPr>
          <w:trHeight w:val="70"/>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line="70" w:lineRule="atLeast"/>
              <w:rPr>
                <w:rFonts w:ascii="Times New Roman" w:hAnsi="Times New Roman"/>
              </w:rPr>
            </w:pPr>
            <w:r w:rsidRPr="00A601EF">
              <w:rPr>
                <w:rFonts w:ascii="Times New Roman" w:hAnsi="Times New Roman"/>
                <w:b/>
                <w:bCs/>
              </w:rPr>
              <w:t>Rozpočtovo nekrytý vplyv / úspora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line="70" w:lineRule="atLeast"/>
              <w:jc w:val="right"/>
              <w:rPr>
                <w:rFonts w:ascii="Times New Roman" w:hAnsi="Times New Roman"/>
              </w:rPr>
            </w:pPr>
          </w:p>
        </w:tc>
      </w:tr>
      <w:tr>
        <w:tblPrEx>
          <w:tblW w:w="9360" w:type="dxa"/>
          <w:tblCellMar>
            <w:left w:w="0" w:type="dxa"/>
            <w:right w:w="0" w:type="dxa"/>
          </w:tblCellMar>
        </w:tblPrEx>
        <w:tc>
          <w:tcPr>
            <w:tcW w:w="403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44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37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r>
    </w:tbl>
    <w:p w:rsidR="005727BF" w:rsidP="005727BF">
      <w:pPr>
        <w:pStyle w:val="NormalWeb"/>
        <w:bidi w:val="0"/>
        <w:spacing w:before="0" w:beforeAutospacing="0" w:after="0" w:afterAutospacing="0"/>
        <w:jc w:val="both"/>
        <w:rPr>
          <w:rFonts w:ascii="Times New Roman" w:hAnsi="Times New Roman"/>
        </w:rPr>
      </w:pPr>
    </w:p>
    <w:p w:rsidR="005727BF" w:rsidP="005727BF">
      <w:pPr>
        <w:pStyle w:val="NormalWeb"/>
        <w:bidi w:val="0"/>
        <w:spacing w:before="0" w:beforeAutospacing="0" w:after="0" w:afterAutospacing="0"/>
        <w:jc w:val="both"/>
        <w:rPr>
          <w:rFonts w:ascii="Times New Roman" w:hAnsi="Times New Roman"/>
        </w:rPr>
      </w:pPr>
    </w:p>
    <w:p w:rsidR="005727BF" w:rsidRPr="002D380F" w:rsidP="005727BF">
      <w:pPr>
        <w:pStyle w:val="NormalWeb"/>
        <w:bidi w:val="0"/>
        <w:spacing w:before="0" w:beforeAutospacing="0" w:after="0" w:afterAutospacing="0"/>
        <w:jc w:val="both"/>
        <w:rPr>
          <w:rFonts w:ascii="Times New Roman" w:hAnsi="Times New Roman"/>
          <w:i/>
        </w:rPr>
      </w:pPr>
      <w:r w:rsidRPr="002D380F">
        <w:rPr>
          <w:rFonts w:ascii="Times New Roman" w:hAnsi="Times New Roman"/>
          <w:i/>
        </w:rPr>
        <w:t>Návrh na riešenie úbytku príjmov alebo zvýšených výdavkov podľa § 33 ods. 1 zákona                        č. 523/2004 Z. z. o rozpočtových pravidlách verejnej správy:</w:t>
      </w:r>
    </w:p>
    <w:p w:rsidR="005727BF" w:rsidRPr="006170E5" w:rsidP="005727BF">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Pr="00C618E9">
        <w:rPr>
          <w:rFonts w:ascii="Times New Roman" w:hAnsi="Times New Roman"/>
        </w:rPr>
        <w:t xml:space="preserve">Návrhom zákona </w:t>
      </w:r>
      <w:r w:rsidRPr="00C618E9" w:rsidR="00C618E9">
        <w:rPr>
          <w:rFonts w:ascii="Times New Roman" w:hAnsi="Times New Roman"/>
        </w:rPr>
        <w:t xml:space="preserve">podľa § 33 ods. 1 zákona č. 523/2004 Z. z. o rozpočtových pravidlách verejnej správy nedôjde </w:t>
      </w:r>
      <w:r w:rsidRPr="00C618E9">
        <w:rPr>
          <w:rFonts w:ascii="Times New Roman" w:hAnsi="Times New Roman"/>
        </w:rPr>
        <w:t>k úbytku príjmov ani k zvýšeniu výdavkov.</w:t>
      </w:r>
    </w:p>
    <w:p w:rsidR="005727BF" w:rsidRPr="006170E5" w:rsidP="005727BF">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RPr="00A601EF" w:rsidP="005727BF">
      <w:pPr>
        <w:bidi w:val="0"/>
        <w:rPr>
          <w:rFonts w:ascii="Times New Roman" w:hAnsi="Times New Roman"/>
        </w:rPr>
      </w:pPr>
      <w:r w:rsidRPr="00A601EF">
        <w:rPr>
          <w:rFonts w:ascii="Times New Roman" w:hAnsi="Times New Roman"/>
          <w:b/>
          <w:bCs/>
        </w:rPr>
        <w:t>2.3. Popis a charakteristika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jc w:val="both"/>
        <w:rPr>
          <w:rFonts w:ascii="Times New Roman" w:hAnsi="Times New Roman"/>
        </w:rPr>
      </w:pPr>
      <w:r w:rsidRPr="00A601EF">
        <w:rPr>
          <w:rFonts w:ascii="Times New Roman" w:hAnsi="Times New Roman"/>
          <w:b/>
          <w:bCs/>
        </w:rPr>
        <w:t>2.3.1. Popis návrhu:</w:t>
      </w:r>
    </w:p>
    <w:p w:rsidR="005727BF" w:rsidRPr="00A601EF" w:rsidP="005727BF">
      <w:pPr>
        <w:bidi w:val="0"/>
        <w:jc w:val="both"/>
        <w:rPr>
          <w:rFonts w:ascii="Times New Roman" w:hAnsi="Times New Roman"/>
        </w:rPr>
      </w:pPr>
      <w:r w:rsidRPr="00A601EF">
        <w:rPr>
          <w:rFonts w:ascii="Times New Roman" w:hAnsi="Times New Roman"/>
          <w:b/>
          <w:bCs/>
        </w:rPr>
        <w:t> </w:t>
      </w:r>
    </w:p>
    <w:p w:rsidR="005727BF" w:rsidP="005727BF">
      <w:pPr>
        <w:bidi w:val="0"/>
        <w:jc w:val="both"/>
        <w:rPr>
          <w:rFonts w:ascii="Times New Roman" w:hAnsi="Times New Roman"/>
          <w:i/>
          <w:iCs/>
        </w:rPr>
      </w:pPr>
      <w:r w:rsidRPr="00A601EF">
        <w:rPr>
          <w:rFonts w:ascii="Times New Roman" w:hAnsi="Times New Roman"/>
          <w:i/>
          <w:iCs/>
        </w:rPr>
        <w:t xml:space="preserve">Akú problematiku návrh rieši? </w:t>
      </w:r>
    </w:p>
    <w:p w:rsidR="005727BF" w:rsidRPr="00FF1529" w:rsidP="005727BF">
      <w:pPr>
        <w:bidi w:val="0"/>
        <w:jc w:val="both"/>
        <w:rPr>
          <w:rFonts w:ascii="Times New Roman" w:hAnsi="Times New Roman"/>
          <w:iCs/>
          <w:sz w:val="12"/>
          <w:szCs w:val="12"/>
        </w:rPr>
      </w:pPr>
    </w:p>
    <w:p w:rsidR="005727BF" w:rsidRPr="009641B8" w:rsidP="00985A14">
      <w:pPr>
        <w:pStyle w:val="CM4"/>
        <w:bidi w:val="0"/>
        <w:spacing w:before="60" w:after="60"/>
        <w:jc w:val="both"/>
      </w:pPr>
      <w:r w:rsidRPr="009641B8" w:rsidR="00985A14">
        <w:t>Návrh zákona má za cieľ transpozíciu smernice Európskeho parlamentu a Rady 2012/35/EÚ z 21. novembra 2012, ktorou sa mení a dopĺňa smernica 2008/106/ES o minimálnej úrovni prípravy námorníkov a smernice Európskeho parlamentu a Rady 2013/38/EÚ z 12. augusta 2013, ktorou sa mení smernica 2009/16/ES o štátnej prístavnej kontrole</w:t>
      </w:r>
      <w:r w:rsidRPr="009641B8" w:rsidR="00985A14">
        <w:t xml:space="preserve"> </w:t>
      </w:r>
      <w:r w:rsidRPr="009641B8" w:rsidR="00985A14">
        <w:t xml:space="preserve">do právneho poriadku Slovenskej republiky. </w:t>
      </w:r>
      <w:r w:rsidRPr="009641B8" w:rsidR="00985A14">
        <w:t xml:space="preserve">Návrhom zákona sa zároveň odstraňujú niektoré nedostatky súčasného právneho stavu, ktoré vyplynuli z aplikačnej praxe zákona. Ide o zmeny a doplnenia ustanovení týkajúcich sa postupov a posudzovania noriem podľa Medzinárodného dohovoru o normách výcviku, kvalifikácie a strážnej služby námorníkov (STCW) 1978 v platnom znení a technickej spôsobilosti námornej jachty. Z toho vyplynula aj zmena v ustanoveniach zákona </w:t>
      </w:r>
      <w:r w:rsidRPr="009641B8" w:rsidR="00985A14">
        <w:rPr>
          <w:bCs/>
        </w:rPr>
        <w:t xml:space="preserve">Národnej rady Slovenskej republiky č. </w:t>
      </w:r>
      <w:r w:rsidRPr="009641B8" w:rsidR="00985A14">
        <w:t>145/1995 Z. z. o správnych poplatkoch v znení neskorších predpisov.</w:t>
      </w:r>
    </w:p>
    <w:p w:rsidR="005727BF" w:rsidRPr="009641B8" w:rsidP="005727BF">
      <w:pPr>
        <w:bidi w:val="0"/>
        <w:jc w:val="both"/>
        <w:rPr>
          <w:rFonts w:ascii="Times New Roman" w:hAnsi="Times New Roman"/>
        </w:rPr>
      </w:pPr>
    </w:p>
    <w:p w:rsidR="005727BF" w:rsidRPr="009641B8" w:rsidP="005727BF">
      <w:pPr>
        <w:bidi w:val="0"/>
        <w:jc w:val="both"/>
        <w:rPr>
          <w:rFonts w:ascii="Times New Roman" w:hAnsi="Times New Roman"/>
          <w:i/>
          <w:iCs/>
        </w:rPr>
      </w:pPr>
      <w:r w:rsidRPr="009641B8">
        <w:rPr>
          <w:rFonts w:ascii="Times New Roman" w:hAnsi="Times New Roman"/>
          <w:i/>
          <w:iCs/>
        </w:rPr>
        <w:t>Kto bude návrh implementovať?</w:t>
      </w:r>
    </w:p>
    <w:p w:rsidR="005727BF" w:rsidRPr="009641B8" w:rsidP="005727BF">
      <w:pPr>
        <w:bidi w:val="0"/>
        <w:jc w:val="both"/>
        <w:rPr>
          <w:rFonts w:ascii="Times New Roman" w:hAnsi="Times New Roman"/>
          <w:iCs/>
          <w:sz w:val="12"/>
          <w:szCs w:val="12"/>
        </w:rPr>
      </w:pPr>
    </w:p>
    <w:p w:rsidR="005727BF" w:rsidRPr="009641B8" w:rsidP="005727BF">
      <w:pPr>
        <w:bidi w:val="0"/>
        <w:jc w:val="both"/>
        <w:rPr>
          <w:rFonts w:ascii="Times New Roman" w:hAnsi="Times New Roman"/>
        </w:rPr>
      </w:pPr>
      <w:r w:rsidRPr="009641B8">
        <w:rPr>
          <w:rFonts w:ascii="Times New Roman" w:hAnsi="Times New Roman"/>
        </w:rPr>
        <w:t>MDVRR SR.</w:t>
      </w:r>
    </w:p>
    <w:p w:rsidR="005727BF" w:rsidRPr="009641B8" w:rsidP="005727BF">
      <w:pPr>
        <w:bidi w:val="0"/>
        <w:jc w:val="both"/>
        <w:rPr>
          <w:rFonts w:ascii="Times New Roman" w:hAnsi="Times New Roman"/>
        </w:rPr>
      </w:pPr>
    </w:p>
    <w:p w:rsidR="005727BF" w:rsidRPr="009641B8" w:rsidP="005727BF">
      <w:pPr>
        <w:bidi w:val="0"/>
        <w:jc w:val="both"/>
        <w:rPr>
          <w:rFonts w:ascii="Times New Roman" w:hAnsi="Times New Roman"/>
          <w:i/>
          <w:iCs/>
        </w:rPr>
      </w:pPr>
      <w:r w:rsidRPr="009641B8">
        <w:rPr>
          <w:rFonts w:ascii="Times New Roman" w:hAnsi="Times New Roman"/>
          <w:i/>
          <w:iCs/>
        </w:rPr>
        <w:t>Kde sa budú služby poskytovať?</w:t>
      </w:r>
    </w:p>
    <w:p w:rsidR="005727BF" w:rsidRPr="009641B8" w:rsidP="005727BF">
      <w:pPr>
        <w:bidi w:val="0"/>
        <w:jc w:val="both"/>
        <w:rPr>
          <w:rFonts w:ascii="Times New Roman" w:hAnsi="Times New Roman"/>
          <w:i/>
          <w:iCs/>
          <w:sz w:val="12"/>
          <w:szCs w:val="12"/>
        </w:rPr>
      </w:pPr>
    </w:p>
    <w:p w:rsidR="005727BF" w:rsidRPr="00A601EF" w:rsidP="005727BF">
      <w:pPr>
        <w:bidi w:val="0"/>
        <w:rPr>
          <w:rFonts w:ascii="Times New Roman" w:hAnsi="Times New Roman"/>
        </w:rPr>
      </w:pPr>
      <w:r w:rsidRPr="009641B8">
        <w:rPr>
          <w:rFonts w:ascii="Times New Roman" w:hAnsi="Times New Roman"/>
        </w:rPr>
        <w:t xml:space="preserve">V </w:t>
      </w:r>
      <w:r w:rsidRPr="009641B8" w:rsidR="00985A14">
        <w:rPr>
          <w:rFonts w:ascii="Times New Roman" w:hAnsi="Times New Roman"/>
        </w:rPr>
        <w:t>námorn</w:t>
      </w:r>
      <w:r w:rsidRPr="009641B8">
        <w:rPr>
          <w:rFonts w:ascii="Times New Roman" w:hAnsi="Times New Roman"/>
        </w:rPr>
        <w:t>ej plavbe.</w:t>
      </w:r>
    </w:p>
    <w:p w:rsidR="005727BF" w:rsidRPr="00A601E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2.3.2. Charakteristika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r w:rsidRPr="00A601EF">
        <w:rPr>
          <w:rFonts w:ascii="Times New Roman" w:hAnsi="Times New Roman"/>
          <w:b/>
          <w:bCs/>
          <w:bdr w:val="single" w:sz="4" w:space="0" w:color="000000" w:frame="1"/>
        </w:rPr>
        <w:t> </w:t>
      </w:r>
      <w:r w:rsidR="00985A14">
        <w:rPr>
          <w:rFonts w:ascii="Times New Roman" w:hAnsi="Times New Roman"/>
          <w:b/>
          <w:bCs/>
          <w:bdr w:val="single" w:sz="4" w:space="0" w:color="000000" w:frame="1"/>
        </w:rPr>
        <w:t xml:space="preserve">  </w:t>
      </w:r>
      <w:r w:rsidRPr="00A601EF">
        <w:rPr>
          <w:rFonts w:ascii="Times New Roman" w:hAnsi="Times New Roman"/>
          <w:b/>
          <w:bCs/>
          <w:bdr w:val="single" w:sz="4" w:space="0" w:color="000000" w:frame="1"/>
        </w:rPr>
        <w:t xml:space="preserve">  </w:t>
      </w:r>
      <w:r w:rsidRPr="00A601EF">
        <w:rPr>
          <w:rFonts w:ascii="Times New Roman" w:hAnsi="Times New Roman"/>
          <w:b/>
          <w:bCs/>
        </w:rPr>
        <w:t xml:space="preserve">  </w:t>
      </w:r>
      <w:r w:rsidRPr="00A601EF">
        <w:rPr>
          <w:rFonts w:ascii="Times New Roman" w:hAnsi="Times New Roman"/>
        </w:rPr>
        <w:t>zmena sadzby</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zmena v nároku</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nová služba alebo nariadenie (alebo ich zrušenie)</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kombinovaný návrh</w:t>
      </w:r>
    </w:p>
    <w:p w:rsidR="005727BF" w:rsidRPr="00A601EF" w:rsidP="005727BF">
      <w:pPr>
        <w:bidi w:val="0"/>
        <w:rPr>
          <w:rFonts w:ascii="Times New Roman" w:hAnsi="Times New Roman"/>
        </w:rPr>
      </w:pPr>
      <w:r w:rsidRPr="00A601EF">
        <w:rPr>
          <w:rFonts w:ascii="Times New Roman" w:hAnsi="Times New Roman"/>
          <w:bdr w:val="single" w:sz="4" w:space="0" w:color="000000" w:frame="1"/>
        </w:rPr>
        <w:t> </w:t>
      </w:r>
      <w:r>
        <w:rPr>
          <w:rFonts w:ascii="Times New Roman" w:hAnsi="Times New Roman"/>
          <w:bdr w:val="single" w:sz="4" w:space="0" w:color="000000" w:frame="1"/>
        </w:rPr>
        <w:t xml:space="preserve">x  </w:t>
      </w:r>
      <w:r w:rsidRPr="00A601EF">
        <w:rPr>
          <w:rFonts w:ascii="Times New Roman" w:hAnsi="Times New Roman"/>
        </w:rPr>
        <w:t xml:space="preserve">  iné </w:t>
      </w:r>
    </w:p>
    <w:p w:rsidR="005727B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rPr>
        <w:t> </w:t>
      </w:r>
      <w:r w:rsidRPr="00A601EF">
        <w:rPr>
          <w:rFonts w:ascii="Times New Roman" w:hAnsi="Times New Roman"/>
          <w:b/>
          <w:bCs/>
        </w:rPr>
        <w:t>2.3.3. Predpoklady vývoja objemu aktivít:</w:t>
      </w:r>
    </w:p>
    <w:p w:rsidR="005727BF" w:rsidRPr="00A601EF" w:rsidP="005727BF">
      <w:pPr>
        <w:bidi w:val="0"/>
        <w:rPr>
          <w:rFonts w:ascii="Times New Roman" w:hAnsi="Times New Roman"/>
        </w:rPr>
      </w:pPr>
      <w:r w:rsidRPr="00A601EF">
        <w:rPr>
          <w:rFonts w:ascii="Times New Roman" w:hAnsi="Times New Roman"/>
        </w:rPr>
        <w:t> </w:t>
      </w:r>
    </w:p>
    <w:p w:rsidR="005727BF" w:rsidRPr="002D380F" w:rsidP="005727BF">
      <w:pPr>
        <w:bidi w:val="0"/>
        <w:ind w:firstLine="708"/>
        <w:jc w:val="both"/>
        <w:rPr>
          <w:rFonts w:ascii="Times New Roman" w:hAnsi="Times New Roman"/>
          <w:i/>
        </w:rPr>
      </w:pPr>
      <w:r w:rsidRPr="002D380F">
        <w:rPr>
          <w:rFonts w:ascii="Times New Roman" w:hAnsi="Times New Roman"/>
          <w:i/>
        </w:rPr>
        <w:t>Jasne popíšte, v prípade potreby použite nižšie uvedenú tabuľku. Uveďte aj odhady základov daní a/alebo poplatkov, ak sa ich táto zmena týka.</w:t>
      </w:r>
    </w:p>
    <w:p w:rsidR="005727BF" w:rsidRPr="00A601EF" w:rsidP="005727BF">
      <w:pPr>
        <w:bidi w:val="0"/>
        <w:ind w:firstLine="708"/>
        <w:jc w:val="both"/>
        <w:rPr>
          <w:rFonts w:ascii="Times New Roman" w:hAnsi="Times New Roman"/>
        </w:rPr>
      </w:pPr>
    </w:p>
    <w:p w:rsidR="005727BF" w:rsidRPr="00A601EF" w:rsidP="005727BF">
      <w:pPr>
        <w:bidi w:val="0"/>
        <w:jc w:val="right"/>
        <w:rPr>
          <w:rFonts w:ascii="Times New Roman" w:hAnsi="Times New Roman"/>
        </w:rPr>
      </w:pPr>
      <w:r w:rsidRPr="00A601EF">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line="70" w:lineRule="atLeast"/>
              <w:jc w:val="center"/>
              <w:rPr>
                <w:rFonts w:ascii="Times New Roman" w:hAnsi="Times New Roman"/>
              </w:rPr>
            </w:pPr>
            <w:r w:rsidRPr="00A601EF">
              <w:rPr>
                <w:rFonts w:ascii="Times New Roman" w:hAnsi="Times New Roman"/>
                <w:b/>
                <w:bCs/>
                <w:color w:val="FFFFFF"/>
              </w:rPr>
              <w:t>r + 3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rPr>
                <w:rFonts w:ascii="Times New Roman" w:hAnsi="Times New Roman"/>
              </w:rPr>
            </w:pPr>
            <w:r w:rsidRPr="00A601EF">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rPr>
                <w:rFonts w:ascii="Times New Roman" w:hAnsi="Times New Roman"/>
              </w:rPr>
            </w:pPr>
            <w:r w:rsidRPr="00A601EF">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rPr>
                <w:rFonts w:ascii="Times New Roman" w:hAnsi="Times New Roman"/>
              </w:rPr>
            </w:pPr>
            <w:r w:rsidRPr="00A601EF">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r>
    </w:tbl>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r w:rsidRPr="00A601EF">
        <w:rPr>
          <w:rFonts w:ascii="Times New Roman" w:hAnsi="Times New Roman"/>
          <w:b/>
          <w:bCs/>
        </w:rPr>
        <w:t>2.3.4. Výpočty vplyvov na verejné financie</w:t>
      </w:r>
    </w:p>
    <w:p w:rsidR="005727BF" w:rsidRPr="00A601EF" w:rsidP="005727BF">
      <w:pPr>
        <w:bidi w:val="0"/>
        <w:rPr>
          <w:rFonts w:ascii="Times New Roman" w:hAnsi="Times New Roman"/>
        </w:rPr>
      </w:pPr>
      <w:r w:rsidRPr="00A601EF">
        <w:rPr>
          <w:rFonts w:ascii="Times New Roman" w:hAnsi="Times New Roman"/>
        </w:rPr>
        <w:t> </w:t>
      </w:r>
    </w:p>
    <w:p w:rsidR="005727BF" w:rsidP="005727BF">
      <w:pPr>
        <w:bidi w:val="0"/>
        <w:ind w:firstLine="708"/>
        <w:jc w:val="both"/>
        <w:rPr>
          <w:rFonts w:ascii="Times New Roman" w:hAnsi="Times New Roman"/>
          <w:i/>
        </w:rPr>
      </w:pPr>
      <w:r w:rsidRPr="002D380F">
        <w:rPr>
          <w:rFonts w:ascii="Times New Roman" w:hAnsi="Times New Roman"/>
          <w:i/>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727BF" w:rsidP="005727BF">
      <w:pPr>
        <w:bidi w:val="0"/>
        <w:jc w:val="both"/>
        <w:rPr>
          <w:rFonts w:ascii="Times New Roman" w:hAnsi="Times New Roman"/>
        </w:rPr>
      </w:pPr>
    </w:p>
    <w:p w:rsidR="005727BF" w:rsidP="005727BF">
      <w:pPr>
        <w:bidi w:val="0"/>
        <w:jc w:val="both"/>
        <w:rPr>
          <w:rFonts w:ascii="Times New Roman" w:hAnsi="Times New Roman"/>
        </w:rPr>
      </w:pPr>
      <w:r>
        <w:rPr>
          <w:rFonts w:ascii="Times New Roman" w:hAnsi="Times New Roman"/>
          <w:color w:val="000000"/>
        </w:rPr>
        <w:t xml:space="preserve">Predložený návrh pozitívne ovplyvní rozpočet verejnej správy zvýšením príjmov z nových správnych poplatkov. Pri nových poplatkoch </w:t>
      </w:r>
      <w:r>
        <w:rPr>
          <w:rFonts w:ascii="Times New Roman" w:hAnsi="Times New Roman"/>
        </w:rPr>
        <w:t>v  položk</w:t>
      </w:r>
      <w:r w:rsidR="00985A14">
        <w:rPr>
          <w:rFonts w:ascii="Times New Roman" w:hAnsi="Times New Roman"/>
        </w:rPr>
        <w:t>e</w:t>
      </w:r>
      <w:r>
        <w:rPr>
          <w:rFonts w:ascii="Times New Roman" w:hAnsi="Times New Roman"/>
        </w:rPr>
        <w:t xml:space="preserve"> správnych poplatkov č. </w:t>
      </w:r>
      <w:r w:rsidR="00985A14">
        <w:rPr>
          <w:rFonts w:ascii="Times New Roman" w:hAnsi="Times New Roman"/>
        </w:rPr>
        <w:t>97</w:t>
      </w:r>
      <w:r>
        <w:rPr>
          <w:rFonts w:ascii="Times New Roman" w:hAnsi="Times New Roman"/>
        </w:rPr>
        <w:t xml:space="preserve"> </w:t>
      </w:r>
      <w:r>
        <w:rPr>
          <w:rFonts w:ascii="Times New Roman" w:hAnsi="Times New Roman"/>
          <w:color w:val="000000"/>
        </w:rPr>
        <w:t xml:space="preserve">ide o poplatky za </w:t>
      </w:r>
      <w:r w:rsidR="00985A14">
        <w:rPr>
          <w:rFonts w:ascii="Times New Roman" w:hAnsi="Times New Roman"/>
        </w:rPr>
        <w:t>v</w:t>
      </w:r>
      <w:r w:rsidRPr="00FA2B3F" w:rsidR="00985A14">
        <w:rPr>
          <w:rFonts w:ascii="Times New Roman" w:hAnsi="Times New Roman"/>
        </w:rPr>
        <w:t>ydanie preukazu odbornej spôsobilosti</w:t>
      </w:r>
      <w:r w:rsidR="00985A14">
        <w:rPr>
          <w:rFonts w:ascii="Times New Roman" w:hAnsi="Times New Roman"/>
        </w:rPr>
        <w:t xml:space="preserve"> člena posádky námornej jacht</w:t>
      </w:r>
      <w:r w:rsidR="00C618E9">
        <w:rPr>
          <w:rFonts w:ascii="Times New Roman" w:hAnsi="Times New Roman"/>
        </w:rPr>
        <w:t>y</w:t>
      </w:r>
      <w:r w:rsidR="00985A14">
        <w:rPr>
          <w:rFonts w:ascii="Times New Roman" w:hAnsi="Times New Roman"/>
        </w:rPr>
        <w:t xml:space="preserve"> a </w:t>
      </w:r>
      <w:r w:rsidRPr="006C2A8E" w:rsidR="00985A14">
        <w:rPr>
          <w:rFonts w:ascii="Times New Roman" w:hAnsi="Times New Roman"/>
        </w:rPr>
        <w:t>vykonanie zmien v registri námorných jácht vrátanie vydania registračného listu</w:t>
      </w:r>
      <w:r w:rsidR="00985A14">
        <w:rPr>
          <w:rFonts w:ascii="Times New Roman" w:hAnsi="Times New Roman"/>
        </w:rPr>
        <w:t xml:space="preserve">. </w:t>
      </w:r>
    </w:p>
    <w:p w:rsidR="005727BF" w:rsidP="005727BF">
      <w:pPr>
        <w:bidi w:val="0"/>
        <w:jc w:val="both"/>
        <w:rPr>
          <w:rFonts w:ascii="Times New Roman" w:hAnsi="Times New Roman"/>
          <w:color w:val="000000"/>
        </w:rPr>
      </w:pPr>
      <w:r>
        <w:rPr>
          <w:rFonts w:ascii="Times New Roman" w:hAnsi="Times New Roman"/>
        </w:rPr>
        <w:t>Predpokladá sa, že suma, ktorá pozitívne ovplyvní rozpočet verejnej správy pri výbere nových správnych poplatkov, bude</w:t>
      </w:r>
      <w:r>
        <w:rPr>
          <w:rFonts w:ascii="Times New Roman" w:hAnsi="Times New Roman"/>
          <w:color w:val="000000"/>
        </w:rPr>
        <w:t xml:space="preserve"> predstavovať približne </w:t>
      </w:r>
      <w:r w:rsidRPr="00C618E9" w:rsidR="00C618E9">
        <w:rPr>
          <w:rFonts w:ascii="Times New Roman" w:hAnsi="Times New Roman"/>
          <w:color w:val="000000"/>
        </w:rPr>
        <w:t>1</w:t>
      </w:r>
      <w:r w:rsidRPr="00C618E9">
        <w:rPr>
          <w:rFonts w:ascii="Times New Roman" w:hAnsi="Times New Roman"/>
          <w:color w:val="000000"/>
        </w:rPr>
        <w:t>000,-</w:t>
      </w:r>
      <w:r>
        <w:rPr>
          <w:rFonts w:ascii="Times New Roman" w:hAnsi="Times New Roman"/>
          <w:color w:val="000000"/>
        </w:rPr>
        <w:t xml:space="preserve"> eur ročne, čo je z makroekonomického hľadiska zanedbateľné</w:t>
      </w:r>
      <w:r w:rsidRPr="00D01D30">
        <w:rPr>
          <w:rFonts w:ascii="Times New Roman" w:hAnsi="Times New Roman"/>
        </w:rPr>
        <w:t xml:space="preserve"> </w:t>
      </w:r>
      <w:r>
        <w:rPr>
          <w:rFonts w:ascii="Times New Roman" w:hAnsi="Times New Roman"/>
        </w:rPr>
        <w:t>a týka sa malej skupiny fyzických osôb a malej skupiny právnických osôb</w:t>
      </w:r>
      <w:r>
        <w:rPr>
          <w:rFonts w:ascii="Times New Roman" w:hAnsi="Times New Roman"/>
          <w:color w:val="000000"/>
        </w:rPr>
        <w:t>.</w:t>
      </w:r>
    </w:p>
    <w:p w:rsidR="005727BF" w:rsidP="005727BF">
      <w:pPr>
        <w:bidi w:val="0"/>
        <w:jc w:val="both"/>
        <w:rPr>
          <w:rFonts w:ascii="Times New Roman" w:hAnsi="Times New Roman"/>
          <w:color w:val="000000"/>
        </w:rPr>
      </w:pPr>
      <w:r>
        <w:rPr>
          <w:rFonts w:ascii="Times New Roman" w:hAnsi="Times New Roman"/>
          <w:color w:val="000000"/>
        </w:rPr>
        <w:t>Pre výpočet presnejšej hodnoty však nie sú k dispozícii údaje, ktoré nie je možné pre konkrétne zmeny uviesť ani odhadom, keďže ide o nové správne poplatky.</w:t>
      </w:r>
    </w:p>
    <w:p w:rsidR="005727BF" w:rsidP="005727BF">
      <w:pPr>
        <w:bidi w:val="0"/>
        <w:jc w:val="both"/>
        <w:rPr>
          <w:rFonts w:ascii="Times New Roman" w:hAnsi="Times New Roman"/>
          <w:color w:val="000000"/>
        </w:rPr>
      </w:pPr>
    </w:p>
    <w:p w:rsidR="005727BF" w:rsidP="005727BF">
      <w:pPr>
        <w:bidi w:val="0"/>
        <w:jc w:val="both"/>
        <w:rPr>
          <w:rFonts w:ascii="Times New Roman" w:hAnsi="Times New Roman"/>
          <w:color w:val="000000"/>
        </w:rPr>
      </w:pPr>
    </w:p>
    <w:p w:rsidR="005727BF" w:rsidRPr="007B3C71" w:rsidP="005727BF">
      <w:pPr>
        <w:bidi w:val="0"/>
        <w:jc w:val="both"/>
        <w:rPr>
          <w:rFonts w:ascii="Times New Roman" w:hAnsi="Times New Roman"/>
          <w:color w:val="000000"/>
        </w:rPr>
        <w:sectPr w:rsidSect="00E3619F">
          <w:footerReference w:type="even" r:id="rId4"/>
          <w:footerReference w:type="default" r:id="rId5"/>
          <w:footerReference w:type="first" r:id="rId6"/>
          <w:pgSz w:w="11906" w:h="16838"/>
          <w:pgMar w:top="1417" w:right="1417" w:bottom="1417" w:left="1417" w:header="708" w:footer="708" w:gutter="0"/>
          <w:lnNumType w:distance="0"/>
          <w:cols w:space="708"/>
          <w:noEndnote w:val="0"/>
          <w:titlePg/>
          <w:bidi w:val="0"/>
          <w:rtlGutter/>
          <w:docGrid w:linePitch="360"/>
        </w:sectPr>
      </w:pPr>
    </w:p>
    <w:p w:rsidR="005727BF" w:rsidRPr="00A601EF" w:rsidP="005727BF">
      <w:pPr>
        <w:bidi w:val="0"/>
        <w:jc w:val="right"/>
        <w:rPr>
          <w:rFonts w:ascii="Times New Roman" w:hAnsi="Times New Roman"/>
        </w:rPr>
      </w:pPr>
      <w:r w:rsidRPr="00A601EF">
        <w:rPr>
          <w:rFonts w:ascii="Times New Roman" w:hAnsi="Times New Roman"/>
        </w:rPr>
        <w:t xml:space="preserve">  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 </w:t>
            </w:r>
            <w:r w:rsidRPr="00A601EF">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Daňové príjmy (100)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Nedaňové príjmy (200)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Granty a transfery (300)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xml:space="preserve">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Príjmy z transakcií s finančnými aktívami a finančnými pasívami (400)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Prijaté úvery, pôžičky a návratné finančné výpomoci (500)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right"/>
              <w:rPr>
                <w:rFonts w:ascii="Times New Roman" w:hAnsi="Times New Roman"/>
              </w:rPr>
            </w:pP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c>
          <w:tcPr>
            <w:tcW w:w="3000" w:type="dxa"/>
            <w:tcBorders>
              <w:top w:val="nil"/>
              <w:left w:val="nil"/>
              <w:bottom w:val="nil"/>
              <w:right w:val="nil"/>
            </w:tcBorders>
            <w:textDirection w:val="lrTb"/>
            <w:vAlign w:val="center"/>
          </w:tcPr>
          <w:p w:rsidR="005727BF" w:rsidRPr="00A601EF" w:rsidP="00495682">
            <w:pPr>
              <w:bidi w:val="0"/>
              <w:rPr>
                <w:rFonts w:ascii="Times New Roman" w:hAnsi="Times New Roman"/>
                <w:sz w:val="2"/>
                <w:szCs w:val="2"/>
              </w:rPr>
            </w:pPr>
          </w:p>
        </w:tc>
      </w:tr>
    </w:tbl>
    <w:p w:rsidR="005727BF" w:rsidRPr="00A601EF" w:rsidP="005727BF">
      <w:pPr>
        <w:pStyle w:val="NormalWeb"/>
        <w:bidi w:val="0"/>
        <w:spacing w:before="0" w:beforeAutospacing="0" w:after="0" w:afterAutospacing="0"/>
        <w:jc w:val="both"/>
        <w:rPr>
          <w:rFonts w:ascii="Times New Roman" w:hAnsi="Times New Roman"/>
          <w:sz w:val="20"/>
          <w:szCs w:val="20"/>
        </w:rPr>
      </w:pPr>
      <w:r w:rsidRPr="00A601EF">
        <w:rPr>
          <w:rFonts w:ascii="Times New Roman" w:hAnsi="Times New Roman"/>
          <w:sz w:val="20"/>
          <w:szCs w:val="20"/>
        </w:rPr>
        <w:t xml:space="preserve">1 –  príjmy rozpísať až do položiek platnej ekonomickej klasifikácie    </w:t>
      </w: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RPr="00A601E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right"/>
        <w:rPr>
          <w:rFonts w:ascii="Times New Roman" w:hAnsi="Times New Roman"/>
        </w:rPr>
      </w:pPr>
      <w:r w:rsidRPr="00A601EF">
        <w:rPr>
          <w:rFonts w:ascii="Times New Roman" w:hAnsi="Times New Roman"/>
          <w:sz w:val="20"/>
          <w:szCs w:val="20"/>
        </w:rPr>
        <w:t xml:space="preserve">                                                                                                                                                                                                                             </w:t>
      </w:r>
      <w:r>
        <w:rPr>
          <w:rFonts w:ascii="Times New Roman" w:hAnsi="Times New Roman"/>
        </w:rPr>
        <w:t>Tabuľka č. 5</w:t>
      </w:r>
    </w:p>
    <w:tbl>
      <w:tblPr>
        <w:tblStyle w:val="TableNormal"/>
        <w:tblW w:w="13860" w:type="dxa"/>
        <w:tblInd w:w="70" w:type="dxa"/>
        <w:tblCellMar>
          <w:left w:w="0" w:type="dxa"/>
          <w:right w:w="0" w:type="dxa"/>
        </w:tblCellMar>
      </w:tblPr>
      <w:tblGrid>
        <w:gridCol w:w="5777"/>
        <w:gridCol w:w="1540"/>
        <w:gridCol w:w="1540"/>
        <w:gridCol w:w="1540"/>
        <w:gridCol w:w="1540"/>
        <w:gridCol w:w="1923"/>
      </w:tblGrid>
      <w:tr>
        <w:tblPrEx>
          <w:tblW w:w="13860" w:type="dxa"/>
          <w:tblInd w:w="70" w:type="dxa"/>
          <w:tblCellMar>
            <w:left w:w="0" w:type="dxa"/>
            <w:right w:w="0" w:type="dxa"/>
          </w:tblCellMar>
        </w:tblPrEx>
        <w:trPr>
          <w:trHeight w:val="255"/>
        </w:trPr>
        <w:tc>
          <w:tcPr>
            <w:tcW w:w="577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Vplyv na rozpočet verejnej správy</w:t>
            </w:r>
          </w:p>
        </w:tc>
        <w:tc>
          <w:tcPr>
            <w:tcW w:w="192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poznámka</w:t>
            </w:r>
          </w:p>
        </w:tc>
      </w:tr>
      <w:tr>
        <w:tblPrEx>
          <w:tblW w:w="13860" w:type="dxa"/>
          <w:tblInd w:w="70" w:type="dxa"/>
          <w:tblCellMar>
            <w:left w:w="0" w:type="dxa"/>
            <w:right w:w="0" w:type="dxa"/>
          </w:tblCellMar>
        </w:tblPrEx>
        <w:trPr>
          <w:trHeight w:val="197"/>
        </w:trPr>
        <w:tc>
          <w:tcPr>
            <w:tcW w:w="5777"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1923"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Tovary a služby (630)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Bežné transfery (640)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Splácanie úrokov a ostatné platby súvisiace s úvermi, pôžičkami a NFV (650)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Obstarávanie kapitálových aktív (710)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Kapitálové transfery (720)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color w:val="FFFFFF"/>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92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color w:val="FFFFFF"/>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bidi w:val="0"/>
              <w:rPr>
                <w:rFonts w:ascii="Times New Roman" w:hAnsi="Times New Roman"/>
                <w:i/>
                <w:iCs/>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Bežné výdavky</w:t>
            </w:r>
            <w:r w:rsidRPr="00A601EF">
              <w:rPr>
                <w:rFonts w:ascii="Times New Roman" w:hAnsi="Times New Roman"/>
                <w:b/>
                <w:bCs/>
              </w:rPr>
              <w:t xml:space="preserve"> </w:t>
            </w:r>
            <w:r w:rsidRPr="00A601EF">
              <w:rPr>
                <w:rFonts w:ascii="Times New Roman" w:hAnsi="Times New Roman"/>
              </w:rPr>
              <w:t>(600)</w:t>
            </w:r>
            <w:r w:rsidRPr="00A601EF">
              <w:rPr>
                <w:rFonts w:ascii="Times New Roman" w:hAnsi="Times New Roman"/>
                <w:b/>
                <w:bCs/>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w:t>
            </w:r>
            <w:r w:rsidRPr="00A601EF">
              <w:rPr>
                <w:rFonts w:ascii="Times New Roman" w:hAnsi="Times New Roman"/>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bidi w:val="0"/>
              <w:rPr>
                <w:rFonts w:ascii="Times New Roman" w:hAnsi="Times New Roman"/>
                <w:i/>
                <w:iCs/>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rPr>
              <w:t> </w:t>
            </w:r>
          </w:p>
        </w:tc>
      </w:tr>
    </w:tbl>
    <w:p w:rsidR="005727BF" w:rsidRPr="00A601EF" w:rsidP="005727BF">
      <w:pPr>
        <w:pStyle w:val="NormalWeb"/>
        <w:bidi w:val="0"/>
        <w:spacing w:before="0" w:beforeAutospacing="0" w:after="0" w:afterAutospacing="0"/>
        <w:jc w:val="both"/>
        <w:rPr>
          <w:rFonts w:ascii="Times New Roman" w:hAnsi="Times New Roman"/>
        </w:rPr>
      </w:pPr>
      <w:r w:rsidRPr="00A601EF">
        <w:rPr>
          <w:rFonts w:ascii="Times New Roman" w:hAnsi="Times New Roman"/>
          <w:sz w:val="20"/>
          <w:szCs w:val="20"/>
        </w:rPr>
        <w:t>2 –  výdavky rozpísať až do položiek platnej ekonomickej klasifikácie</w:t>
      </w:r>
    </w:p>
    <w:p w:rsidR="005727BF" w:rsidRPr="00A601EF" w:rsidP="005727BF">
      <w:pPr>
        <w:pStyle w:val="NormalWeb"/>
        <w:bidi w:val="0"/>
        <w:spacing w:before="0" w:beforeAutospacing="0" w:after="0" w:afterAutospacing="0"/>
        <w:jc w:val="both"/>
        <w:rPr>
          <w:rFonts w:ascii="Times New Roman" w:hAnsi="Times New Roman"/>
        </w:rPr>
      </w:pPr>
      <w:r w:rsidRPr="00A601EF">
        <w:rPr>
          <w:rFonts w:ascii="Times New Roman" w:hAnsi="Times New Roman"/>
          <w:sz w:val="20"/>
          <w:szCs w:val="20"/>
        </w:rPr>
        <w:t xml:space="preserve">                                                                                                                                                                                                                      </w:t>
      </w:r>
      <w:r w:rsidRPr="00A601EF">
        <w:rPr>
          <w:rFonts w:ascii="Times New Roman" w:hAnsi="Times New Roman"/>
        </w:rPr>
        <w:t>              </w:t>
      </w: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right"/>
        <w:rPr>
          <w:rFonts w:ascii="Times New Roman" w:hAnsi="Times New Roman"/>
        </w:rPr>
      </w:pPr>
      <w:r w:rsidRPr="00A601EF">
        <w:rPr>
          <w:rFonts w:ascii="Times New Roman" w:hAnsi="Times New Roman"/>
        </w:rPr>
        <w:t xml:space="preserve">   Tabuľka č. 6 </w:t>
      </w:r>
    </w:p>
    <w:tbl>
      <w:tblPr>
        <w:tblStyle w:val="TableNormal"/>
        <w:tblpPr w:leftFromText="141" w:rightFromText="141" w:vertAnchor="text" w:horzAnchor="margin" w:tblpXSpec="center" w:tblpY="85"/>
        <w:tblW w:w="14040" w:type="dxa"/>
        <w:tblLayout w:type="fixed"/>
        <w:tblCellMar>
          <w:left w:w="0" w:type="dxa"/>
          <w:right w:w="0" w:type="dxa"/>
        </w:tblCellMar>
      </w:tblPr>
      <w:tblGrid>
        <w:gridCol w:w="3600"/>
        <w:gridCol w:w="1080"/>
        <w:gridCol w:w="1080"/>
        <w:gridCol w:w="1080"/>
        <w:gridCol w:w="1080"/>
        <w:gridCol w:w="6120"/>
      </w:tblGrid>
      <w:tr>
        <w:tblPrEx>
          <w:tblW w:w="14040" w:type="dxa"/>
          <w:tblLayout w:type="fixed"/>
          <w:tblCellMar>
            <w:left w:w="0" w:type="dxa"/>
            <w:right w:w="0" w:type="dxa"/>
          </w:tblCellMar>
        </w:tblPrEx>
        <w:trPr>
          <w:trHeight w:val="255"/>
        </w:trPr>
        <w:tc>
          <w:tcPr>
            <w:tcW w:w="36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Zamestnanosť</w:t>
            </w:r>
          </w:p>
        </w:tc>
        <w:tc>
          <w:tcPr>
            <w:tcW w:w="4320"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Vplyv na rozpočet verejnej správy</w:t>
            </w:r>
          </w:p>
        </w:tc>
        <w:tc>
          <w:tcPr>
            <w:tcW w:w="61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poznámka</w:t>
            </w:r>
          </w:p>
        </w:tc>
      </w:tr>
      <w:tr>
        <w:tblPrEx>
          <w:tblW w:w="14040" w:type="dxa"/>
          <w:tblLayout w:type="fixed"/>
          <w:tblCellMar>
            <w:left w:w="0" w:type="dxa"/>
            <w:right w:w="0" w:type="dxa"/>
          </w:tblCellMar>
        </w:tblPrEx>
        <w:trPr>
          <w:trHeight w:val="255"/>
        </w:trPr>
        <w:tc>
          <w:tcPr>
            <w:tcW w:w="360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612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Počet zamestnancov celkom*</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val="restart"/>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z toho vplyv na ŠR</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b/>
                <w:bCs/>
              </w:rPr>
            </w:pPr>
            <w:r w:rsidRPr="00A601EF">
              <w:rPr>
                <w:rFonts w:ascii="Times New Roman" w:hAnsi="Times New Roman"/>
                <w:b/>
                <w:bCs/>
              </w:rPr>
              <w:t xml:space="preserve">Priemerný mzdový výdavok </w:t>
            </w:r>
          </w:p>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(v eurách)*</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z toho vplyv na ŠR</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color w:val="FFFFFF"/>
              </w:rPr>
              <w:t>Osobné výdavky celkom (v eurách)</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color w:val="FFFFFF"/>
              </w:rPr>
              <w:t> </w:t>
            </w:r>
          </w:p>
        </w:tc>
        <w:tc>
          <w:tcPr>
            <w:tcW w:w="61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color w:val="FFFFFF"/>
              </w:rPr>
              <w:t> </w:t>
            </w: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xml:space="preserve">Mzdy, platy, služobné príjmy a ostatné osobné vyrovnania (610)* </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val="restart"/>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w:t>
            </w:r>
          </w:p>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w:t>
            </w:r>
          </w:p>
          <w:p w:rsidR="005727BF" w:rsidP="00495682">
            <w:pPr>
              <w:pStyle w:val="NormalWeb"/>
              <w:bidi w:val="0"/>
              <w:spacing w:after="0"/>
              <w:rPr>
                <w:rFonts w:ascii="Times New Roman" w:hAnsi="Times New Roman"/>
              </w:rPr>
            </w:pPr>
            <w:r w:rsidRPr="00A601EF">
              <w:rPr>
                <w:rFonts w:ascii="Times New Roman" w:hAnsi="Times New Roman"/>
              </w:rPr>
              <w:t> </w:t>
            </w:r>
          </w:p>
          <w:p w:rsidR="002F310A" w:rsidRPr="00A601EF" w:rsidP="00495682">
            <w:pPr>
              <w:pStyle w:val="NormalWeb"/>
              <w:bidi w:val="0"/>
              <w:spacing w:after="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z toho vplyv na ŠR</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after="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Poistné a príspevok do poisťovní (620)*</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after="0"/>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rPr>
                <w:rFonts w:ascii="Times New Roman" w:hAnsi="Times New Roman"/>
              </w:rPr>
            </w:pPr>
            <w:r w:rsidRPr="00A601EF">
              <w:rPr>
                <w:rFonts w:ascii="Times New Roman" w:hAnsi="Times New Roman"/>
                <w:b/>
                <w:bCs/>
              </w:rPr>
              <w:t>   z toho vplyv na ŠR</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P="00495682">
            <w:pPr>
              <w:pStyle w:val="NormalWeb"/>
              <w:bidi w:val="0"/>
              <w:spacing w:before="0" w:beforeAutospacing="0" w:after="0" w:afterAutospacing="0"/>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P="00495682">
            <w:pPr>
              <w:pStyle w:val="NormalWeb"/>
              <w:bidi w:val="0"/>
              <w:spacing w:before="0" w:beforeAutospacing="0" w:after="0" w:afterAutospacing="0"/>
              <w:rPr>
                <w:rFonts w:ascii="Times New Roman" w:hAnsi="Times New Roman"/>
              </w:rPr>
            </w:pPr>
          </w:p>
        </w:tc>
      </w:tr>
    </w:tbl>
    <w:p w:rsidR="005727BF" w:rsidP="005727BF">
      <w:pPr>
        <w:bidi w:val="0"/>
        <w:rPr>
          <w:rFonts w:ascii="Times New Roman" w:hAnsi="Times New Roman"/>
        </w:rPr>
        <w:sectPr w:rsidSect="007462FF">
          <w:pgSz w:w="16838" w:h="11906" w:orient="landscape"/>
          <w:pgMar w:top="1418" w:right="1418" w:bottom="1418" w:left="1418" w:header="709" w:footer="709" w:gutter="0"/>
          <w:lnNumType w:distance="0"/>
          <w:cols w:space="708"/>
          <w:noEndnote w:val="0"/>
          <w:bidi w:val="0"/>
          <w:docGrid w:linePitch="360"/>
        </w:sectPr>
      </w:pPr>
    </w:p>
    <w:p w:rsidR="002F310A" w:rsidRPr="00704B9E" w:rsidP="002F310A">
      <w:pPr>
        <w:bidi w:val="0"/>
        <w:jc w:val="center"/>
        <w:rPr>
          <w:rFonts w:ascii="Times New Roman" w:hAnsi="Times New Roman"/>
          <w:b/>
          <w:caps/>
          <w:spacing w:val="30"/>
        </w:rPr>
      </w:pPr>
      <w:r w:rsidRPr="00704B9E">
        <w:rPr>
          <w:rFonts w:ascii="Times New Roman" w:hAnsi="Times New Roman"/>
          <w:b/>
          <w:caps/>
          <w:spacing w:val="30"/>
        </w:rPr>
        <w:t>Doložka zlučiteľnosti</w:t>
      </w:r>
    </w:p>
    <w:p w:rsidR="002F310A" w:rsidRPr="00704B9E" w:rsidP="002F310A">
      <w:pPr>
        <w:bidi w:val="0"/>
        <w:jc w:val="center"/>
        <w:rPr>
          <w:rFonts w:ascii="Times New Roman" w:hAnsi="Times New Roman"/>
          <w:b/>
        </w:rPr>
      </w:pPr>
      <w:r w:rsidRPr="00704B9E">
        <w:rPr>
          <w:rFonts w:ascii="Times New Roman" w:hAnsi="Times New Roman"/>
          <w:b/>
        </w:rPr>
        <w:t>právneho predpisu s právom Európskej únie </w:t>
      </w:r>
    </w:p>
    <w:p w:rsidR="002F310A" w:rsidRPr="00704B9E" w:rsidP="002F310A">
      <w:pPr>
        <w:bidi w:val="0"/>
        <w:rPr>
          <w:rFonts w:ascii="Times New Roman" w:hAnsi="Times New Roman"/>
        </w:rPr>
      </w:pPr>
    </w:p>
    <w:p w:rsidR="002F310A" w:rsidRPr="00704B9E" w:rsidP="002F310A">
      <w:pPr>
        <w:bidi w:val="0"/>
        <w:rPr>
          <w:rFonts w:ascii="Times New Roman" w:hAnsi="Times New Roman"/>
        </w:rPr>
      </w:pPr>
    </w:p>
    <w:p w:rsidR="002F310A" w:rsidRPr="00704B9E" w:rsidP="007D4CAB">
      <w:pPr>
        <w:bidi w:val="0"/>
        <w:ind w:left="360" w:hanging="360"/>
        <w:jc w:val="both"/>
        <w:rPr>
          <w:rFonts w:ascii="Times New Roman" w:hAnsi="Times New Roman"/>
          <w:b/>
        </w:rPr>
      </w:pPr>
      <w:r w:rsidRPr="00704B9E">
        <w:rPr>
          <w:rFonts w:ascii="Times New Roman" w:hAnsi="Times New Roman"/>
          <w:b/>
        </w:rPr>
        <w:t>1.</w:t>
        <w:tab/>
        <w:t>Predkladateľ právneho predpisu:</w:t>
      </w:r>
      <w:r w:rsidRPr="00704B9E">
        <w:rPr>
          <w:rFonts w:ascii="Times New Roman" w:hAnsi="Times New Roman"/>
        </w:rPr>
        <w:t xml:space="preserve"> vláda Slovenskej republiky </w:t>
      </w:r>
    </w:p>
    <w:p w:rsidR="002F310A" w:rsidRPr="00704B9E" w:rsidP="007D4CAB">
      <w:pPr>
        <w:tabs>
          <w:tab w:val="left" w:pos="360"/>
        </w:tabs>
        <w:bidi w:val="0"/>
        <w:ind w:left="360"/>
        <w:jc w:val="both"/>
        <w:rPr>
          <w:rFonts w:ascii="Times New Roman" w:hAnsi="Times New Roman"/>
        </w:rPr>
      </w:pPr>
      <w:r w:rsidRPr="00704B9E">
        <w:rPr>
          <w:rFonts w:ascii="Times New Roman" w:hAnsi="Times New Roman"/>
        </w:rPr>
        <w:t xml:space="preserve"> </w:t>
      </w:r>
    </w:p>
    <w:p w:rsidR="002F310A" w:rsidRPr="00704B9E" w:rsidP="007D4CAB">
      <w:pPr>
        <w:bidi w:val="0"/>
        <w:ind w:left="360" w:hanging="360"/>
        <w:jc w:val="both"/>
        <w:rPr>
          <w:rFonts w:ascii="Times New Roman" w:hAnsi="Times New Roman"/>
          <w:b/>
        </w:rPr>
      </w:pPr>
      <w:r w:rsidRPr="00704B9E">
        <w:rPr>
          <w:rFonts w:ascii="Times New Roman" w:hAnsi="Times New Roman"/>
          <w:b/>
        </w:rPr>
        <w:t>2.</w:t>
        <w:tab/>
        <w:t>Názov návrhu právneho predpisu:</w:t>
      </w:r>
      <w:r w:rsidRPr="00704B9E">
        <w:rPr>
          <w:rFonts w:ascii="Times New Roman" w:hAnsi="Times New Roman"/>
        </w:rPr>
        <w:t xml:space="preserve"> </w:t>
      </w:r>
      <w:r>
        <w:rPr>
          <w:rFonts w:ascii="Times New Roman" w:hAnsi="Times New Roman"/>
        </w:rPr>
        <w:t>n</w:t>
      </w:r>
      <w:r w:rsidRPr="00704B9E">
        <w:rPr>
          <w:rFonts w:ascii="Times New Roman" w:hAnsi="Times New Roman"/>
        </w:rPr>
        <w:t xml:space="preserve">ávrh zákona, ktorým sa mení a dopĺňa zákon č. </w:t>
      </w:r>
      <w:r>
        <w:rPr>
          <w:rFonts w:ascii="Times New Roman" w:hAnsi="Times New Roman"/>
        </w:rPr>
        <w:t>435</w:t>
      </w:r>
      <w:r w:rsidRPr="00704B9E">
        <w:rPr>
          <w:rFonts w:ascii="Times New Roman" w:hAnsi="Times New Roman"/>
        </w:rPr>
        <w:t xml:space="preserve">/2000 Z. z. o </w:t>
      </w:r>
      <w:r>
        <w:rPr>
          <w:rFonts w:ascii="Times New Roman" w:hAnsi="Times New Roman"/>
        </w:rPr>
        <w:t>námorne</w:t>
      </w:r>
      <w:r w:rsidRPr="00704B9E">
        <w:rPr>
          <w:rFonts w:ascii="Times New Roman" w:hAnsi="Times New Roman"/>
        </w:rPr>
        <w:t xml:space="preserve">j plavbe v znení neskorších predpisov </w:t>
      </w:r>
      <w:r w:rsidRPr="00724718">
        <w:rPr>
          <w:rFonts w:ascii="Times New Roman" w:hAnsi="Times New Roman"/>
        </w:rPr>
        <w:t xml:space="preserve">a ktorým sa dopĺňa zákon </w:t>
      </w:r>
      <w:r w:rsidRPr="008E3EF9">
        <w:rPr>
          <w:rFonts w:ascii="Times New Roman" w:hAnsi="Times New Roman"/>
          <w:bCs/>
        </w:rPr>
        <w:t xml:space="preserve">Národnej rady Slovenskej republiky č. </w:t>
      </w:r>
      <w:r w:rsidRPr="008E3EF9">
        <w:rPr>
          <w:rFonts w:ascii="Times New Roman" w:hAnsi="Times New Roman"/>
        </w:rPr>
        <w:t>145/1995 Z. z. o správnych poplatkoch</w:t>
      </w:r>
      <w:r w:rsidRPr="009D0D22">
        <w:rPr>
          <w:rFonts w:ascii="Times New Roman" w:hAnsi="Times New Roman"/>
        </w:rPr>
        <w:t xml:space="preserve"> v znení</w:t>
      </w:r>
      <w:r w:rsidRPr="00704B9E">
        <w:rPr>
          <w:rFonts w:ascii="Times New Roman" w:hAnsi="Times New Roman"/>
        </w:rPr>
        <w:t> </w:t>
      </w:r>
      <w:r>
        <w:rPr>
          <w:rFonts w:ascii="Times New Roman" w:hAnsi="Times New Roman"/>
        </w:rPr>
        <w:t>neskorších predpisov</w:t>
      </w:r>
    </w:p>
    <w:p w:rsidR="002F310A" w:rsidRPr="00704B9E" w:rsidP="007D4CAB">
      <w:pPr>
        <w:bidi w:val="0"/>
        <w:jc w:val="both"/>
        <w:rPr>
          <w:rFonts w:ascii="Times New Roman" w:hAnsi="Times New Roman"/>
        </w:rPr>
      </w:pPr>
    </w:p>
    <w:p w:rsidR="002F310A" w:rsidRPr="00704B9E" w:rsidP="007D4CAB">
      <w:pPr>
        <w:bidi w:val="0"/>
        <w:ind w:left="360" w:hanging="360"/>
        <w:jc w:val="both"/>
        <w:rPr>
          <w:rFonts w:ascii="Times New Roman" w:hAnsi="Times New Roman"/>
          <w:b/>
        </w:rPr>
      </w:pPr>
      <w:r w:rsidRPr="00704B9E">
        <w:rPr>
          <w:rFonts w:ascii="Times New Roman" w:hAnsi="Times New Roman"/>
          <w:b/>
        </w:rPr>
        <w:t>3.</w:t>
        <w:tab/>
        <w:t>Problematika návrhu právneho predpisu:</w:t>
      </w:r>
    </w:p>
    <w:p w:rsidR="002F310A" w:rsidRPr="00704B9E" w:rsidP="007D4CAB">
      <w:pPr>
        <w:bidi w:val="0"/>
        <w:ind w:firstLine="360"/>
        <w:jc w:val="both"/>
        <w:rPr>
          <w:rFonts w:ascii="Times New Roman" w:hAnsi="Times New Roman"/>
        </w:rPr>
      </w:pPr>
    </w:p>
    <w:p w:rsidR="002F310A" w:rsidRPr="00704B9E" w:rsidP="007D4CAB">
      <w:pPr>
        <w:bidi w:val="0"/>
        <w:ind w:left="709" w:hanging="349"/>
        <w:jc w:val="both"/>
        <w:rPr>
          <w:rFonts w:ascii="Times New Roman" w:hAnsi="Times New Roman"/>
        </w:rPr>
      </w:pPr>
      <w:r w:rsidRPr="00704B9E">
        <w:rPr>
          <w:rFonts w:ascii="Times New Roman" w:hAnsi="Times New Roman"/>
        </w:rPr>
        <w:t>a)</w:t>
        <w:tab/>
        <w:t>je upravená v práve Európskej únie</w:t>
      </w:r>
    </w:p>
    <w:p w:rsidR="002F310A" w:rsidRPr="00704B9E" w:rsidP="007D4CAB">
      <w:pPr>
        <w:bidi w:val="0"/>
        <w:ind w:left="360"/>
        <w:jc w:val="both"/>
        <w:rPr>
          <w:rFonts w:ascii="Times New Roman" w:hAnsi="Times New Roman"/>
        </w:rPr>
      </w:pPr>
    </w:p>
    <w:p w:rsidR="002F310A" w:rsidRPr="00704B9E" w:rsidP="007D4CAB">
      <w:pPr>
        <w:tabs>
          <w:tab w:val="left" w:pos="1068"/>
        </w:tabs>
        <w:bidi w:val="0"/>
        <w:ind w:left="879" w:hanging="171"/>
        <w:jc w:val="both"/>
        <w:rPr>
          <w:rFonts w:ascii="Times New Roman" w:hAnsi="Times New Roman"/>
          <w:i/>
        </w:rPr>
      </w:pPr>
      <w:r w:rsidRPr="00704B9E">
        <w:rPr>
          <w:rFonts w:ascii="Times New Roman" w:hAnsi="Times New Roman"/>
        </w:rPr>
        <w:t>-</w:t>
        <w:tab/>
      </w:r>
      <w:r w:rsidRPr="00704B9E">
        <w:rPr>
          <w:rFonts w:ascii="Times New Roman" w:hAnsi="Times New Roman"/>
          <w:i/>
        </w:rPr>
        <w:t>primárnom</w:t>
      </w:r>
    </w:p>
    <w:p w:rsidR="002F310A" w:rsidRPr="00704B9E" w:rsidP="007D4CAB">
      <w:pPr>
        <w:bidi w:val="0"/>
        <w:ind w:left="851"/>
        <w:jc w:val="both"/>
        <w:rPr>
          <w:rFonts w:ascii="Times New Roman" w:hAnsi="Times New Roman"/>
        </w:rPr>
      </w:pPr>
    </w:p>
    <w:p w:rsidR="002F310A" w:rsidRPr="00704B9E" w:rsidP="007D4CAB">
      <w:pPr>
        <w:bidi w:val="0"/>
        <w:ind w:left="851"/>
        <w:jc w:val="both"/>
        <w:rPr>
          <w:rFonts w:ascii="Times New Roman" w:hAnsi="Times New Roman"/>
        </w:rPr>
      </w:pPr>
      <w:r w:rsidRPr="00704B9E">
        <w:rPr>
          <w:rFonts w:ascii="Times New Roman" w:hAnsi="Times New Roman"/>
        </w:rPr>
        <w:t>v</w:t>
      </w:r>
      <w:r>
        <w:rPr>
          <w:rFonts w:ascii="Times New Roman" w:hAnsi="Times New Roman"/>
        </w:rPr>
        <w:t xml:space="preserve"> Hlave VI Doprava </w:t>
      </w:r>
      <w:r w:rsidRPr="00704B9E">
        <w:rPr>
          <w:rFonts w:ascii="Times New Roman" w:hAnsi="Times New Roman"/>
        </w:rPr>
        <w:t xml:space="preserve">čl. </w:t>
      </w:r>
      <w:r>
        <w:rPr>
          <w:rFonts w:ascii="Times New Roman" w:hAnsi="Times New Roman"/>
        </w:rPr>
        <w:t>90</w:t>
      </w:r>
      <w:r w:rsidRPr="00704B9E">
        <w:rPr>
          <w:rFonts w:ascii="Times New Roman" w:hAnsi="Times New Roman"/>
        </w:rPr>
        <w:t xml:space="preserve"> až 10</w:t>
      </w:r>
      <w:r>
        <w:rPr>
          <w:rFonts w:ascii="Times New Roman" w:hAnsi="Times New Roman"/>
        </w:rPr>
        <w:t>0</w:t>
      </w:r>
      <w:r w:rsidRPr="00704B9E">
        <w:rPr>
          <w:rFonts w:ascii="Times New Roman" w:hAnsi="Times New Roman"/>
        </w:rPr>
        <w:t xml:space="preserve"> Zmluvy o fungovaní Európskej únie, </w:t>
      </w:r>
    </w:p>
    <w:p w:rsidR="002F310A" w:rsidRPr="00704B9E" w:rsidP="007D4CAB">
      <w:pPr>
        <w:bidi w:val="0"/>
        <w:ind w:firstLine="360"/>
        <w:jc w:val="both"/>
        <w:rPr>
          <w:rFonts w:ascii="Times New Roman" w:hAnsi="Times New Roman"/>
        </w:rPr>
      </w:pPr>
    </w:p>
    <w:p w:rsidR="002F310A" w:rsidRPr="00704B9E" w:rsidP="007D4CAB">
      <w:pPr>
        <w:tabs>
          <w:tab w:val="left" w:pos="1068"/>
        </w:tabs>
        <w:bidi w:val="0"/>
        <w:ind w:left="879" w:hanging="171"/>
        <w:jc w:val="both"/>
        <w:rPr>
          <w:rFonts w:ascii="Times New Roman" w:hAnsi="Times New Roman"/>
          <w:i/>
        </w:rPr>
      </w:pPr>
      <w:r w:rsidRPr="00704B9E">
        <w:rPr>
          <w:rFonts w:ascii="Times New Roman" w:hAnsi="Times New Roman"/>
        </w:rPr>
        <w:t>-</w:t>
        <w:tab/>
      </w:r>
      <w:r w:rsidRPr="00704B9E">
        <w:rPr>
          <w:rFonts w:ascii="Times New Roman" w:hAnsi="Times New Roman"/>
          <w:i/>
        </w:rPr>
        <w:t>sekundárnom (prijatom po nadobudnutím platnosti Lisabonskej zmluvy, ktorou sa mení a dopĺňa Zmluva o Európskom spoločenstve a Zmluva o Európskej únii – po 30. novembri 2009)</w:t>
      </w:r>
    </w:p>
    <w:p w:rsidR="002F310A" w:rsidRPr="00704B9E" w:rsidP="007D4CAB">
      <w:pPr>
        <w:tabs>
          <w:tab w:val="left" w:pos="1068"/>
        </w:tabs>
        <w:bidi w:val="0"/>
        <w:ind w:left="879" w:hanging="171"/>
        <w:jc w:val="both"/>
        <w:rPr>
          <w:rFonts w:ascii="Times New Roman" w:hAnsi="Times New Roman"/>
          <w:i/>
        </w:rPr>
      </w:pPr>
    </w:p>
    <w:p w:rsidR="002F310A" w:rsidRPr="00704B9E" w:rsidP="007D4CAB">
      <w:pPr>
        <w:bidi w:val="0"/>
        <w:ind w:left="1239" w:hanging="360"/>
        <w:jc w:val="both"/>
        <w:rPr>
          <w:rFonts w:ascii="Times New Roman" w:hAnsi="Times New Roman"/>
          <w:i/>
        </w:rPr>
      </w:pPr>
      <w:r>
        <w:rPr>
          <w:rFonts w:ascii="Times New Roman" w:hAnsi="Times New Roman"/>
        </w:rPr>
        <w:t xml:space="preserve">1. </w:t>
      </w:r>
      <w:r w:rsidRPr="00704B9E">
        <w:rPr>
          <w:rFonts w:ascii="Times New Roman" w:hAnsi="Times New Roman"/>
        </w:rPr>
        <w:t xml:space="preserve">legislatívne akty </w:t>
      </w:r>
    </w:p>
    <w:p w:rsidR="002F310A" w:rsidRPr="00704B9E" w:rsidP="007D4CAB">
      <w:pPr>
        <w:bidi w:val="0"/>
        <w:ind w:firstLine="360"/>
        <w:jc w:val="both"/>
        <w:rPr>
          <w:rFonts w:ascii="Times New Roman" w:hAnsi="Times New Roman"/>
        </w:rPr>
      </w:pPr>
    </w:p>
    <w:p w:rsidR="002F310A" w:rsidRPr="00704B9E" w:rsidP="007D4CAB">
      <w:pPr>
        <w:bidi w:val="0"/>
        <w:ind w:left="851"/>
        <w:jc w:val="both"/>
        <w:rPr>
          <w:rFonts w:ascii="Times New Roman" w:hAnsi="Times New Roman"/>
        </w:rPr>
      </w:pPr>
      <w:r>
        <w:rPr>
          <w:rFonts w:ascii="Times New Roman" w:hAnsi="Times New Roman"/>
          <w:color w:val="000000"/>
        </w:rPr>
        <w:t xml:space="preserve">smernica Európskeho parlamentu a Rady 2012/35/EÚ z 21. novembra 2012, ktorou sa mení a dopĺňa smernica 2008/106/ES o minimálnej úrovni prípravy námorníkov </w:t>
      </w:r>
      <w:r w:rsidRPr="00CD5A26">
        <w:rPr>
          <w:rFonts w:ascii="Times New Roman" w:hAnsi="Times New Roman"/>
          <w:color w:val="000000"/>
        </w:rPr>
        <w:t>(</w:t>
      </w:r>
      <w:r w:rsidRPr="00CD5A26">
        <w:rPr>
          <w:rStyle w:val="Emphasis"/>
          <w:rFonts w:ascii="Times New Roman" w:hAnsi="Times New Roman"/>
          <w:i w:val="0"/>
        </w:rPr>
        <w:t>Ú. v. EÚ L 343, 14.12.2012</w:t>
      </w:r>
      <w:r>
        <w:rPr>
          <w:rStyle w:val="Emphasis"/>
          <w:rFonts w:ascii="Times New Roman" w:hAnsi="Times New Roman"/>
          <w:i w:val="0"/>
        </w:rPr>
        <w:t>)</w:t>
      </w:r>
      <w:r w:rsidRPr="00704B9E">
        <w:rPr>
          <w:rFonts w:ascii="Times New Roman" w:hAnsi="Times New Roman"/>
        </w:rPr>
        <w:t>, </w:t>
      </w:r>
    </w:p>
    <w:p w:rsidR="002F310A" w:rsidP="007D4CAB">
      <w:pPr>
        <w:bidi w:val="0"/>
        <w:ind w:left="851"/>
        <w:jc w:val="both"/>
        <w:rPr>
          <w:rFonts w:ascii="Times New Roman" w:hAnsi="Times New Roman"/>
          <w:bCs/>
        </w:rPr>
      </w:pPr>
      <w:r w:rsidRPr="000B0D1C">
        <w:rPr>
          <w:rStyle w:val="Emphasis"/>
          <w:rFonts w:ascii="Times New Roman" w:hAnsi="Times New Roman"/>
          <w:i w:val="0"/>
        </w:rPr>
        <w:t xml:space="preserve">smernica </w:t>
      </w:r>
      <w:r>
        <w:rPr>
          <w:rFonts w:ascii="Times New Roman" w:hAnsi="Times New Roman"/>
        </w:rPr>
        <w:t xml:space="preserve">Európskeho parlamentu a Rady </w:t>
      </w:r>
      <w:r w:rsidRPr="007B3666">
        <w:rPr>
          <w:rFonts w:ascii="Times New Roman" w:hAnsi="Times New Roman"/>
          <w:bCs/>
        </w:rPr>
        <w:t>2013/38/EÚ z 12. augusta 2013, ktorou sa mení smernica 2009/16/ES o štátnej prístavnej kontrole</w:t>
      </w:r>
      <w:r>
        <w:rPr>
          <w:rFonts w:ascii="Times New Roman" w:hAnsi="Times New Roman"/>
          <w:bCs/>
        </w:rPr>
        <w:t xml:space="preserve"> </w:t>
      </w:r>
      <w:r>
        <w:rPr>
          <w:rStyle w:val="Emphasis"/>
          <w:rFonts w:ascii="Times New Roman" w:hAnsi="Times New Roman"/>
          <w:i w:val="0"/>
        </w:rPr>
        <w:t>(</w:t>
      </w:r>
      <w:r w:rsidRPr="004B2AE6">
        <w:rPr>
          <w:rFonts w:ascii="Times New Roman" w:hAnsi="Times New Roman"/>
          <w:iCs/>
        </w:rPr>
        <w:t>Ú. v. EÚ L 218, 14.8.2013)</w:t>
      </w:r>
    </w:p>
    <w:p w:rsidR="002F310A" w:rsidRPr="00704B9E" w:rsidP="007D4CAB">
      <w:pPr>
        <w:bidi w:val="0"/>
        <w:ind w:left="851"/>
        <w:jc w:val="both"/>
        <w:rPr>
          <w:rFonts w:ascii="Times New Roman" w:hAnsi="Times New Roman"/>
        </w:rPr>
      </w:pPr>
    </w:p>
    <w:p w:rsidR="002F310A" w:rsidRPr="00704B9E" w:rsidP="007D4CAB">
      <w:pPr>
        <w:bidi w:val="0"/>
        <w:ind w:left="709" w:hanging="349"/>
        <w:jc w:val="both"/>
        <w:rPr>
          <w:rFonts w:ascii="Times New Roman" w:hAnsi="Times New Roman"/>
        </w:rPr>
      </w:pPr>
      <w:r w:rsidRPr="00704B9E">
        <w:rPr>
          <w:rFonts w:ascii="Times New Roman" w:hAnsi="Times New Roman"/>
        </w:rPr>
        <w:t>b)</w:t>
        <w:tab/>
        <w:t>nie je obsiahnutá v judikatúre Súdneho dvora Európskej únie.</w:t>
      </w:r>
    </w:p>
    <w:p w:rsidR="002F310A" w:rsidRPr="00704B9E" w:rsidP="007D4CAB">
      <w:pPr>
        <w:bidi w:val="0"/>
        <w:ind w:left="360"/>
        <w:jc w:val="both"/>
        <w:rPr>
          <w:rFonts w:ascii="Times New Roman" w:hAnsi="Times New Roman"/>
        </w:rPr>
      </w:pPr>
    </w:p>
    <w:p w:rsidR="002F310A" w:rsidRPr="00704B9E" w:rsidP="007D4CAB">
      <w:pPr>
        <w:bidi w:val="0"/>
        <w:jc w:val="both"/>
        <w:rPr>
          <w:rFonts w:ascii="Times New Roman" w:hAnsi="Times New Roman"/>
        </w:rPr>
      </w:pPr>
    </w:p>
    <w:p w:rsidR="002F310A" w:rsidRPr="00704B9E" w:rsidP="007D4CAB">
      <w:pPr>
        <w:bidi w:val="0"/>
        <w:ind w:left="360" w:hanging="360"/>
        <w:jc w:val="both"/>
        <w:rPr>
          <w:rFonts w:ascii="Times New Roman" w:hAnsi="Times New Roman"/>
          <w:b/>
        </w:rPr>
      </w:pPr>
      <w:r w:rsidRPr="00704B9E">
        <w:rPr>
          <w:rFonts w:ascii="Times New Roman" w:hAnsi="Times New Roman"/>
          <w:b/>
        </w:rPr>
        <w:t>4.</w:t>
        <w:tab/>
        <w:t xml:space="preserve">Záväzky Slovenskej republiky vo vzťahu k Európskej únii: </w:t>
      </w:r>
    </w:p>
    <w:p w:rsidR="002F310A" w:rsidRPr="00704B9E" w:rsidP="007D4CAB">
      <w:pPr>
        <w:bidi w:val="0"/>
        <w:jc w:val="both"/>
        <w:rPr>
          <w:rFonts w:ascii="Times New Roman" w:hAnsi="Times New Roman"/>
        </w:rPr>
      </w:pPr>
    </w:p>
    <w:p w:rsidR="002F310A" w:rsidRPr="00704B9E" w:rsidP="007D4CAB">
      <w:pPr>
        <w:bidi w:val="0"/>
        <w:ind w:left="709" w:hanging="349"/>
        <w:jc w:val="both"/>
        <w:rPr>
          <w:rFonts w:ascii="Times New Roman" w:hAnsi="Times New Roman"/>
        </w:rPr>
      </w:pPr>
      <w:r w:rsidRPr="00704B9E">
        <w:rPr>
          <w:rFonts w:ascii="Times New Roman" w:hAnsi="Times New Roman"/>
        </w:rPr>
        <w:t>a)</w:t>
        <w:tab/>
        <w:t>lehota na prebratie smernice alebo lehota na implementáciu nariadenia alebo rozhodnutia</w:t>
      </w:r>
    </w:p>
    <w:p w:rsidR="002F310A" w:rsidP="007D4CAB">
      <w:pPr>
        <w:bidi w:val="0"/>
        <w:ind w:left="720"/>
        <w:jc w:val="both"/>
        <w:rPr>
          <w:rFonts w:ascii="Times New Roman" w:hAnsi="Times New Roman"/>
        </w:rPr>
      </w:pPr>
    </w:p>
    <w:p w:rsidR="002F310A" w:rsidP="007D4CAB">
      <w:pPr>
        <w:bidi w:val="0"/>
        <w:ind w:left="720"/>
        <w:jc w:val="both"/>
        <w:rPr>
          <w:rFonts w:ascii="Times New Roman" w:hAnsi="Times New Roman"/>
        </w:rPr>
      </w:pPr>
      <w:r>
        <w:rPr>
          <w:rFonts w:ascii="Times New Roman" w:hAnsi="Times New Roman"/>
        </w:rPr>
        <w:t>do 4. júla 2014</w:t>
      </w:r>
      <w:r w:rsidRPr="00704B9E">
        <w:rPr>
          <w:rFonts w:ascii="Times New Roman" w:hAnsi="Times New Roman"/>
        </w:rPr>
        <w:t> </w:t>
      </w:r>
      <w:r>
        <w:rPr>
          <w:rFonts w:ascii="Times New Roman" w:hAnsi="Times New Roman"/>
        </w:rPr>
        <w:t>(okrem článku 1 bodu 5 smernice)</w:t>
      </w:r>
    </w:p>
    <w:p w:rsidR="002F310A" w:rsidRPr="00704B9E" w:rsidP="007D4CAB">
      <w:pPr>
        <w:bidi w:val="0"/>
        <w:ind w:left="720"/>
        <w:jc w:val="both"/>
        <w:rPr>
          <w:rFonts w:ascii="Times New Roman" w:hAnsi="Times New Roman"/>
        </w:rPr>
      </w:pPr>
      <w:r>
        <w:rPr>
          <w:rFonts w:ascii="Times New Roman" w:hAnsi="Times New Roman"/>
        </w:rPr>
        <w:t>do 4. januára 2015 (čl. 1 bod 5 smernice)</w:t>
      </w:r>
    </w:p>
    <w:p w:rsidR="002F310A" w:rsidRPr="00704B9E" w:rsidP="007D4CAB">
      <w:pPr>
        <w:bidi w:val="0"/>
        <w:ind w:left="720"/>
        <w:jc w:val="both"/>
        <w:rPr>
          <w:rFonts w:ascii="Times New Roman" w:hAnsi="Times New Roman"/>
        </w:rPr>
      </w:pPr>
    </w:p>
    <w:p w:rsidR="002F310A" w:rsidRPr="00704B9E" w:rsidP="007D4CAB">
      <w:pPr>
        <w:bidi w:val="0"/>
        <w:ind w:left="709" w:hanging="349"/>
        <w:jc w:val="both"/>
        <w:rPr>
          <w:rFonts w:ascii="Times New Roman" w:hAnsi="Times New Roman"/>
        </w:rPr>
      </w:pPr>
      <w:r w:rsidRPr="00704B9E">
        <w:rPr>
          <w:rFonts w:ascii="Times New Roman" w:hAnsi="Times New Roman"/>
        </w:rPr>
        <w:t>b)</w:t>
        <w:tab/>
      </w:r>
      <w:r w:rsidRPr="00704B9E">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2F310A" w:rsidP="007D4CAB">
      <w:pPr>
        <w:bidi w:val="0"/>
        <w:ind w:left="709" w:hanging="349"/>
        <w:jc w:val="both"/>
        <w:rPr>
          <w:rFonts w:ascii="Times New Roman" w:hAnsi="Times New Roman"/>
        </w:rPr>
      </w:pPr>
      <w:r w:rsidRPr="00704B9E">
        <w:rPr>
          <w:rFonts w:ascii="Times New Roman" w:hAnsi="Times New Roman"/>
        </w:rPr>
        <w:tab/>
      </w:r>
    </w:p>
    <w:p w:rsidR="002F310A" w:rsidP="007D4CAB">
      <w:pPr>
        <w:bidi w:val="0"/>
        <w:ind w:left="709" w:firstLine="11"/>
        <w:jc w:val="both"/>
        <w:rPr>
          <w:rFonts w:ascii="Times New Roman" w:hAnsi="Times New Roman"/>
        </w:rPr>
      </w:pPr>
      <w:r>
        <w:rPr>
          <w:rFonts w:ascii="Times New Roman" w:hAnsi="Times New Roman"/>
        </w:rPr>
        <w:t xml:space="preserve">do 4. júla 2014 (okrem článku 1 bodu </w:t>
      </w:r>
      <w:smartTag w:uri="urn:schemas-microsoft-com:office:smarttags" w:element="metricconverter">
        <w:smartTagPr>
          <w:attr w:name="ProductID" w:val="51 a"/>
        </w:smartTagPr>
        <w:r>
          <w:rPr>
            <w:rFonts w:ascii="Times New Roman" w:hAnsi="Times New Roman"/>
          </w:rPr>
          <w:t>5 a</w:t>
        </w:r>
      </w:smartTag>
      <w:r>
        <w:rPr>
          <w:rFonts w:ascii="Times New Roman" w:hAnsi="Times New Roman"/>
        </w:rPr>
        <w:t xml:space="preserve"> 26 smernice) </w:t>
        <w:br/>
        <w:t xml:space="preserve">do 4. januára 2015 (článok 1 bodu </w:t>
      </w:r>
      <w:smartTag w:uri="urn:schemas-microsoft-com:office:smarttags" w:element="metricconverter">
        <w:smartTagPr>
          <w:attr w:name="ProductID" w:val="51 a"/>
        </w:smartTagPr>
        <w:r>
          <w:rPr>
            <w:rFonts w:ascii="Times New Roman" w:hAnsi="Times New Roman"/>
          </w:rPr>
          <w:t>5 a</w:t>
        </w:r>
      </w:smartTag>
      <w:r>
        <w:rPr>
          <w:rFonts w:ascii="Times New Roman" w:hAnsi="Times New Roman"/>
        </w:rPr>
        <w:t xml:space="preserve"> </w:t>
      </w:r>
      <w:r w:rsidRPr="00135D0E">
        <w:rPr>
          <w:rFonts w:ascii="Times New Roman" w:hAnsi="Times New Roman"/>
        </w:rPr>
        <w:t>26 smernice</w:t>
      </w:r>
      <w:r>
        <w:rPr>
          <w:rFonts w:ascii="Times New Roman" w:hAnsi="Times New Roman"/>
        </w:rPr>
        <w:t>)</w:t>
      </w:r>
    </w:p>
    <w:p w:rsidR="002F310A" w:rsidRPr="00704B9E" w:rsidP="007D4CAB">
      <w:pPr>
        <w:bidi w:val="0"/>
        <w:ind w:left="709" w:hanging="349"/>
        <w:jc w:val="both"/>
        <w:rPr>
          <w:rFonts w:ascii="Times New Roman" w:hAnsi="Times New Roman"/>
        </w:rPr>
      </w:pPr>
    </w:p>
    <w:p w:rsidR="002F310A" w:rsidRPr="00704B9E" w:rsidP="007D4CAB">
      <w:pPr>
        <w:bidi w:val="0"/>
        <w:ind w:left="720" w:hanging="360"/>
        <w:jc w:val="both"/>
        <w:rPr>
          <w:rFonts w:ascii="Times New Roman" w:hAnsi="Times New Roman"/>
        </w:rPr>
      </w:pPr>
      <w:r w:rsidRPr="00704B9E">
        <w:rPr>
          <w:rFonts w:ascii="Times New Roman" w:hAnsi="Times New Roman"/>
        </w:rPr>
        <w:t>c)</w:t>
        <w:tab/>
        <w:t>informácia o konaní začatom proti Slovenskej republike o porušení podľa čl. 258 až 260 Zmluvy o fungovaní Európskej únie</w:t>
      </w:r>
    </w:p>
    <w:p w:rsidR="002F310A" w:rsidRPr="00704B9E" w:rsidP="007D4CAB">
      <w:pPr>
        <w:bidi w:val="0"/>
        <w:ind w:left="720"/>
        <w:jc w:val="both"/>
        <w:rPr>
          <w:rFonts w:ascii="Times New Roman" w:hAnsi="Times New Roman"/>
        </w:rPr>
      </w:pPr>
    </w:p>
    <w:p w:rsidR="002F310A" w:rsidRPr="00704B9E" w:rsidP="007D4CAB">
      <w:pPr>
        <w:bidi w:val="0"/>
        <w:ind w:left="709" w:hanging="349"/>
        <w:jc w:val="both"/>
        <w:rPr>
          <w:rFonts w:ascii="Times New Roman" w:hAnsi="Times New Roman"/>
        </w:rPr>
      </w:pPr>
      <w:r w:rsidRPr="00704B9E">
        <w:rPr>
          <w:rFonts w:ascii="Times New Roman" w:hAnsi="Times New Roman"/>
        </w:rPr>
        <w:t>d)</w:t>
        <w:tab/>
        <w:t>informácia o právnych predpisoch, v ktorých sú preberané smernice už prebraté spolu s uvedením rozsahu tohto prebratia</w:t>
      </w:r>
    </w:p>
    <w:p w:rsidR="002F310A" w:rsidP="007D4CAB">
      <w:pPr>
        <w:bidi w:val="0"/>
        <w:ind w:left="720"/>
        <w:jc w:val="both"/>
        <w:rPr>
          <w:rFonts w:ascii="Times New Roman" w:hAnsi="Times New Roman"/>
        </w:rPr>
      </w:pPr>
      <w:r>
        <w:rPr>
          <w:rFonts w:ascii="Times New Roman" w:hAnsi="Times New Roman"/>
        </w:rPr>
        <w:t>n</w:t>
      </w:r>
      <w:r w:rsidRPr="00704B9E">
        <w:rPr>
          <w:rFonts w:ascii="Times New Roman" w:hAnsi="Times New Roman"/>
        </w:rPr>
        <w:t xml:space="preserve">ávrh zákona, ktorým sa mení a dopĺňa zákon č. </w:t>
      </w:r>
      <w:r>
        <w:rPr>
          <w:rFonts w:ascii="Times New Roman" w:hAnsi="Times New Roman"/>
        </w:rPr>
        <w:t>435</w:t>
      </w:r>
      <w:r w:rsidRPr="00704B9E">
        <w:rPr>
          <w:rFonts w:ascii="Times New Roman" w:hAnsi="Times New Roman"/>
        </w:rPr>
        <w:t xml:space="preserve">/2000 Z. z. o </w:t>
      </w:r>
      <w:r>
        <w:rPr>
          <w:rFonts w:ascii="Times New Roman" w:hAnsi="Times New Roman"/>
        </w:rPr>
        <w:t>námorne</w:t>
      </w:r>
      <w:r w:rsidRPr="00704B9E">
        <w:rPr>
          <w:rFonts w:ascii="Times New Roman" w:hAnsi="Times New Roman"/>
        </w:rPr>
        <w:t xml:space="preserve">j plavbe v znení neskorších predpisov </w:t>
      </w:r>
      <w:r w:rsidRPr="006E265E">
        <w:rPr>
          <w:rFonts w:ascii="Times New Roman" w:hAnsi="Times New Roman"/>
        </w:rPr>
        <w:t xml:space="preserve">a ktorým sa dopĺňa zákon </w:t>
      </w:r>
      <w:r>
        <w:rPr>
          <w:rFonts w:ascii="Times New Roman" w:hAnsi="Times New Roman"/>
        </w:rPr>
        <w:t xml:space="preserve">Národnej rady Slovenskej republiky </w:t>
      </w:r>
      <w:r w:rsidRPr="006E265E">
        <w:rPr>
          <w:rFonts w:ascii="Times New Roman" w:hAnsi="Times New Roman"/>
        </w:rPr>
        <w:t>č. 145</w:t>
      </w:r>
      <w:r w:rsidRPr="008E3EF9">
        <w:rPr>
          <w:rFonts w:ascii="Times New Roman" w:hAnsi="Times New Roman"/>
        </w:rPr>
        <w:t>/1995 Z. z. o správnych poplatkoch</w:t>
      </w:r>
      <w:r w:rsidRPr="009D0D22">
        <w:rPr>
          <w:rFonts w:ascii="Times New Roman" w:hAnsi="Times New Roman"/>
        </w:rPr>
        <w:t xml:space="preserve"> v znení</w:t>
      </w:r>
      <w:r w:rsidRPr="00704B9E">
        <w:rPr>
          <w:rFonts w:ascii="Times New Roman" w:hAnsi="Times New Roman"/>
        </w:rPr>
        <w:t> </w:t>
      </w:r>
      <w:r>
        <w:rPr>
          <w:rFonts w:ascii="Times New Roman" w:hAnsi="Times New Roman"/>
        </w:rPr>
        <w:t>neskorších predpisov,</w:t>
      </w:r>
    </w:p>
    <w:p w:rsidR="002F310A" w:rsidRPr="00704B9E" w:rsidP="007D4CAB">
      <w:pPr>
        <w:bidi w:val="0"/>
        <w:ind w:left="720"/>
        <w:jc w:val="both"/>
        <w:rPr>
          <w:rFonts w:ascii="Times New Roman" w:hAnsi="Times New Roman"/>
        </w:rPr>
      </w:pPr>
      <w:r w:rsidRPr="00A56B19">
        <w:rPr>
          <w:rFonts w:ascii="Times New Roman" w:hAnsi="Times New Roman"/>
        </w:rPr>
        <w:t>zákon č. 435/2000 Z. z. o námornej plavbe v znení neskorších predpisov</w:t>
      </w:r>
    </w:p>
    <w:p w:rsidR="002F310A" w:rsidRPr="00704B9E" w:rsidP="007D4CAB">
      <w:pPr>
        <w:bidi w:val="0"/>
        <w:ind w:firstLine="708"/>
        <w:jc w:val="both"/>
        <w:rPr>
          <w:rFonts w:ascii="Times New Roman" w:hAnsi="Times New Roman"/>
        </w:rPr>
      </w:pPr>
    </w:p>
    <w:p w:rsidR="002F310A" w:rsidRPr="00704B9E" w:rsidP="007D4CAB">
      <w:pPr>
        <w:bidi w:val="0"/>
        <w:ind w:left="360" w:hanging="360"/>
        <w:jc w:val="both"/>
        <w:rPr>
          <w:rFonts w:ascii="Times New Roman" w:hAnsi="Times New Roman"/>
          <w:b/>
        </w:rPr>
      </w:pPr>
      <w:r w:rsidRPr="00704B9E">
        <w:rPr>
          <w:rFonts w:ascii="Times New Roman" w:hAnsi="Times New Roman"/>
          <w:b/>
        </w:rPr>
        <w:t>5.</w:t>
        <w:tab/>
        <w:t>Stupeň zlučiteľnosti návrhu právneho predpisu s právom Európskej únie:</w:t>
      </w:r>
    </w:p>
    <w:p w:rsidR="002F310A" w:rsidRPr="00704B9E" w:rsidP="007D4CAB">
      <w:pPr>
        <w:bidi w:val="0"/>
        <w:jc w:val="both"/>
        <w:rPr>
          <w:rFonts w:ascii="Times New Roman" w:hAnsi="Times New Roman"/>
        </w:rPr>
      </w:pPr>
    </w:p>
    <w:p w:rsidR="002F310A" w:rsidP="007D4CAB">
      <w:pPr>
        <w:bidi w:val="0"/>
        <w:ind w:firstLine="360"/>
        <w:jc w:val="both"/>
        <w:rPr>
          <w:rFonts w:ascii="Times New Roman" w:hAnsi="Times New Roman"/>
        </w:rPr>
      </w:pPr>
      <w:r w:rsidRPr="00704B9E">
        <w:rPr>
          <w:rFonts w:ascii="Times New Roman" w:hAnsi="Times New Roman"/>
        </w:rPr>
        <w:t xml:space="preserve">Stupeň zlučiteľnosti </w:t>
      </w:r>
    </w:p>
    <w:p w:rsidR="002F310A" w:rsidRPr="006E265E" w:rsidP="007D4CAB">
      <w:pPr>
        <w:bidi w:val="0"/>
        <w:ind w:firstLine="360"/>
        <w:jc w:val="both"/>
        <w:rPr>
          <w:rFonts w:ascii="Times New Roman" w:hAnsi="Times New Roman"/>
        </w:rPr>
      </w:pPr>
      <w:r w:rsidRPr="006E265E">
        <w:rPr>
          <w:rFonts w:ascii="Times New Roman" w:hAnsi="Times New Roman"/>
        </w:rPr>
        <w:t>čiastočný</w:t>
      </w:r>
      <w:r w:rsidRPr="006E265E">
        <w:rPr>
          <w:rFonts w:ascii="Times New Roman" w:hAnsi="Times New Roman"/>
          <w:color w:val="000000"/>
        </w:rPr>
        <w:t xml:space="preserve"> - smernica Európskeho parlamentu a Rady 2012/35/EÚ</w:t>
      </w:r>
      <w:r w:rsidRPr="006E265E">
        <w:rPr>
          <w:rFonts w:ascii="Times New Roman" w:hAnsi="Times New Roman"/>
        </w:rPr>
        <w:t xml:space="preserve"> </w:t>
      </w:r>
    </w:p>
    <w:p w:rsidR="002F310A" w:rsidRPr="00704B9E" w:rsidP="007D4CAB">
      <w:pPr>
        <w:bidi w:val="0"/>
        <w:ind w:firstLine="360"/>
        <w:jc w:val="both"/>
        <w:rPr>
          <w:rFonts w:ascii="Times New Roman" w:hAnsi="Times New Roman"/>
        </w:rPr>
      </w:pPr>
      <w:r w:rsidRPr="006E265E">
        <w:rPr>
          <w:rFonts w:ascii="Times New Roman" w:hAnsi="Times New Roman"/>
          <w:bCs/>
        </w:rPr>
        <w:t>úplný</w:t>
      </w:r>
      <w:r w:rsidRPr="006E265E">
        <w:rPr>
          <w:rStyle w:val="Emphasis"/>
          <w:rFonts w:ascii="Times New Roman" w:hAnsi="Times New Roman"/>
          <w:i w:val="0"/>
        </w:rPr>
        <w:t xml:space="preserve"> - smernica </w:t>
      </w:r>
      <w:r w:rsidRPr="006E265E">
        <w:rPr>
          <w:rFonts w:ascii="Times New Roman" w:hAnsi="Times New Roman"/>
        </w:rPr>
        <w:t xml:space="preserve">Európskeho parlamentu a Rady </w:t>
      </w:r>
      <w:r w:rsidRPr="006E265E">
        <w:rPr>
          <w:rFonts w:ascii="Times New Roman" w:hAnsi="Times New Roman"/>
          <w:bCs/>
        </w:rPr>
        <w:t>2013/38/EÚ</w:t>
      </w:r>
      <w:r>
        <w:rPr>
          <w:rFonts w:ascii="Times New Roman" w:hAnsi="Times New Roman"/>
          <w:bCs/>
        </w:rPr>
        <w:t xml:space="preserve"> </w:t>
      </w:r>
    </w:p>
    <w:p w:rsidR="002F310A" w:rsidRPr="00704B9E" w:rsidP="007D4CAB">
      <w:pPr>
        <w:bidi w:val="0"/>
        <w:jc w:val="both"/>
        <w:rPr>
          <w:rFonts w:ascii="Times New Roman" w:hAnsi="Times New Roman"/>
        </w:rPr>
      </w:pPr>
    </w:p>
    <w:p w:rsidR="002F310A" w:rsidRPr="00704B9E" w:rsidP="007D4CAB">
      <w:pPr>
        <w:bidi w:val="0"/>
        <w:ind w:left="360" w:hanging="360"/>
        <w:jc w:val="both"/>
        <w:rPr>
          <w:rFonts w:ascii="Times New Roman" w:hAnsi="Times New Roman"/>
          <w:b/>
        </w:rPr>
      </w:pPr>
      <w:r w:rsidRPr="00704B9E">
        <w:rPr>
          <w:rFonts w:ascii="Times New Roman" w:hAnsi="Times New Roman"/>
          <w:b/>
        </w:rPr>
        <w:t>6.</w:t>
        <w:tab/>
        <w:t xml:space="preserve">Gestor a spolupracujúce rezorty: </w:t>
      </w:r>
    </w:p>
    <w:p w:rsidR="002F310A" w:rsidRPr="00704B9E" w:rsidP="007D4CAB">
      <w:pPr>
        <w:tabs>
          <w:tab w:val="left" w:pos="360"/>
        </w:tabs>
        <w:bidi w:val="0"/>
        <w:ind w:left="360"/>
        <w:jc w:val="both"/>
        <w:rPr>
          <w:rFonts w:ascii="Times New Roman" w:hAnsi="Times New Roman"/>
        </w:rPr>
      </w:pPr>
    </w:p>
    <w:p w:rsidR="002F310A" w:rsidP="007D4CAB">
      <w:pPr>
        <w:tabs>
          <w:tab w:val="left" w:pos="360"/>
        </w:tabs>
        <w:bidi w:val="0"/>
        <w:ind w:left="360"/>
        <w:jc w:val="both"/>
        <w:rPr>
          <w:rFonts w:ascii="Times New Roman" w:hAnsi="Times New Roman"/>
        </w:rPr>
      </w:pPr>
      <w:r w:rsidRPr="00704B9E">
        <w:rPr>
          <w:rFonts w:ascii="Times New Roman" w:hAnsi="Times New Roman"/>
        </w:rPr>
        <w:t>Ministerstvo dopravy, výstavby a regionálneho rozvoja Slovenskej republiky</w:t>
      </w:r>
    </w:p>
    <w:p w:rsidR="002F310A" w:rsidP="007D4CAB">
      <w:pPr>
        <w:tabs>
          <w:tab w:val="left" w:pos="360"/>
        </w:tabs>
        <w:bidi w:val="0"/>
        <w:jc w:val="both"/>
        <w:rPr>
          <w:rFonts w:ascii="Times New Roman" w:hAnsi="Times New Roman"/>
        </w:rPr>
      </w:pPr>
    </w:p>
    <w:p w:rsidR="002F310A" w:rsidP="002F310A">
      <w:pPr>
        <w:bidi w:val="0"/>
        <w:rPr>
          <w:rFonts w:ascii="Times New Roman" w:hAnsi="Times New Roman"/>
        </w:rPr>
      </w:pPr>
    </w:p>
    <w:p w:rsidR="005727BF"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P="002F310A">
      <w:pPr>
        <w:bidi w:val="0"/>
        <w:rPr>
          <w:rFonts w:ascii="Times New Roman" w:hAnsi="Times New Roman"/>
        </w:rPr>
      </w:pPr>
    </w:p>
    <w:p w:rsidR="002F310A" w:rsidRPr="009B3CC2" w:rsidP="007D4CAB">
      <w:pPr>
        <w:bidi w:val="0"/>
        <w:jc w:val="both"/>
        <w:rPr>
          <w:rFonts w:ascii="Times New Roman" w:hAnsi="Times New Roman"/>
          <w:b/>
          <w:bCs/>
          <w:u w:val="single"/>
        </w:rPr>
      </w:pPr>
      <w:r w:rsidRPr="009B3CC2">
        <w:rPr>
          <w:rFonts w:ascii="Times New Roman" w:hAnsi="Times New Roman"/>
          <w:b/>
          <w:bCs/>
          <w:u w:val="single"/>
        </w:rPr>
        <w:t xml:space="preserve">Osobitná časť:   </w:t>
      </w:r>
    </w:p>
    <w:p w:rsidR="002F310A" w:rsidRPr="009B3CC2" w:rsidP="007D4CAB">
      <w:pPr>
        <w:bidi w:val="0"/>
        <w:jc w:val="both"/>
        <w:rPr>
          <w:rFonts w:ascii="Times New Roman" w:hAnsi="Times New Roman"/>
          <w:b/>
          <w:bCs/>
          <w:u w:val="single"/>
        </w:rPr>
      </w:pPr>
    </w:p>
    <w:p w:rsidR="002F310A" w:rsidRPr="002F310A" w:rsidP="007D4CAB">
      <w:pPr>
        <w:pStyle w:val="Heading4"/>
        <w:bidi w:val="0"/>
        <w:spacing w:before="0" w:after="0"/>
        <w:jc w:val="both"/>
        <w:rPr>
          <w:rFonts w:ascii="Times New Roman" w:hAnsi="Times New Roman"/>
          <w:sz w:val="24"/>
          <w:szCs w:val="24"/>
        </w:rPr>
      </w:pPr>
      <w:r w:rsidRPr="002F310A">
        <w:rPr>
          <w:rFonts w:ascii="Times New Roman" w:hAnsi="Times New Roman"/>
          <w:sz w:val="24"/>
          <w:szCs w:val="24"/>
        </w:rPr>
        <w:t>K čl. I</w:t>
      </w:r>
    </w:p>
    <w:p w:rsidR="002F310A" w:rsidRPr="002F310A" w:rsidP="007D4CAB">
      <w:pPr>
        <w:bidi w:val="0"/>
        <w:jc w:val="both"/>
        <w:rPr>
          <w:rFonts w:ascii="Times New Roman" w:hAnsi="Times New Roman"/>
        </w:rPr>
      </w:pPr>
    </w:p>
    <w:p w:rsidR="002F310A" w:rsidRPr="002F310A" w:rsidP="007D4CAB">
      <w:pPr>
        <w:bidi w:val="0"/>
        <w:jc w:val="both"/>
        <w:rPr>
          <w:rFonts w:ascii="Times New Roman" w:hAnsi="Times New Roman"/>
          <w:u w:val="single"/>
        </w:rPr>
      </w:pPr>
      <w:r w:rsidRPr="002F310A">
        <w:rPr>
          <w:rFonts w:ascii="Times New Roman" w:hAnsi="Times New Roman"/>
          <w:u w:val="single"/>
        </w:rPr>
        <w:t>K bodu 1 :</w:t>
      </w:r>
    </w:p>
    <w:p w:rsidR="002F310A" w:rsidRPr="002F310A" w:rsidP="007D4CAB">
      <w:pPr>
        <w:pStyle w:val="BodyTextIndent3"/>
        <w:bidi w:val="0"/>
        <w:spacing w:after="0"/>
        <w:ind w:left="0"/>
        <w:jc w:val="both"/>
        <w:rPr>
          <w:rFonts w:ascii="Times New Roman" w:hAnsi="Times New Roman"/>
          <w:sz w:val="24"/>
          <w:szCs w:val="24"/>
        </w:rPr>
      </w:pPr>
      <w:r w:rsidRPr="002F310A">
        <w:rPr>
          <w:rFonts w:ascii="Times New Roman" w:hAnsi="Times New Roman"/>
          <w:sz w:val="24"/>
          <w:szCs w:val="24"/>
        </w:rPr>
        <w:t>Spresňuje sa pojem „námorná jachta“. Predmetom úpravy návrhu zákona je námorná jachta, ktorá je námornou loďou používanou výlučne na rekreačné a nekomerčné účely.</w:t>
      </w:r>
    </w:p>
    <w:p w:rsidR="002F310A" w:rsidRPr="002F310A" w:rsidP="007D4CAB">
      <w:pPr>
        <w:pStyle w:val="BodyTextIndent3"/>
        <w:bidi w:val="0"/>
        <w:spacing w:after="0"/>
        <w:ind w:left="0"/>
        <w:jc w:val="both"/>
        <w:rPr>
          <w:rFonts w:ascii="Times New Roman" w:hAnsi="Times New Roman"/>
          <w:sz w:val="24"/>
          <w:szCs w:val="24"/>
        </w:rPr>
      </w:pPr>
    </w:p>
    <w:p w:rsidR="002F310A" w:rsidRPr="002F310A" w:rsidP="007D4CAB">
      <w:pPr>
        <w:bidi w:val="0"/>
        <w:jc w:val="both"/>
        <w:rPr>
          <w:rFonts w:ascii="Times New Roman" w:hAnsi="Times New Roman"/>
          <w:u w:val="single"/>
        </w:rPr>
      </w:pPr>
      <w:r w:rsidRPr="002F310A">
        <w:rPr>
          <w:rFonts w:ascii="Times New Roman" w:hAnsi="Times New Roman"/>
          <w:u w:val="single"/>
        </w:rPr>
        <w:t>K bodu 2:</w:t>
      </w:r>
    </w:p>
    <w:p w:rsidR="002F310A" w:rsidRPr="002F310A" w:rsidP="007D4CAB">
      <w:pPr>
        <w:pStyle w:val="BodyText"/>
        <w:tabs>
          <w:tab w:val="left" w:pos="567"/>
          <w:tab w:val="left" w:pos="709"/>
        </w:tabs>
        <w:bidi w:val="0"/>
        <w:spacing w:after="0"/>
        <w:jc w:val="both"/>
        <w:rPr>
          <w:rFonts w:ascii="Times New Roman" w:hAnsi="Times New Roman"/>
        </w:rPr>
      </w:pPr>
      <w:r w:rsidRPr="002F310A">
        <w:rPr>
          <w:rFonts w:ascii="Times New Roman" w:hAnsi="Times New Roman"/>
        </w:rPr>
        <w:t>Ak orgán iného členského štátu začne konanie vo veci porušenia povinnosti zabezpečiť bezpečnú prevádzku námornej lode, obsadiť námornú loď lodnou posádkou v počte a zložení zodpovedajúcom účelu plavby a požiadavkám medzinárodných dohôd, povinnosti zabezpečiť, aby každý člen lodnej posádky bol na výkon pracovnej činnosti na námornej lodi odborne a zdravotne spôsobilý alebo vo veci podvodu, falšovania preukazov a výnimiek a oznámi začatie konania ministerstvu v tejto veci, ministerstvo je povinné spolupracovať s týmto orgánom.</w:t>
      </w:r>
    </w:p>
    <w:p w:rsidR="002F310A" w:rsidRPr="002F310A" w:rsidP="007D4CAB">
      <w:pPr>
        <w:pStyle w:val="BodyText"/>
        <w:tabs>
          <w:tab w:val="left" w:pos="567"/>
          <w:tab w:val="left" w:pos="709"/>
        </w:tabs>
        <w:bidi w:val="0"/>
        <w:spacing w:after="0"/>
        <w:jc w:val="both"/>
        <w:rPr>
          <w:rFonts w:ascii="Times New Roman" w:hAnsi="Times New Roman"/>
        </w:rPr>
      </w:pPr>
    </w:p>
    <w:p w:rsidR="002F310A" w:rsidRPr="002F310A" w:rsidP="007D4CAB">
      <w:pPr>
        <w:pStyle w:val="BodyText"/>
        <w:tabs>
          <w:tab w:val="left" w:pos="567"/>
          <w:tab w:val="left" w:pos="709"/>
        </w:tabs>
        <w:bidi w:val="0"/>
        <w:spacing w:after="0"/>
        <w:jc w:val="both"/>
        <w:rPr>
          <w:rFonts w:ascii="Times New Roman" w:hAnsi="Times New Roman"/>
          <w:u w:val="single"/>
        </w:rPr>
      </w:pPr>
      <w:r w:rsidRPr="002F310A">
        <w:rPr>
          <w:rFonts w:ascii="Times New Roman" w:hAnsi="Times New Roman"/>
          <w:u w:val="single"/>
        </w:rPr>
        <w:t>K bodu 3:</w:t>
      </w:r>
    </w:p>
    <w:p w:rsidR="002F310A" w:rsidRPr="002F310A" w:rsidP="007D4CAB">
      <w:pPr>
        <w:pStyle w:val="Header"/>
        <w:tabs>
          <w:tab w:val="clear" w:pos="4536"/>
          <w:tab w:val="clear" w:pos="9072"/>
        </w:tabs>
        <w:bidi w:val="0"/>
        <w:jc w:val="both"/>
        <w:rPr>
          <w:rFonts w:ascii="Times New Roman" w:hAnsi="Times New Roman"/>
          <w:u w:val="single"/>
        </w:rPr>
      </w:pPr>
      <w:r w:rsidRPr="002F310A">
        <w:rPr>
          <w:rFonts w:ascii="Times New Roman" w:hAnsi="Times New Roman"/>
        </w:rPr>
        <w:t>Ide o spresnenie ustanovenia o vydávaní preukazov spôsobilosti ministerstvom podľa medzinárodného dohovoru STCW, ktorým sa zavádzajú okrem preukazov odbornej spôsobilosti aj preukazy spôsobilosti, ktoré sa vydávajú členom lodnej posádky na výkon funkcie okrem veliteľa a dôstojníkov a po absolvovaní kvalifikačných kurzov.</w:t>
      </w:r>
    </w:p>
    <w:p w:rsidR="002F310A" w:rsidRPr="002F310A" w:rsidP="007D4CAB">
      <w:pPr>
        <w:pStyle w:val="Header"/>
        <w:tabs>
          <w:tab w:val="clear" w:pos="4536"/>
          <w:tab w:val="clear" w:pos="9072"/>
        </w:tabs>
        <w:bidi w:val="0"/>
        <w:jc w:val="both"/>
        <w:rPr>
          <w:rFonts w:ascii="Times New Roman" w:hAnsi="Times New Roman"/>
          <w:u w:val="single"/>
        </w:rPr>
      </w:pPr>
    </w:p>
    <w:p w:rsidR="002F310A" w:rsidRPr="002F310A" w:rsidP="007D4CAB">
      <w:pPr>
        <w:pStyle w:val="Header"/>
        <w:tabs>
          <w:tab w:val="clear" w:pos="4536"/>
          <w:tab w:val="clear" w:pos="9072"/>
        </w:tabs>
        <w:bidi w:val="0"/>
        <w:jc w:val="both"/>
        <w:rPr>
          <w:rFonts w:ascii="Times New Roman" w:hAnsi="Times New Roman"/>
          <w:u w:val="single"/>
        </w:rPr>
      </w:pPr>
      <w:r w:rsidRPr="002F310A">
        <w:rPr>
          <w:rFonts w:ascii="Times New Roman" w:hAnsi="Times New Roman"/>
          <w:u w:val="single"/>
        </w:rPr>
        <w:t>K bodu 4:</w:t>
      </w:r>
    </w:p>
    <w:p w:rsidR="002F310A" w:rsidRPr="002F310A" w:rsidP="007D4CAB">
      <w:pPr>
        <w:pStyle w:val="Header"/>
        <w:tabs>
          <w:tab w:val="clear" w:pos="4536"/>
          <w:tab w:val="clear" w:pos="9072"/>
        </w:tabs>
        <w:bidi w:val="0"/>
        <w:jc w:val="both"/>
        <w:rPr>
          <w:rFonts w:ascii="Times New Roman" w:hAnsi="Times New Roman"/>
          <w:u w:val="single"/>
        </w:rPr>
      </w:pPr>
      <w:r w:rsidRPr="002F310A">
        <w:rPr>
          <w:rFonts w:ascii="Times New Roman" w:hAnsi="Times New Roman"/>
        </w:rPr>
        <w:t xml:space="preserve">Ustanovuje sa výnimka, ktorú ministerstvo môže udeliť podľa medzinárodného dohovoru STCW.  </w:t>
      </w:r>
    </w:p>
    <w:p w:rsidR="002F310A" w:rsidRPr="002F310A" w:rsidP="007D4CAB">
      <w:pPr>
        <w:pStyle w:val="Header"/>
        <w:tabs>
          <w:tab w:val="clear" w:pos="4536"/>
          <w:tab w:val="clear" w:pos="9072"/>
        </w:tabs>
        <w:bidi w:val="0"/>
        <w:jc w:val="both"/>
        <w:rPr>
          <w:rFonts w:ascii="Times New Roman" w:hAnsi="Times New Roman"/>
        </w:rPr>
      </w:pPr>
    </w:p>
    <w:p w:rsidR="002F310A" w:rsidRPr="002F310A" w:rsidP="007D4CAB">
      <w:pPr>
        <w:pStyle w:val="Header"/>
        <w:tabs>
          <w:tab w:val="clear" w:pos="4536"/>
          <w:tab w:val="clear" w:pos="9072"/>
        </w:tabs>
        <w:bidi w:val="0"/>
        <w:jc w:val="both"/>
        <w:rPr>
          <w:rFonts w:ascii="Times New Roman" w:hAnsi="Times New Roman"/>
          <w:u w:val="single"/>
        </w:rPr>
      </w:pPr>
      <w:r w:rsidRPr="002F310A">
        <w:rPr>
          <w:rFonts w:ascii="Times New Roman" w:hAnsi="Times New Roman"/>
          <w:u w:val="single"/>
        </w:rPr>
        <w:t xml:space="preserve">K bodom </w:t>
      </w:r>
      <w:smartTag w:uri="urn:schemas-microsoft-com:office:smarttags" w:element="metricconverter">
        <w:smartTagPr>
          <w:attr w:name="ProductID" w:val="51 a"/>
        </w:smartTagPr>
        <w:r w:rsidRPr="002F310A">
          <w:rPr>
            <w:rFonts w:ascii="Times New Roman" w:hAnsi="Times New Roman"/>
            <w:u w:val="single"/>
          </w:rPr>
          <w:t>5 a</w:t>
        </w:r>
      </w:smartTag>
      <w:r w:rsidRPr="002F310A">
        <w:rPr>
          <w:rFonts w:ascii="Times New Roman" w:hAnsi="Times New Roman"/>
          <w:u w:val="single"/>
        </w:rPr>
        <w:t xml:space="preserve"> 6:</w:t>
      </w:r>
    </w:p>
    <w:p w:rsidR="002F310A" w:rsidRPr="002F310A" w:rsidP="007D4CAB">
      <w:pPr>
        <w:pStyle w:val="Header"/>
        <w:tabs>
          <w:tab w:val="clear" w:pos="4536"/>
          <w:tab w:val="clear" w:pos="9072"/>
        </w:tabs>
        <w:bidi w:val="0"/>
        <w:jc w:val="both"/>
        <w:rPr>
          <w:rFonts w:ascii="Times New Roman" w:hAnsi="Times New Roman"/>
          <w:u w:val="single"/>
        </w:rPr>
      </w:pPr>
      <w:r w:rsidRPr="002F310A">
        <w:rPr>
          <w:rFonts w:ascii="Times New Roman" w:hAnsi="Times New Roman"/>
        </w:rPr>
        <w:t>Upresňuje sa vedenie evidencií jednotlivých preukazov spôsobilosti vzhľadom na ich stav (platnosť, strata, zničenie),  evidencie výnimiek v súlade s medzinárodným dohovorom STCW, námorníckych knižiek a evidencie kvalifikačných kurzov a kurzov na vedenie rekreačných plavidiel. Ustanovuje sa zoznam osobných údajov (meno a priezvisko, dátum a miesto narodenia, pohlavie, jedinečný identifikátor – biometrický údaj ako napríklad odtlačok prsta, odtlačok dlane, analýza deoxyribonukleovej kyseliny, nasnímanie podoby tváre, ak je dostupný, adresa trvalého pobytu, štátna príslušnosť a číslo občianskeho preukazu alebo obdobného dokladu) obsiahnutých v týchto evidenciách a okruh osôb, ktorým sa tieto údaju môžu poskytnúť.</w:t>
      </w:r>
    </w:p>
    <w:p w:rsidR="002F310A" w:rsidRPr="002F310A" w:rsidP="007D4CAB">
      <w:pPr>
        <w:bidi w:val="0"/>
        <w:jc w:val="both"/>
        <w:rPr>
          <w:rFonts w:ascii="Times New Roman" w:hAnsi="Times New Roman"/>
        </w:rPr>
      </w:pPr>
    </w:p>
    <w:p w:rsidR="002F310A" w:rsidRPr="002F310A" w:rsidP="007D4CAB">
      <w:pPr>
        <w:bidi w:val="0"/>
        <w:jc w:val="both"/>
        <w:rPr>
          <w:rFonts w:ascii="Times New Roman" w:hAnsi="Times New Roman"/>
          <w:u w:val="single"/>
        </w:rPr>
      </w:pPr>
      <w:r w:rsidRPr="002F310A">
        <w:rPr>
          <w:rFonts w:ascii="Times New Roman" w:hAnsi="Times New Roman"/>
          <w:u w:val="single"/>
        </w:rPr>
        <w:t>K bodu 7:</w:t>
      </w:r>
    </w:p>
    <w:p w:rsidR="002F310A" w:rsidRPr="002F310A" w:rsidP="007D4CAB">
      <w:pPr>
        <w:pStyle w:val="Header"/>
        <w:tabs>
          <w:tab w:val="clear" w:pos="4536"/>
          <w:tab w:val="clear" w:pos="9072"/>
        </w:tabs>
        <w:bidi w:val="0"/>
        <w:jc w:val="both"/>
        <w:rPr>
          <w:rFonts w:ascii="Times New Roman" w:hAnsi="Times New Roman"/>
        </w:rPr>
      </w:pPr>
      <w:r w:rsidRPr="002F310A">
        <w:rPr>
          <w:rFonts w:ascii="Times New Roman" w:hAnsi="Times New Roman"/>
        </w:rPr>
        <w:t>Ide o legislatívno-technickú úpravu, ktorá zohľadňuje zmenu v bode 6 § 4 ods. 2 písm. q) návrhu zákona.</w:t>
      </w:r>
    </w:p>
    <w:p w:rsidR="002F310A" w:rsidRPr="002F310A" w:rsidP="007D4CAB">
      <w:pPr>
        <w:pStyle w:val="Header"/>
        <w:tabs>
          <w:tab w:val="clear" w:pos="4536"/>
          <w:tab w:val="clear" w:pos="9072"/>
        </w:tabs>
        <w:bidi w:val="0"/>
        <w:jc w:val="both"/>
        <w:rPr>
          <w:rFonts w:ascii="Times New Roman" w:hAnsi="Times New Roman"/>
        </w:rPr>
      </w:pPr>
    </w:p>
    <w:p w:rsidR="002F310A" w:rsidRPr="002F310A" w:rsidP="007D4CAB">
      <w:pPr>
        <w:bidi w:val="0"/>
        <w:jc w:val="both"/>
        <w:rPr>
          <w:rFonts w:ascii="Times New Roman" w:hAnsi="Times New Roman"/>
          <w:u w:val="single"/>
        </w:rPr>
      </w:pPr>
      <w:r w:rsidRPr="002F310A">
        <w:rPr>
          <w:rFonts w:ascii="Times New Roman" w:hAnsi="Times New Roman"/>
          <w:u w:val="single"/>
        </w:rPr>
        <w:t>K bodu 8:</w:t>
      </w:r>
    </w:p>
    <w:p w:rsidR="002F310A" w:rsidRPr="002F310A" w:rsidP="007D4CAB">
      <w:pPr>
        <w:bidi w:val="0"/>
        <w:jc w:val="both"/>
        <w:rPr>
          <w:rFonts w:ascii="Times New Roman" w:hAnsi="Times New Roman"/>
        </w:rPr>
      </w:pPr>
      <w:r w:rsidRPr="002F310A">
        <w:rPr>
          <w:rFonts w:ascii="Times New Roman" w:hAnsi="Times New Roman"/>
        </w:rPr>
        <w:t xml:space="preserve">Ustanovuje povinnosť ministerstva podrobiť sa nezávislému hodnoteniu činností súvisiacich s hodnotením odbornej spôsobilosti podľa medzinárodného dohovoru STCW ako aj možnosť ministerstva vykonať takéto hodnotenie, informovať EK a IMO o výsledkoch nezávislého hodnotenia a poskytovať informácie uvedené v prílohe č. 2 návrhu zákona EK na štatistické účely. Osobné údaje uvedené v prílohe č. 2 </w:t>
      </w:r>
      <w:r w:rsidRPr="002F310A">
        <w:rPr>
          <w:rFonts w:ascii="Times New Roman" w:hAnsi="Times New Roman"/>
          <w:color w:val="000000"/>
        </w:rPr>
        <w:t>sa zasielajú v podobe náhodne prideleného kódu priamo kryptovacím programom.</w:t>
      </w:r>
      <w:r w:rsidRPr="002F310A">
        <w:rPr>
          <w:rFonts w:ascii="Times New Roman" w:hAnsi="Times New Roman"/>
        </w:rPr>
        <w:t xml:space="preserve"> Ustanovujú sa ďalšie povinnosti vyplývajúce z medzinárodného dohovoru STCW.  </w:t>
      </w:r>
    </w:p>
    <w:p w:rsidR="002F310A" w:rsidRPr="002F310A" w:rsidP="007D4CAB">
      <w:pPr>
        <w:bidi w:val="0"/>
        <w:jc w:val="both"/>
        <w:rPr>
          <w:rFonts w:ascii="Times New Roman" w:hAnsi="Times New Roman"/>
          <w:u w:val="single"/>
        </w:rPr>
      </w:pPr>
      <w:r w:rsidRPr="002F310A">
        <w:rPr>
          <w:rFonts w:ascii="Times New Roman" w:hAnsi="Times New Roman"/>
          <w:u w:val="single"/>
        </w:rPr>
        <w:t>K bodu 9:</w:t>
      </w:r>
    </w:p>
    <w:p w:rsidR="002F310A" w:rsidRPr="002F310A" w:rsidP="007D4CAB">
      <w:pPr>
        <w:pStyle w:val="BodyText"/>
        <w:tabs>
          <w:tab w:val="left" w:pos="567"/>
          <w:tab w:val="left" w:pos="709"/>
        </w:tabs>
        <w:bidi w:val="0"/>
        <w:spacing w:after="0"/>
        <w:jc w:val="both"/>
        <w:rPr>
          <w:rFonts w:ascii="Times New Roman" w:hAnsi="Times New Roman"/>
        </w:rPr>
      </w:pPr>
      <w:r w:rsidRPr="002F310A">
        <w:rPr>
          <w:rFonts w:ascii="Times New Roman" w:hAnsi="Times New Roman"/>
        </w:rPr>
        <w:t>Ustanovujú sa povinnosti ministerstva zaviesť a udržiavať systém riadenia kvality vyplývajúci z povinností vlajkového štátu podľa medzinárodných noriem kvality. Upravujú sa podmienky poverovania osôb, ktoré chcú vykonávať kvalifikačné kurzy a podmienky odobratia poverenia osobe, ktorá vykonáva kvalifikačné kurzy. Podmienkami na udelenie poverenia pre fyzickú osobu alebo právnickú osobu sú zavedenie systému riadenia kvality, organizačné a materiálne zabezpečenie kvalifikačného kurzu,</w:t>
      </w:r>
      <w:r w:rsidRPr="002F310A">
        <w:rPr>
          <w:rFonts w:ascii="Times New Roman" w:hAnsi="Times New Roman"/>
          <w:color w:val="000000"/>
        </w:rPr>
        <w:t xml:space="preserve"> zabezpečenie lektorov odborne spôsobilých podľa medzinárodnej zmluvy</w:t>
      </w:r>
      <w:r w:rsidRPr="002F310A">
        <w:rPr>
          <w:rFonts w:ascii="Times New Roman" w:hAnsi="Times New Roman"/>
        </w:rPr>
        <w:t xml:space="preserve"> a vypracovanie písomného programu kvalifikačného kurzu, učebných osnov, vzoru osvedčenia o absolvovaní kvalifikačného kurzu, vzoru záverečného hodnotenia a vzorovej evidencie dokumentácie kvalifikačného kurzu.</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 xml:space="preserve">K bodom </w:t>
      </w:r>
      <w:smartTag w:uri="urn:schemas-microsoft-com:office:smarttags" w:element="metricconverter">
        <w:smartTagPr>
          <w:attr w:name="ProductID" w:val="51 a"/>
        </w:smartTagPr>
        <w:r w:rsidRPr="002F310A">
          <w:rPr>
            <w:rFonts w:ascii="Times New Roman" w:hAnsi="Times New Roman"/>
            <w:u w:val="single"/>
          </w:rPr>
          <w:t>10 a</w:t>
        </w:r>
      </w:smartTag>
      <w:r w:rsidRPr="002F310A">
        <w:rPr>
          <w:rFonts w:ascii="Times New Roman" w:hAnsi="Times New Roman"/>
          <w:u w:val="single"/>
        </w:rPr>
        <w:t xml:space="preserve"> 11:</w:t>
      </w:r>
    </w:p>
    <w:p w:rsidR="002F310A" w:rsidRPr="002F310A" w:rsidP="007D4CAB">
      <w:pPr>
        <w:pStyle w:val="Header"/>
        <w:tabs>
          <w:tab w:val="clear" w:pos="4536"/>
          <w:tab w:val="clear" w:pos="9072"/>
        </w:tabs>
        <w:bidi w:val="0"/>
        <w:jc w:val="both"/>
        <w:rPr>
          <w:rFonts w:ascii="Times New Roman" w:hAnsi="Times New Roman"/>
        </w:rPr>
      </w:pPr>
      <w:r w:rsidRPr="002F310A">
        <w:rPr>
          <w:rFonts w:ascii="Times New Roman" w:hAnsi="Times New Roman"/>
        </w:rPr>
        <w:t>Ide o legislatívno-technickú úpravu, ktorá zohľadňuje zmenu v bode 3 návrhu zákona.</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12:</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 xml:space="preserve">Vzhľadom na charakter registra sa vylučuje pôsobnosť zákona č. 211/2000 Z. z. </w:t>
      </w:r>
    </w:p>
    <w:p w:rsidR="002F310A" w:rsidRP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 xml:space="preserve">K bodom 13 až </w:t>
      </w:r>
      <w:smartTag w:uri="urn:schemas-microsoft-com:office:smarttags" w:element="metricconverter">
        <w:smartTagPr>
          <w:attr w:name="ProductID" w:val="51 a"/>
        </w:smartTagPr>
        <w:r w:rsidRPr="002F310A">
          <w:rPr>
            <w:rFonts w:ascii="Times New Roman" w:hAnsi="Times New Roman"/>
            <w:u w:val="single"/>
          </w:rPr>
          <w:t>26 a</w:t>
        </w:r>
      </w:smartTag>
      <w:r w:rsidRPr="002F310A">
        <w:rPr>
          <w:rFonts w:ascii="Times New Roman" w:hAnsi="Times New Roman"/>
          <w:u w:val="single"/>
        </w:rPr>
        <w:t xml:space="preserve"> 29:</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V námornom registri SR sa ustanovuje samostatná zložka register námorných jácht, upravuje sa kto podáva návrh na zápis do tohto registra, preukazovanie technickej spôsobilosti námornej jachty a uvádza sa zoznam lodných listín, denníkov a iných dokladov, ktoré musia byť na námornej jachte. Zmeny týchto ustanovení vyvolali s nimi súvisiacu legislatívno-technickú úpravu. Taktiež sa ustanovuje splnomocňovacie ustanovenie na vydanie vykonávacieho predpisu o podrobnostiach o technickej spôsobilosti námornej jachty a odbornej spôsobilosti členov lodnej posádky na námornej jachty.</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Ustanovuje sa vek námornej lode ako podmienka na registráciu v  námornom registri SR.</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bodom 27 a 28:</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Ide o legislatívno-technickú úpravu vzhľadom na úpravu bodov 21 a 8 návrhu zákona.</w:t>
      </w:r>
    </w:p>
    <w:p w:rsidR="002F310A" w:rsidRP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 xml:space="preserve">K bodom </w:t>
      </w:r>
      <w:smartTag w:uri="urn:schemas-microsoft-com:office:smarttags" w:element="metricconverter">
        <w:smartTagPr>
          <w:attr w:name="ProductID" w:val="51 a"/>
        </w:smartTagPr>
        <w:r w:rsidRPr="002F310A">
          <w:rPr>
            <w:rFonts w:ascii="Times New Roman" w:hAnsi="Times New Roman"/>
            <w:u w:val="single"/>
          </w:rPr>
          <w:t>30 a</w:t>
        </w:r>
      </w:smartTag>
      <w:r w:rsidRPr="002F310A">
        <w:rPr>
          <w:rFonts w:ascii="Times New Roman" w:hAnsi="Times New Roman"/>
          <w:u w:val="single"/>
        </w:rPr>
        <w:t xml:space="preserve"> 31:</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 xml:space="preserve">Upresňuje sa, že asistent nie je členom lodnej posádky námornej jachty a zrušuje sa legislatívna skratka. </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32:</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Zosúladenie ustanovenia so zákonom č. 5/2004 Z. z. o službách zamestnanosti a o zmene a doplnení niektorých zákonov v znení neskorších predpisov.</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33:</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Ustanovuje sa povinnosť určenia pracovného dorozumievacieho jazyka na námorných lodiach plávajúcich pod štátnou vlajkou SR vyplývajúca z medzinárodného dohovoru STCW.</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34:</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Ustanovuje sa povinnosť veliteľa týkajúca sa komunikácie na námornej lodi pod štátnou vlajkou SR v núdzových situáciách.</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35:</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Ustanovujú sa povinnosti vlastníka námornej lode viesť dokumentáciu o všetkých členoch lodnej posádky pracujúcich na námornej lodi, zabezpečiť účinnú komunikáciu na námornej lodi ako aj oboznámenie členov lodnej posádky so zariadeniami, vybavením a činnosťami súvisiacimi s výkonom pracovnej činnosti ako aj činnosťami v núdzových situáciách. Taktiež ustanovuje povinnosť vo vzťahu k veliteľovi námornej lode týkajúcej sa novo nastúpených členov lodnej posádky.</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36:</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Ide o legislatívno-technickú úpravu, ktorá zohľadňuje zmenu v bode 35 návrhu zákona.</w:t>
      </w:r>
    </w:p>
    <w:p w:rsidR="002F310A" w:rsidRP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37</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Vzhľadom na veľký rozsah zmien v § 41 uvádza sa nové znenie tohto paragrafu.</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Spresňujú sa ustanovenia o vydávaní preukazu odbornej spôsobilosti a preukazu spôsobilosti členov lodnej posádky a preukazu spôsobilosti člena posádky námornej jachty.</w:t>
      </w:r>
    </w:p>
    <w:p w:rsidR="002F310A" w:rsidRPr="002F310A" w:rsidP="007D4CAB">
      <w:pPr>
        <w:pStyle w:val="BodyText2"/>
        <w:bidi w:val="0"/>
        <w:spacing w:after="0" w:line="240" w:lineRule="auto"/>
        <w:jc w:val="both"/>
        <w:rPr>
          <w:rStyle w:val="Strong"/>
          <w:b w:val="0"/>
          <w:bCs/>
        </w:rPr>
      </w:pPr>
      <w:r w:rsidRPr="002F310A">
        <w:rPr>
          <w:rFonts w:ascii="Times New Roman" w:hAnsi="Times New Roman"/>
        </w:rPr>
        <w:t xml:space="preserve">Upravujú sa ustanovenia o vydávaní, predlžovaní platnosti a skončení platnosti potvrdenia preukazu odbornej spôsobilosti členov lodnej posádky a potvrdenia o uznaní preukazu odbornej spôsobilosti členov lodnej posádky a taktiež sa ustanovuje </w:t>
      </w:r>
      <w:r w:rsidRPr="002F310A">
        <w:rPr>
          <w:rStyle w:val="Strong"/>
          <w:b w:val="0"/>
          <w:bCs/>
        </w:rPr>
        <w:t>povinnosť ministerstva overiť pravosť predložených dokladov odbornej spôsobilosti pred vydaním potvrdenia o uznaní tohto dokladu.</w:t>
      </w:r>
    </w:p>
    <w:p w:rsidR="002F310A" w:rsidRPr="002F310A" w:rsidP="007D4CAB">
      <w:pPr>
        <w:pStyle w:val="BodyText2"/>
        <w:bidi w:val="0"/>
        <w:spacing w:after="0" w:line="240" w:lineRule="auto"/>
        <w:jc w:val="both"/>
        <w:rPr>
          <w:rStyle w:val="Strong"/>
          <w:b w:val="0"/>
          <w:bCs/>
        </w:rPr>
      </w:pPr>
      <w:r w:rsidRPr="002F310A">
        <w:rPr>
          <w:rStyle w:val="Strong"/>
          <w:b w:val="0"/>
          <w:bCs/>
        </w:rPr>
        <w:t>Ustanovuje sa spôsob uznania preukazu odbornej spôsobilosti a preukazu spôsobilosti vydaného tretím štátom a uznania školiaceho strediska, ktoré vykonáva kvalifikačné kurzy v treťom štáte. Zároveň sa ustanovujú povinnosti ministerstva, ako napríklad prijatie vhodných opatrení, ak EK prijala rozhodnutie o odobratí uznania tretieho štátu,  poskytovanie informácií o pravosti a platnosti ním vydaných preukazov a potvrdení preukazov odbornej spôsobilosti, určenie splnenia podmienok žiadateľom o vydanie potvrdenia preukazu odbornej spôsobilosti, ak platnosť tohto potvrdenia skončila pred 1.1.2017.</w:t>
      </w:r>
    </w:p>
    <w:p w:rsidR="002F310A" w:rsidRPr="002F310A" w:rsidP="007D4CAB">
      <w:pPr>
        <w:autoSpaceDE w:val="0"/>
        <w:autoSpaceDN w:val="0"/>
        <w:bidi w:val="0"/>
        <w:jc w:val="both"/>
        <w:rPr>
          <w:rStyle w:val="Strong"/>
          <w:b w:val="0"/>
          <w:bCs/>
        </w:rPr>
      </w:pPr>
      <w:r w:rsidRPr="002F310A">
        <w:rPr>
          <w:rStyle w:val="Strong"/>
          <w:b w:val="0"/>
          <w:bCs/>
        </w:rPr>
        <w:t xml:space="preserve">Spresňuje sa, že výnimka na obsadenie člena lodnej posádky, na ktorú je požadovaný preukaz odbornej spôsobilosti alebo </w:t>
      </w:r>
      <w:r w:rsidRPr="002F310A">
        <w:rPr>
          <w:rFonts w:ascii="Times New Roman" w:hAnsi="Times New Roman"/>
          <w:bCs/>
        </w:rPr>
        <w:t xml:space="preserve">preukaz spôsobilosti </w:t>
      </w:r>
      <w:r w:rsidRPr="002F310A">
        <w:rPr>
          <w:rStyle w:val="Strong"/>
          <w:b w:val="0"/>
          <w:bCs/>
        </w:rPr>
        <w:t xml:space="preserve">môže byť udelená len osobe, ktorá má preukaz spôsobilosti na výkon funkcie bezprostredne pod funkciou, na ktorú sa výnimka udeľuje a môže byť udelená len osobe na konkrétnej námornej lodi. Zároveň sa ustanovuje spôsob udelenia výnimky na obsadenie funkcie, na ktorú je podľa medzinárodného dohovoru STCW požadovaný preukaz odbornej spôsobilosti osobou bez preukazu odbornej spôsobilosti.  </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 xml:space="preserve">Upresňuje sa ustanovenie o vydávaní preukazu zdravotnej spôsobilosti a poverovanie lekára posudzovaním zdravotnej spôsobilosti v súlade s medzinárodným dohovorom STCW. </w:t>
      </w:r>
    </w:p>
    <w:p w:rsidR="002F310A" w:rsidRP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bodom 38 až 42:</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Upresňujú sa podmienky pracovného času a doba odpočinku člena lodnej posádky počas výkonu služby na námornej lodi, v stave núdze, počas pracovnej pohotovosti a poplachových cvičení. Upravuje sa forma a obsah plánu organizácie práce. Zakazuje sa vykonávať službu na námornej lodi pod vplyvom alkoholu a iných omamných alebo psychotropných látok.</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bodom 43 až 48:</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Ustanovujú sa sankcie za porušenie ustanovení zákona v súvislosti s vykonávaním kvalifikačného kurzu, posudzovaním zdravotnej spôsobilosti, povinnosťami veliteľa a vlastníka námornej lode vo vzťahu k členom lodnej posádky a ministerstvu.</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49:</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Ide o zmenu v ukladaní pokuty za správny delikt, pretože niektorí zneužívajú a úmyselne predlžujú konanie o uložení pokuty do doby, keď im už pokuta nemôže byť ulože</w:t>
      </w:r>
      <w:bookmarkStart w:id="1" w:name="_GoBack"/>
      <w:bookmarkEnd w:id="1"/>
      <w:r w:rsidRPr="002F310A">
        <w:rPr>
          <w:rFonts w:ascii="Times New Roman" w:hAnsi="Times New Roman"/>
        </w:rPr>
        <w:t>ná.</w:t>
      </w:r>
    </w:p>
    <w:p w:rsidR="002F310A" w:rsidRPr="002F310A" w:rsidP="007D4CAB">
      <w:pPr>
        <w:pStyle w:val="BodyText2"/>
        <w:bidi w:val="0"/>
        <w:spacing w:after="0" w:line="240" w:lineRule="auto"/>
        <w:jc w:val="both"/>
        <w:rPr>
          <w:rFonts w:ascii="Times New Roman" w:hAnsi="Times New Roman"/>
          <w:u w:val="single"/>
        </w:rPr>
      </w:pPr>
    </w:p>
    <w:p w:rsidR="002F310A" w:rsidP="007D4CAB">
      <w:pPr>
        <w:pStyle w:val="BodyText2"/>
        <w:bidi w:val="0"/>
        <w:spacing w:after="0" w:line="240" w:lineRule="auto"/>
        <w:jc w:val="both"/>
        <w:rPr>
          <w:rFonts w:ascii="Times New Roman" w:hAnsi="Times New Roman"/>
          <w:u w:val="single"/>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50:</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Ustanovuje sa prechodné obdobie na vydávanie preukazov odbornej spôsobilosti a potvrdení preukazov odbornej spôsobilosti a potvrdení o uznaní preukazov odbornej spôsobilosti a upravuje sa, že začaté a neukončené konania sa dokončia podľa predpisov platných do 1. júla 2014.</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 xml:space="preserve">K bodom </w:t>
      </w:r>
      <w:smartTag w:uri="urn:schemas-microsoft-com:office:smarttags" w:element="metricconverter">
        <w:smartTagPr>
          <w:attr w:name="ProductID" w:val="51 a"/>
        </w:smartTagPr>
        <w:r w:rsidRPr="002F310A">
          <w:rPr>
            <w:rFonts w:ascii="Times New Roman" w:hAnsi="Times New Roman"/>
            <w:u w:val="single"/>
          </w:rPr>
          <w:t>51 a</w:t>
        </w:r>
      </w:smartTag>
      <w:r w:rsidRPr="002F310A">
        <w:rPr>
          <w:rFonts w:ascii="Times New Roman" w:hAnsi="Times New Roman"/>
          <w:u w:val="single"/>
        </w:rPr>
        <w:t xml:space="preserve"> 52:</w:t>
      </w:r>
    </w:p>
    <w:p w:rsidR="002F310A" w:rsidRPr="002F310A" w:rsidP="007D4CAB">
      <w:pPr>
        <w:pStyle w:val="BodyText"/>
        <w:bidi w:val="0"/>
        <w:spacing w:after="0"/>
        <w:jc w:val="both"/>
        <w:rPr>
          <w:rFonts w:ascii="Times New Roman" w:hAnsi="Times New Roman"/>
        </w:rPr>
      </w:pPr>
      <w:r w:rsidRPr="002F310A">
        <w:rPr>
          <w:rFonts w:ascii="Times New Roman" w:hAnsi="Times New Roman"/>
        </w:rPr>
        <w:t xml:space="preserve">Legislatívno-technická úprava nadpisu transpozičnej prílohy a doplnenie zoznamu </w:t>
      </w:r>
      <w:r w:rsidRPr="002F310A">
        <w:rPr>
          <w:rFonts w:ascii="Times New Roman" w:hAnsi="Times New Roman"/>
          <w:color w:val="000000"/>
        </w:rPr>
        <w:t>preberaných právne záväzných aktov Európskej únie.</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u w:val="single"/>
        </w:rPr>
      </w:pPr>
      <w:r w:rsidRPr="002F310A">
        <w:rPr>
          <w:rFonts w:ascii="Times New Roman" w:hAnsi="Times New Roman"/>
          <w:u w:val="single"/>
        </w:rPr>
        <w:t>K bodu 53:</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bCs/>
          <w:color w:val="000000"/>
          <w:lang w:val="x-none"/>
        </w:rPr>
        <w:t>Ustanovujú sa informácie zasielané Európskej komisii na štatistické účely v súvislosti s bodom 8 návrhu zákona.</w:t>
      </w:r>
    </w:p>
    <w:p w:rsidR="002F310A" w:rsidRPr="002F310A" w:rsidP="007D4CAB">
      <w:pPr>
        <w:pStyle w:val="BodyText2"/>
        <w:bidi w:val="0"/>
        <w:spacing w:after="0" w:line="240" w:lineRule="auto"/>
        <w:jc w:val="both"/>
        <w:rPr>
          <w:rFonts w:ascii="Times New Roman" w:hAnsi="Times New Roman"/>
        </w:rPr>
      </w:pPr>
    </w:p>
    <w:p w:rsidR="002F310A" w:rsidRPr="002F310A" w:rsidP="007D4CAB">
      <w:pPr>
        <w:pStyle w:val="BodyText2"/>
        <w:bidi w:val="0"/>
        <w:spacing w:after="0" w:line="240" w:lineRule="auto"/>
        <w:jc w:val="both"/>
        <w:rPr>
          <w:rFonts w:ascii="Times New Roman" w:hAnsi="Times New Roman"/>
          <w:b/>
        </w:rPr>
      </w:pPr>
      <w:r w:rsidRPr="002F310A">
        <w:rPr>
          <w:rFonts w:ascii="Times New Roman" w:hAnsi="Times New Roman"/>
          <w:b/>
        </w:rPr>
        <w:t>K čl. II</w:t>
      </w:r>
    </w:p>
    <w:p w:rsidR="002F310A" w:rsidRPr="002F310A" w:rsidP="007D4CAB">
      <w:pPr>
        <w:pStyle w:val="BodyText2"/>
        <w:bidi w:val="0"/>
        <w:spacing w:after="0" w:line="240" w:lineRule="auto"/>
        <w:jc w:val="both"/>
        <w:rPr>
          <w:rFonts w:ascii="Times New Roman" w:hAnsi="Times New Roman"/>
        </w:rPr>
      </w:pPr>
      <w:r w:rsidRPr="002F310A">
        <w:rPr>
          <w:rFonts w:ascii="Times New Roman" w:hAnsi="Times New Roman"/>
        </w:rPr>
        <w:t>Vzhľadom na bod 3 návrhu zákona sa dopĺňa sadzobník správnych poplatkov, položka 97 v zákone o správnych poplatko</w:t>
      </w:r>
      <w:r w:rsidR="007D4CAB">
        <w:rPr>
          <w:rFonts w:ascii="Times New Roman" w:hAnsi="Times New Roman"/>
        </w:rPr>
        <w:t>ch</w:t>
      </w:r>
      <w:r w:rsidRPr="002F310A">
        <w:rPr>
          <w:rFonts w:ascii="Times New Roman" w:hAnsi="Times New Roman"/>
        </w:rPr>
        <w:t>.</w:t>
      </w:r>
    </w:p>
    <w:p w:rsidR="002F310A" w:rsidRPr="002F310A" w:rsidP="007D4CAB">
      <w:pPr>
        <w:pStyle w:val="BodyText2"/>
        <w:bidi w:val="0"/>
        <w:spacing w:after="0" w:line="240" w:lineRule="auto"/>
        <w:jc w:val="both"/>
        <w:rPr>
          <w:rFonts w:ascii="Times New Roman" w:hAnsi="Times New Roman"/>
          <w:b/>
        </w:rPr>
      </w:pPr>
    </w:p>
    <w:p w:rsidR="002F310A" w:rsidRPr="002F310A" w:rsidP="007D4CAB">
      <w:pPr>
        <w:pStyle w:val="BodyText2"/>
        <w:bidi w:val="0"/>
        <w:spacing w:after="0" w:line="240" w:lineRule="auto"/>
        <w:jc w:val="both"/>
        <w:rPr>
          <w:rFonts w:ascii="Times New Roman" w:hAnsi="Times New Roman"/>
          <w:b/>
        </w:rPr>
      </w:pPr>
      <w:r w:rsidRPr="002F310A">
        <w:rPr>
          <w:rFonts w:ascii="Times New Roman" w:hAnsi="Times New Roman"/>
          <w:b/>
        </w:rPr>
        <w:t>Čl. III</w:t>
      </w:r>
    </w:p>
    <w:p w:rsidR="002F310A" w:rsidP="007D4CAB">
      <w:pPr>
        <w:bidi w:val="0"/>
        <w:jc w:val="both"/>
        <w:rPr>
          <w:rFonts w:ascii="Times New Roman" w:hAnsi="Times New Roman"/>
        </w:rPr>
      </w:pPr>
      <w:r w:rsidRPr="002F310A">
        <w:rPr>
          <w:rFonts w:ascii="Times New Roman" w:hAnsi="Times New Roman"/>
        </w:rPr>
        <w:t>Ustanovuje sa účinnosť zákona.</w:t>
      </w:r>
    </w:p>
    <w:p w:rsidR="0007555C" w:rsidP="002F310A">
      <w:pPr>
        <w:bidi w:val="0"/>
        <w:rPr>
          <w:rFonts w:ascii="Times New Roman" w:hAnsi="Times New Roman"/>
        </w:rPr>
      </w:pPr>
    </w:p>
    <w:p w:rsidR="0007555C" w:rsidP="002F310A">
      <w:pPr>
        <w:bidi w:val="0"/>
        <w:rPr>
          <w:rFonts w:ascii="Times New Roman" w:hAnsi="Times New Roman"/>
        </w:rPr>
      </w:pPr>
    </w:p>
    <w:p w:rsidR="0007555C" w:rsidP="002F310A">
      <w:pPr>
        <w:bidi w:val="0"/>
        <w:rPr>
          <w:rFonts w:ascii="Times New Roman" w:hAnsi="Times New Roman"/>
        </w:rPr>
      </w:pPr>
    </w:p>
    <w:p w:rsidR="0007555C" w:rsidP="002F310A">
      <w:pPr>
        <w:bidi w:val="0"/>
        <w:rPr>
          <w:rFonts w:ascii="Times New Roman" w:hAnsi="Times New Roman"/>
        </w:rPr>
      </w:pPr>
    </w:p>
    <w:p w:rsidR="0007555C" w:rsidP="0007555C">
      <w:pPr>
        <w:bidi w:val="0"/>
        <w:jc w:val="both"/>
        <w:rPr>
          <w:rFonts w:ascii="Times New Roman" w:hAnsi="Times New Roman"/>
        </w:rPr>
      </w:pPr>
      <w:r>
        <w:rPr>
          <w:rFonts w:ascii="Times New Roman" w:hAnsi="Times New Roman"/>
        </w:rPr>
        <w:t>Bratislava 26. februára 2014</w:t>
      </w:r>
    </w:p>
    <w:p w:rsidR="0007555C" w:rsidP="0007555C">
      <w:pPr>
        <w:bidi w:val="0"/>
        <w:jc w:val="both"/>
        <w:rPr>
          <w:rFonts w:ascii="Times New Roman" w:hAnsi="Times New Roman"/>
        </w:rPr>
      </w:pPr>
    </w:p>
    <w:p w:rsidR="0007555C" w:rsidP="0007555C">
      <w:pPr>
        <w:bidi w:val="0"/>
        <w:jc w:val="both"/>
        <w:rPr>
          <w:rFonts w:ascii="Times New Roman" w:hAnsi="Times New Roman"/>
        </w:rPr>
      </w:pPr>
    </w:p>
    <w:p w:rsidR="0007555C" w:rsidP="0007555C">
      <w:pPr>
        <w:bidi w:val="0"/>
        <w:jc w:val="both"/>
        <w:rPr>
          <w:rFonts w:ascii="Times New Roman" w:hAnsi="Times New Roman"/>
        </w:rPr>
      </w:pPr>
    </w:p>
    <w:p w:rsidR="0007555C" w:rsidP="0007555C">
      <w:pPr>
        <w:bidi w:val="0"/>
        <w:jc w:val="both"/>
        <w:rPr>
          <w:rFonts w:ascii="Times New Roman" w:hAnsi="Times New Roman"/>
        </w:rPr>
      </w:pPr>
    </w:p>
    <w:p w:rsidR="0007555C" w:rsidP="0007555C">
      <w:pPr>
        <w:bidi w:val="0"/>
        <w:jc w:val="both"/>
        <w:rPr>
          <w:rFonts w:ascii="Times New Roman" w:hAnsi="Times New Roman"/>
        </w:rPr>
      </w:pPr>
    </w:p>
    <w:p w:rsidR="0007555C" w:rsidP="0007555C">
      <w:pPr>
        <w:bidi w:val="0"/>
        <w:jc w:val="center"/>
        <w:rPr>
          <w:rFonts w:ascii="Times New Roman" w:hAnsi="Times New Roman"/>
        </w:rPr>
      </w:pPr>
      <w:r>
        <w:rPr>
          <w:rFonts w:ascii="Times New Roman" w:hAnsi="Times New Roman"/>
        </w:rPr>
        <w:t>Robert Fico</w:t>
      </w:r>
    </w:p>
    <w:p w:rsidR="0007555C" w:rsidP="0007555C">
      <w:pPr>
        <w:bidi w:val="0"/>
        <w:jc w:val="center"/>
        <w:rPr>
          <w:rFonts w:ascii="Times New Roman" w:hAnsi="Times New Roman"/>
        </w:rPr>
      </w:pPr>
      <w:r>
        <w:rPr>
          <w:rFonts w:ascii="Times New Roman" w:hAnsi="Times New Roman"/>
        </w:rPr>
        <w:t>predseda vlády Slovenskej republiky</w:t>
      </w:r>
    </w:p>
    <w:p w:rsidR="0007555C" w:rsidP="0007555C">
      <w:pPr>
        <w:bidi w:val="0"/>
        <w:jc w:val="center"/>
        <w:rPr>
          <w:rFonts w:ascii="Times New Roman" w:hAnsi="Times New Roman"/>
        </w:rPr>
      </w:pPr>
    </w:p>
    <w:p w:rsidR="0007555C" w:rsidP="0007555C">
      <w:pPr>
        <w:bidi w:val="0"/>
        <w:jc w:val="center"/>
        <w:rPr>
          <w:rFonts w:ascii="Times New Roman" w:hAnsi="Times New Roman"/>
        </w:rPr>
      </w:pPr>
    </w:p>
    <w:p w:rsidR="0007555C" w:rsidP="0007555C">
      <w:pPr>
        <w:bidi w:val="0"/>
        <w:jc w:val="center"/>
        <w:rPr>
          <w:rFonts w:ascii="Times New Roman" w:hAnsi="Times New Roman"/>
        </w:rPr>
      </w:pPr>
    </w:p>
    <w:p w:rsidR="0007555C" w:rsidP="0007555C">
      <w:pPr>
        <w:bidi w:val="0"/>
        <w:jc w:val="center"/>
        <w:rPr>
          <w:rFonts w:ascii="Times New Roman" w:hAnsi="Times New Roman"/>
        </w:rPr>
      </w:pPr>
    </w:p>
    <w:p w:rsidR="0007555C" w:rsidP="0007555C">
      <w:pPr>
        <w:bidi w:val="0"/>
        <w:jc w:val="center"/>
        <w:rPr>
          <w:rFonts w:ascii="Times New Roman" w:hAnsi="Times New Roman"/>
        </w:rPr>
      </w:pPr>
    </w:p>
    <w:p w:rsidR="0007555C" w:rsidP="0007555C">
      <w:pPr>
        <w:bidi w:val="0"/>
        <w:jc w:val="center"/>
        <w:rPr>
          <w:rFonts w:ascii="Times New Roman" w:hAnsi="Times New Roman"/>
        </w:rPr>
      </w:pPr>
    </w:p>
    <w:p w:rsidR="0007555C" w:rsidP="0007555C">
      <w:pPr>
        <w:bidi w:val="0"/>
        <w:jc w:val="center"/>
        <w:rPr>
          <w:rFonts w:ascii="Times New Roman" w:hAnsi="Times New Roman"/>
        </w:rPr>
      </w:pPr>
      <w:r>
        <w:rPr>
          <w:rFonts w:ascii="Times New Roman" w:hAnsi="Times New Roman"/>
        </w:rPr>
        <w:t>Ján Počiatek</w:t>
      </w:r>
    </w:p>
    <w:p w:rsidR="0007555C" w:rsidRPr="000D7DAC" w:rsidP="0007555C">
      <w:pPr>
        <w:bidi w:val="0"/>
        <w:jc w:val="center"/>
        <w:rPr>
          <w:rFonts w:ascii="Times New Roman" w:hAnsi="Times New Roman"/>
        </w:rPr>
      </w:pPr>
      <w:r>
        <w:rPr>
          <w:rFonts w:ascii="Times New Roman" w:hAnsi="Times New Roman"/>
        </w:rPr>
        <w:t>minister dopravy, výstavby a regionálneho rozvoja SR</w:t>
      </w:r>
    </w:p>
    <w:p w:rsidR="0007555C" w:rsidRPr="002F310A" w:rsidP="002F310A">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 w:name="Cambria">
    <w:altName w:val="Gentium"/>
    <w:panose1 w:val="020405030504060302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7BF" w:rsidP="006C0ED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727B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9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27AA1">
      <w:rPr>
        <w:rFonts w:ascii="Times New Roman" w:hAnsi="Times New Roman"/>
        <w:noProof/>
      </w:rPr>
      <w:t>13</w:t>
    </w:r>
    <w:r>
      <w:rPr>
        <w:rFonts w:ascii="Times New Roman" w:hAnsi="Times New Roman"/>
      </w:rPr>
      <w:fldChar w:fldCharType="end"/>
    </w:r>
  </w:p>
  <w:p w:rsidR="005727BF" w:rsidP="003B57E1">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9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27AA1">
      <w:rPr>
        <w:rFonts w:ascii="Times New Roman" w:hAnsi="Times New Roman"/>
        <w:noProof/>
      </w:rPr>
      <w:t>1</w:t>
    </w:r>
    <w:r>
      <w:rPr>
        <w:rFonts w:ascii="Times New Roman" w:hAnsi="Times New Roman"/>
      </w:rPr>
      <w:fldChar w:fldCharType="end"/>
    </w:r>
  </w:p>
  <w:p w:rsidR="00E3619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compat>
    <w:doNotUseIndentAsNumberingTabStop/>
    <w:allowSpaceOfSameStyleInTable/>
    <w:splitPgBreakAndParaMark/>
    <w:useAnsiKerningPairs/>
  </w:compat>
  <w:rsids>
    <w:rsidRoot w:val="00897D55"/>
    <w:rsid w:val="0007555C"/>
    <w:rsid w:val="000B0D1C"/>
    <w:rsid w:val="000C66D3"/>
    <w:rsid w:val="000D7DAC"/>
    <w:rsid w:val="000E4D4E"/>
    <w:rsid w:val="000F219F"/>
    <w:rsid w:val="00124330"/>
    <w:rsid w:val="00127DF2"/>
    <w:rsid w:val="00135D0E"/>
    <w:rsid w:val="001D4DA9"/>
    <w:rsid w:val="001D5769"/>
    <w:rsid w:val="001E2F95"/>
    <w:rsid w:val="00250C0F"/>
    <w:rsid w:val="002D380F"/>
    <w:rsid w:val="002E6E5C"/>
    <w:rsid w:val="002F310A"/>
    <w:rsid w:val="003A4C68"/>
    <w:rsid w:val="003B57E1"/>
    <w:rsid w:val="003F6942"/>
    <w:rsid w:val="004161A1"/>
    <w:rsid w:val="00495682"/>
    <w:rsid w:val="004B2AE6"/>
    <w:rsid w:val="00527534"/>
    <w:rsid w:val="005435AA"/>
    <w:rsid w:val="005727BF"/>
    <w:rsid w:val="005E1956"/>
    <w:rsid w:val="006170E5"/>
    <w:rsid w:val="00675F4F"/>
    <w:rsid w:val="006C0ED9"/>
    <w:rsid w:val="006C2A8E"/>
    <w:rsid w:val="006E265E"/>
    <w:rsid w:val="00702856"/>
    <w:rsid w:val="00704B9E"/>
    <w:rsid w:val="00706708"/>
    <w:rsid w:val="00724718"/>
    <w:rsid w:val="007462FF"/>
    <w:rsid w:val="007619E7"/>
    <w:rsid w:val="007B3666"/>
    <w:rsid w:val="007B3C71"/>
    <w:rsid w:val="007D4CAB"/>
    <w:rsid w:val="008815E2"/>
    <w:rsid w:val="00897D55"/>
    <w:rsid w:val="008B25A6"/>
    <w:rsid w:val="008B28D6"/>
    <w:rsid w:val="008C6AB3"/>
    <w:rsid w:val="008E0B0A"/>
    <w:rsid w:val="008E3EF9"/>
    <w:rsid w:val="00927AA1"/>
    <w:rsid w:val="00963C3A"/>
    <w:rsid w:val="009641B8"/>
    <w:rsid w:val="00985A14"/>
    <w:rsid w:val="009B3CC2"/>
    <w:rsid w:val="009D0D22"/>
    <w:rsid w:val="00A56B19"/>
    <w:rsid w:val="00A601EF"/>
    <w:rsid w:val="00A64D2D"/>
    <w:rsid w:val="00B32C2A"/>
    <w:rsid w:val="00B712B9"/>
    <w:rsid w:val="00BA3585"/>
    <w:rsid w:val="00BE3220"/>
    <w:rsid w:val="00BF5A4B"/>
    <w:rsid w:val="00C03B8F"/>
    <w:rsid w:val="00C0489E"/>
    <w:rsid w:val="00C20897"/>
    <w:rsid w:val="00C618E9"/>
    <w:rsid w:val="00CA68A1"/>
    <w:rsid w:val="00CD5A26"/>
    <w:rsid w:val="00D01D30"/>
    <w:rsid w:val="00D023A3"/>
    <w:rsid w:val="00D9768D"/>
    <w:rsid w:val="00DC1B59"/>
    <w:rsid w:val="00DC5D81"/>
    <w:rsid w:val="00E338C0"/>
    <w:rsid w:val="00E3619F"/>
    <w:rsid w:val="00E76237"/>
    <w:rsid w:val="00E77526"/>
    <w:rsid w:val="00EE554F"/>
    <w:rsid w:val="00FA2B3F"/>
    <w:rsid w:val="00FF15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Nadpis4Char"/>
    <w:uiPriority w:val="99"/>
    <w:locked/>
    <w:rsid w:val="005727BF"/>
    <w:pPr>
      <w:keepNext/>
      <w:spacing w:before="240" w:after="60"/>
      <w:jc w:val="left"/>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9"/>
    <w:locked/>
    <w:rsid w:val="005727BF"/>
    <w:rPr>
      <w:rFonts w:ascii="Times New Roman" w:hAnsi="Times New Roman" w:cs="Times New Roman"/>
      <w:b/>
      <w:bCs/>
      <w:sz w:val="28"/>
      <w:szCs w:val="28"/>
      <w:rtl w:val="0"/>
      <w:cs w:val="0"/>
    </w:rPr>
  </w:style>
  <w:style w:type="character" w:styleId="PlaceholderText">
    <w:name w:val="Placeholder Text"/>
    <w:basedOn w:val="DefaultParagraphFont"/>
    <w:uiPriority w:val="99"/>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Footer">
    <w:name w:val="footer"/>
    <w:basedOn w:val="Normal"/>
    <w:link w:val="PtaChar"/>
    <w:uiPriority w:val="99"/>
    <w:rsid w:val="00BE3220"/>
    <w:pPr>
      <w:widowControl/>
      <w:tabs>
        <w:tab w:val="center" w:pos="4536"/>
        <w:tab w:val="right" w:pos="9072"/>
      </w:tabs>
      <w:adjustRightInd/>
      <w:jc w:val="left"/>
    </w:pPr>
  </w:style>
  <w:style w:type="character" w:customStyle="1" w:styleId="PtaChar">
    <w:name w:val="Päta Char"/>
    <w:basedOn w:val="DefaultParagraphFont"/>
    <w:link w:val="Footer"/>
    <w:uiPriority w:val="99"/>
    <w:locked/>
    <w:rsid w:val="00BE3220"/>
    <w:rPr>
      <w:rFonts w:ascii="Times New Roman" w:hAnsi="Times New Roman" w:cs="Times New Roman"/>
      <w:sz w:val="24"/>
      <w:szCs w:val="24"/>
      <w:rtl w:val="0"/>
      <w:cs w:val="0"/>
    </w:rPr>
  </w:style>
  <w:style w:type="character" w:styleId="PageNumber">
    <w:name w:val="page number"/>
    <w:basedOn w:val="DefaultParagraphFont"/>
    <w:uiPriority w:val="99"/>
    <w:rsid w:val="00BE3220"/>
    <w:rPr>
      <w:rFonts w:cs="Times New Roman"/>
      <w:rtl w:val="0"/>
      <w:cs w:val="0"/>
    </w:rPr>
  </w:style>
  <w:style w:type="paragraph" w:styleId="NormalWeb">
    <w:name w:val="Normal (Web)"/>
    <w:aliases w:val="webb"/>
    <w:basedOn w:val="Normal"/>
    <w:uiPriority w:val="99"/>
    <w:rsid w:val="00BE3220"/>
    <w:pPr>
      <w:widowControl/>
      <w:adjustRightInd/>
      <w:spacing w:before="100" w:beforeAutospacing="1" w:after="100" w:afterAutospacing="1"/>
      <w:jc w:val="left"/>
    </w:pPr>
  </w:style>
  <w:style w:type="character" w:styleId="Emphasis">
    <w:name w:val="Emphasis"/>
    <w:basedOn w:val="DefaultParagraphFont"/>
    <w:uiPriority w:val="99"/>
    <w:locked/>
    <w:rsid w:val="005727BF"/>
    <w:rPr>
      <w:rFonts w:cs="Times New Roman"/>
      <w:i/>
      <w:rtl w:val="0"/>
      <w:cs w:val="0"/>
    </w:rPr>
  </w:style>
  <w:style w:type="paragraph" w:styleId="Header">
    <w:name w:val="header"/>
    <w:basedOn w:val="Normal"/>
    <w:link w:val="HlavikaChar"/>
    <w:uiPriority w:val="99"/>
    <w:rsid w:val="00E3619F"/>
    <w:pPr>
      <w:tabs>
        <w:tab w:val="center" w:pos="4536"/>
        <w:tab w:val="right" w:pos="9072"/>
      </w:tabs>
      <w:jc w:val="left"/>
    </w:pPr>
  </w:style>
  <w:style w:type="character" w:customStyle="1" w:styleId="HlavikaChar">
    <w:name w:val="Hlavička Char"/>
    <w:basedOn w:val="DefaultParagraphFont"/>
    <w:link w:val="Header"/>
    <w:uiPriority w:val="99"/>
    <w:locked/>
    <w:rsid w:val="00E3619F"/>
    <w:rPr>
      <w:rFonts w:ascii="Times New Roman" w:hAnsi="Times New Roman" w:cs="Times New Roman"/>
      <w:sz w:val="24"/>
      <w:szCs w:val="24"/>
      <w:rtl w:val="0"/>
      <w:cs w:val="0"/>
    </w:rPr>
  </w:style>
  <w:style w:type="paragraph" w:customStyle="1" w:styleId="CM4">
    <w:name w:val="CM4"/>
    <w:basedOn w:val="Normal"/>
    <w:next w:val="Normal"/>
    <w:uiPriority w:val="99"/>
    <w:rsid w:val="00985A14"/>
    <w:pPr>
      <w:widowControl/>
      <w:autoSpaceDE w:val="0"/>
      <w:autoSpaceDN w:val="0"/>
      <w:jc w:val="left"/>
    </w:pPr>
    <w:rPr>
      <w:rFonts w:ascii="EUAlbertina" w:hAnsi="EUAlbertina"/>
    </w:rPr>
  </w:style>
  <w:style w:type="paragraph" w:styleId="Title">
    <w:name w:val="Title"/>
    <w:basedOn w:val="Normal"/>
    <w:link w:val="NzovChar"/>
    <w:uiPriority w:val="99"/>
    <w:rsid w:val="002F310A"/>
    <w:pPr>
      <w:widowControl/>
      <w:adjustRightInd/>
      <w:jc w:val="center"/>
    </w:pPr>
    <w:rPr>
      <w:rFonts w:ascii="Cambria" w:hAnsi="Cambria"/>
      <w:b/>
      <w:kern w:val="28"/>
      <w:sz w:val="32"/>
      <w:szCs w:val="20"/>
      <w:lang w:eastAsia="cs-CZ"/>
    </w:rPr>
  </w:style>
  <w:style w:type="character" w:customStyle="1" w:styleId="NzovChar">
    <w:name w:val="Názov Char"/>
    <w:basedOn w:val="DefaultParagraphFont"/>
    <w:link w:val="Title"/>
    <w:uiPriority w:val="99"/>
    <w:locked/>
    <w:rsid w:val="002F310A"/>
    <w:rPr>
      <w:rFonts w:ascii="Cambria" w:eastAsia="Times New Roman" w:hAnsi="Cambria" w:cs="Times New Roman"/>
      <w:b/>
      <w:kern w:val="28"/>
      <w:sz w:val="32"/>
      <w:rtl w:val="0"/>
      <w:cs w:val="0"/>
      <w:lang w:val="sk-SK" w:eastAsia="cs-CZ" w:bidi="ar-SA"/>
    </w:rPr>
  </w:style>
  <w:style w:type="paragraph" w:styleId="BodyTextIndent2">
    <w:name w:val="Body Text Indent 2"/>
    <w:basedOn w:val="Normal"/>
    <w:link w:val="Zarkazkladnhotextu2Char"/>
    <w:uiPriority w:val="99"/>
    <w:rsid w:val="002F310A"/>
    <w:pPr>
      <w:widowControl/>
      <w:adjustRightInd/>
      <w:ind w:firstLine="284"/>
      <w:jc w:val="both"/>
    </w:pPr>
    <w:rPr>
      <w:szCs w:val="20"/>
      <w:lang w:eastAsia="cs-CZ"/>
    </w:rPr>
  </w:style>
  <w:style w:type="character" w:customStyle="1" w:styleId="Zarkazkladnhotextu2Char">
    <w:name w:val="Zarážka základného textu 2 Char"/>
    <w:basedOn w:val="DefaultParagraphFont"/>
    <w:link w:val="BodyTextIndent2"/>
    <w:uiPriority w:val="99"/>
    <w:locked/>
    <w:rsid w:val="002F310A"/>
    <w:rPr>
      <w:rFonts w:eastAsia="Times New Roman" w:cs="Times New Roman"/>
      <w:sz w:val="24"/>
      <w:rtl w:val="0"/>
      <w:cs w:val="0"/>
      <w:lang w:val="sk-SK" w:eastAsia="cs-CZ" w:bidi="ar-SA"/>
    </w:rPr>
  </w:style>
  <w:style w:type="paragraph" w:styleId="BodyText2">
    <w:name w:val="Body Text 2"/>
    <w:basedOn w:val="Normal"/>
    <w:uiPriority w:val="99"/>
    <w:rsid w:val="002F310A"/>
    <w:pPr>
      <w:spacing w:after="120" w:line="480" w:lineRule="auto"/>
      <w:jc w:val="left"/>
    </w:pPr>
  </w:style>
  <w:style w:type="paragraph" w:styleId="BodyText">
    <w:name w:val="Body Text"/>
    <w:basedOn w:val="Normal"/>
    <w:uiPriority w:val="99"/>
    <w:rsid w:val="002F310A"/>
    <w:pPr>
      <w:spacing w:after="120"/>
      <w:jc w:val="left"/>
    </w:pPr>
  </w:style>
  <w:style w:type="paragraph" w:styleId="BodyTextIndent3">
    <w:name w:val="Body Text Indent 3"/>
    <w:basedOn w:val="Normal"/>
    <w:uiPriority w:val="99"/>
    <w:rsid w:val="002F310A"/>
    <w:pPr>
      <w:spacing w:after="120"/>
      <w:ind w:left="283"/>
      <w:jc w:val="left"/>
    </w:pPr>
    <w:rPr>
      <w:sz w:val="16"/>
      <w:szCs w:val="16"/>
    </w:rPr>
  </w:style>
  <w:style w:type="character" w:styleId="Strong">
    <w:name w:val="Strong"/>
    <w:basedOn w:val="DefaultParagraphFont"/>
    <w:uiPriority w:val="99"/>
    <w:rsid w:val="002F310A"/>
    <w:rPr>
      <w:rFonts w:ascii="Times New Roman" w:hAnsi="Times New Roman"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TotalTime>
  <Pages>13</Pages>
  <Words>3140</Words>
  <Characters>17899</Characters>
  <Application>Microsoft Office Word</Application>
  <DocSecurity>0</DocSecurity>
  <Lines>0</Lines>
  <Paragraphs>0</Paragraphs>
  <ScaleCrop>false</ScaleCrop>
  <Company>Abyss</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cyprianova</cp:lastModifiedBy>
  <cp:revision>9</cp:revision>
  <dcterms:created xsi:type="dcterms:W3CDTF">2014-01-22T13:20:00Z</dcterms:created>
  <dcterms:modified xsi:type="dcterms:W3CDTF">2014-02-24T16:07:00Z</dcterms:modified>
</cp:coreProperties>
</file>