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</w:t>
      </w: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ka</w:t>
      </w:r>
    </w:p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vybraný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ch vplyvov</w:t>
      </w: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A.1. 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zov materiá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 xml:space="preserve">lu: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Návrh na prístup ku Pekinskej zmluve o audiovizuálnych umeleckých výkonoch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br/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n zač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atia a 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ukonč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enia PPK: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-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30"/>
        <w:gridCol w:w="1200"/>
        <w:gridCol w:w="1200"/>
        <w:gridCol w:w="1200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A.3. Pozná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mky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Predpokladajú sa nekvantifikovateľné pozitívne sociálne vplyvy na výkonných umelcov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br/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v audiovízií, najmä v súvislosti so zlepšením postavenia výkonných umelcov v audiovízií ako nositeľov práv, a to prostredníctvom zavedenia väčších možností disponovania s predmetmi ochrany a právami, ktoré sa k nim viažu.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color w:val="000000"/>
          <w:sz w:val="24"/>
          <w:szCs w:val="24"/>
        </w:rPr>
        <w:t xml:space="preserve">      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i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i/>
          <w:color w:val="000000"/>
          <w:sz w:val="28"/>
          <w:szCs w:val="24"/>
        </w:rPr>
        <w:t>Sociálne vplyvy -</w:t>
      </w:r>
      <w:r>
        <w:rPr>
          <w:rStyle w:val="DefaultParagraphFont"/>
          <w:rFonts w:ascii="Times New Roman" w:hAnsi="Times New Roman"/>
          <w:b/>
          <w:i/>
          <w:color w:val="000000"/>
          <w:sz w:val="28"/>
          <w:szCs w:val="24"/>
        </w:rPr>
        <w:t xml:space="preserve">  </w:t>
      </w:r>
      <w:r>
        <w:rPr>
          <w:rStyle w:val="DefaultParagraphFont"/>
          <w:rFonts w:ascii="Times New Roman" w:hAnsi="Times New Roman"/>
          <w:b/>
          <w:i/>
          <w:color w:val="000000"/>
          <w:sz w:val="28"/>
          <w:szCs w:val="24"/>
        </w:rPr>
        <w:t>vplyvy na hospodárenie obyvateľstva, sociálnu exklúziu, rovnosť príležitostí a rodovú rovnosť</w:t>
      </w:r>
      <w:r>
        <w:rPr>
          <w:rStyle w:val="DefaultParagraphFont"/>
          <w:rFonts w:ascii="Times New Roman" w:hAnsi="Times New Roman"/>
          <w:b/>
          <w:i/>
          <w:color w:val="000000"/>
          <w:sz w:val="28"/>
          <w:szCs w:val="24"/>
        </w:rPr>
        <w:t xml:space="preserve">  </w:t>
      </w:r>
      <w:r>
        <w:rPr>
          <w:rStyle w:val="DefaultParagraphFont"/>
          <w:rFonts w:ascii="Times New Roman" w:hAnsi="Times New Roman"/>
          <w:b/>
          <w:i/>
          <w:color w:val="000000"/>
          <w:sz w:val="28"/>
          <w:szCs w:val="24"/>
        </w:rPr>
        <w:t>a na zamestnanosť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i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i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color w:val="000000"/>
          <w:sz w:val="24"/>
          <w:szCs w:val="24"/>
        </w:rPr>
        <w:t> </w:t>
      </w:r>
    </w:p>
    <w:tbl>
      <w:tblPr>
        <w:tblW w:w="9015" w:type="dxa"/>
        <w:tblCellMar>
          <w:left w:w="0" w:type="dxa"/>
          <w:right w:w="0" w:type="dxa"/>
        </w:tblCellMar>
      </w:tblPr>
      <w:tblGrid>
        <w:gridCol w:w="4873"/>
        <w:gridCol w:w="4142"/>
      </w:tblGrid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nil"/>
              <w:tr2bl w:val="nil"/>
            </w:tcBorders>
            <w:shd w:val="solid" w:color="0C0C0C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Sociálne vplyvy predkladaného materiálu -</w:t>
            </w:r>
            <w:r>
              <w:rPr>
                <w:rStyle w:val="DefaultParagraphFont"/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53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4.1.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Identifikujte vplyv na hospodárenie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domácností a špecifikujte ovplyvnené skupiny domácností, ktoré budú pozitívne/negatívne ovplyvnené.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Predkladaným materiálom, ktorým sa má dosiahnuť prístup Slovenskej republiky k Pekinskej zmluve o audiovizuálnych umeleckých výkonoch (ďalej len „zmluva“) sa zabezpečuje právna ochrana práv výkonných umelcov aj v digitálnom prostredí. Zmluva sa zameriava predovšetkým na výkonných umelcov v audiovízii, ktorými sú napr. herci, hudobníci alebo tanečníci, ktorých umelecké výkony sú zahrnuté do audiovizuálneho diela, ako aj na práva súvisiace s autorským právom, ktoré týmto umelcom prislúchajú. Zmluva upravuje nielen majetkové práva výkonných umelcov v audiovízii, ale kladie dôraz aj na ich osobnostné práva, ktoré bližšie špecifikuje vo vzťahu k beneficientom zmluvy a tiež podporuje ochranu výkonných umelcov pred neoprávneným použitím ich výkonov v audiovízii, teda v médiách, vo filme alebo na videu.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Z prístupu k zmluve nevyplýva pre Slovenskú republiku potreba zmeny právnej úpravy, ale je predpoklad, že zmluva môže posilniť odmeňovanie výkonných umelcov a vzájomne prospeje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výkonným umelcom iných zmluvných strán.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ind w:firstLine="48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Vplyvy nie je možné v súčasnosti kvantifikovať, pretože sa nedá určiť, aký počet výkonných umelcov bude predloženým materiálom ovplyvnený a rovnako sa bez podrobnej praktickej analýzy uplatňovania zmluvy na území Slovenskej republiky nedá špecifikovať, či bude mať zmluva vplyv na rast alebo pokles príjmov/výdavkov domácností výkonných umelcov.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  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  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ind w:firstLine="72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- Rast alebo pokles príjmov/výdavkov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         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93F1E">
            <w:pPr>
              <w:spacing w:before="0" w:beforeAutospacing="0" w:after="0" w:afterAutospacing="0"/>
              <w:ind w:firstLine="72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ind w:firstLine="72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- Rast alebo pokles príjmov/výdavkov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               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za jednotlivé ovplyvnené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skupiny domácností</w:t>
            </w:r>
          </w:p>
          <w:p w:rsidR="00593F1E">
            <w:pPr>
              <w:spacing w:before="0" w:beforeAutospacing="0" w:after="0" w:afterAutospacing="0"/>
              <w:ind w:firstLine="72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93F1E">
            <w:pPr>
              <w:spacing w:before="0" w:beforeAutospacing="0" w:after="0" w:afterAutospacing="0"/>
              <w:ind w:firstLine="72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ind w:firstLine="36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93F1E">
            <w:pPr>
              <w:spacing w:before="0" w:beforeAutospacing="0" w:after="0" w:afterAutospacing="0"/>
              <w:ind w:firstLine="36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608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4.2.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Zmluva sa týka umeleckých výkonov obsiahnutých v audiovizuálnych dielach, ku ktorým výkonným umelcom priznáva určité práva, čím prispieva k podpore rôznych spôsobov šírenia umeleckých výkonov zaznamenaných na audiovizuálnych záznamoch. V súlade s autorskoprávnymi princípmi a normami majú výkonní umelci podľa zmluvy napr. právo udeľovať súhlas na vyhotovovanie rozmnoženín, vysielanie alebo nájom svojich umeleckých výkonov zaznamenaných v audiovizuálnych dielach.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4.3.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Zhodnoťte vplyv na rovnosť príležitostí: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Zhodnoťte vplyv na rodovú rovnosť.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Predkladaný materiál má pozitívny vplyv na rovnosť príležitostí. Zmluva sa usiluje predchádzať diskriminácií medzi jednotlivými kategóriami výkonných umelcov a reaguje na potrebu určiť medzinárodný štandard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a garancie aj pre výkonných umelcov v audiovízii, ktorých umelecké výkony v audiovizuálnom a digitálnom prostredí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doteraz neboli chránené žiadnym medzinárodným právnym nástrojom. Predchádzajúce iniciatívy na medzinárodnej úrovni sa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totiž vzťahovali len na práva výkonných umelcov v súvislosti s ich umeleckými výkonmi na zvukových záznamoch. Zmluva deklaruje a zachováva nevyhnutnú rovnováhu medzi záujmami i právami výkonných umelcov pri ich umeleckých výkonoch podávaných v oblasti audiovízie na jednej strane a záujmami verejnosti v oblasti vzdelávania, výskumu a prístupu k informáciám na strane druhej.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25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4.4.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Zhodnoťte vplyvy na zamestnanosť.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Aké sú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vplyvy na zamestnanosť 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Ktoré skupiny zamestnancov budú ohrozené schválením predkladaného materiálu 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Bez vplyvu. 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spacing w:before="0" w:beforeAutospacing="0" w:after="120" w:afterAutospacing="0"/>
        <w:jc w:val="both"/>
        <w:rPr>
          <w:rStyle w:val="DefaultParagraphFont"/>
          <w:rFonts w:ascii="Times New Roman" w:hAnsi="Times New Roman"/>
          <w:i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12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A.4. Alternatí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vne rieš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enia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Ministerstvo hospodárstva SR – bez pripomienok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Ministerstvo financií SR –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bez pripomienok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Ministerstvo životného prostredia SR – bez pripomienok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Ministerstvo práce, sociálnych vecí a rodiny SR -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k</w:t>
      </w:r>
      <w:r>
        <w:rPr>
          <w:rStyle w:val="DefaultParagraphFont"/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doložke vybraných vplyvov :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Predložený materiál je potrebné doplniť o analýzu pozitívnych sociálnych vplyvov, ktoré predkladateľ označil v doložke vybraných vplyvov. Sociálne vplyvy, ktoré predmetný návrh predpokladá, je potrebné v analýze sociálnych vplyvov identifikovať a v prípade, že nie je možné ich kvantifikovať, odporúčame uviesť z akého dôvodu.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br/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br/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Odôvodnenie: Potreba doplnenia vyplýva z Legislatívnych pravidiel vlády Slovenskej republiky a z Aktualizovanej jednotnej metodiky na posudzovanie vybraných vplyvov. 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Vyhodnotenie :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Analýza sociálnych vplyvov doplnená.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4AC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27</Words>
  <Characters>275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Vladimir.Irman</cp:lastModifiedBy>
  <cp:revision>3</cp:revision>
  <dcterms:created xsi:type="dcterms:W3CDTF">2010-06-23T09:37:00Z</dcterms:created>
  <dcterms:modified xsi:type="dcterms:W3CDTF">2010-06-23T11:50:00Z</dcterms:modified>
</cp:coreProperties>
</file>