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21"/>
        <w:gridCol w:w="3969"/>
        <w:gridCol w:w="567"/>
        <w:gridCol w:w="1003"/>
        <w:gridCol w:w="720"/>
        <w:gridCol w:w="4514"/>
        <w:gridCol w:w="567"/>
        <w:gridCol w:w="2268"/>
      </w:tblGrid>
      <w:tr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472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2F4C2C" w:rsidRPr="00DD69D6" w:rsidP="002F4C2C">
            <w:pPr>
              <w:pStyle w:val="Heading7"/>
              <w:bidi w:val="0"/>
              <w:rPr>
                <w:rFonts w:ascii="Times New Roman" w:hAnsi="Times New Roman"/>
                <w:i w:val="0"/>
              </w:rPr>
            </w:pPr>
            <w:r w:rsidRPr="00DD69D6">
              <w:rPr>
                <w:rFonts w:ascii="Times New Roman" w:hAnsi="Times New Roman"/>
                <w:i w:val="0"/>
              </w:rPr>
              <w:t>TABUĽKA ZHODY</w:t>
            </w:r>
          </w:p>
          <w:p w:rsidR="002F4C2C" w:rsidRPr="00046A13" w:rsidP="002F4C2C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046A13" w:rsidR="00DD69D6">
              <w:rPr>
                <w:rFonts w:ascii="Times New Roman" w:hAnsi="Times New Roman"/>
                <w:b/>
                <w:i/>
                <w:sz w:val="20"/>
              </w:rPr>
              <w:t>právneho predpisu s právom Európskej únie</w:t>
            </w:r>
          </w:p>
          <w:p w:rsidR="002F4C2C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6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F4C2C" w:rsidP="002F4C2C">
            <w:pPr>
              <w:bidi w:val="0"/>
              <w:jc w:val="center"/>
              <w:rPr>
                <w:rFonts w:ascii="Times New Roman" w:hAnsi="Times New Roman"/>
                <w:b/>
                <w:i/>
                <w:iCs/>
                <w:sz w:val="20"/>
              </w:rPr>
            </w:pPr>
          </w:p>
          <w:p w:rsidR="002F4C2C" w:rsidRPr="000D6F0E" w:rsidP="002F4C2C">
            <w:pPr>
              <w:bidi w:val="0"/>
              <w:jc w:val="center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0D6F0E">
              <w:rPr>
                <w:rFonts w:ascii="Times New Roman" w:hAnsi="Times New Roman"/>
                <w:b/>
                <w:i/>
                <w:iCs/>
                <w:sz w:val="20"/>
              </w:rPr>
              <w:t xml:space="preserve">SMERNICA RADY 79/7/EHS z 19. decembra 1978 </w:t>
            </w:r>
            <w:r w:rsidRPr="000D6F0E">
              <w:rPr>
                <w:rFonts w:ascii="Times New Roman" w:hAnsi="Times New Roman"/>
                <w:bCs/>
                <w:i/>
                <w:iCs/>
                <w:sz w:val="20"/>
              </w:rPr>
              <w:t>o postupnom vykonávaní zásady rovnakého zaobchádzania s mužmi a ženami vo veciach súvisiacich so sociálnym zabezpečením</w:t>
            </w:r>
          </w:p>
          <w:p w:rsidR="002F4C2C" w:rsidRPr="000D6F0E" w:rsidP="002F4C2C">
            <w:pPr>
              <w:bidi w:val="0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2F4C2C" w:rsidP="002F4C2C">
            <w:pPr>
              <w:pStyle w:val="BodyText2"/>
              <w:bidi w:val="0"/>
              <w:rPr>
                <w:rFonts w:ascii="Times New Roman" w:hAnsi="Times New Roman"/>
                <w:bCs/>
                <w:i/>
                <w:sz w:val="20"/>
              </w:rPr>
            </w:pPr>
          </w:p>
          <w:p w:rsidR="002F4C2C" w:rsidRPr="00376B3C" w:rsidP="002F4C2C">
            <w:pPr>
              <w:bidi w:val="0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bookmarkStart w:id="0" w:name="OLE_LINK5"/>
            <w:bookmarkStart w:id="1" w:name="OLE_LINK6"/>
            <w:r w:rsidRPr="00376B3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Návrh zákona, ktorým sa mení a dopĺňa zákon č. 43/2004 Z. z. o starobnom dôchodkovom sporení a o zmene a doplnení niektorých zákonov v znení neskorších predpisov a ktorým sa menia a dopĺňajú niektoré zákony</w:t>
            </w:r>
            <w:r w:rsidR="003D14E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(ďalej len „návrh zákona“)</w:t>
            </w:r>
          </w:p>
          <w:p w:rsidR="002F4C2C" w:rsidRPr="00013564" w:rsidP="002F4C2C">
            <w:pPr>
              <w:pStyle w:val="BodyText2"/>
              <w:bidi w:val="0"/>
              <w:ind w:left="794" w:hanging="794"/>
              <w:rPr>
                <w:rFonts w:ascii="Times New Roman" w:hAnsi="Times New Roman"/>
                <w:b w:val="0"/>
                <w:i/>
                <w:sz w:val="20"/>
              </w:rPr>
            </w:pPr>
            <w:bookmarkEnd w:id="0"/>
            <w:bookmarkEnd w:id="1"/>
          </w:p>
          <w:p w:rsidR="002F4C2C" w:rsidRPr="00013564" w:rsidP="002F4C2C">
            <w:pPr>
              <w:pStyle w:val="BodyText2"/>
              <w:bidi w:val="0"/>
              <w:rPr>
                <w:rFonts w:ascii="Times New Roman" w:hAnsi="Times New Roman"/>
                <w:b w:val="0"/>
                <w:i/>
                <w:sz w:val="20"/>
              </w:rPr>
            </w:pPr>
          </w:p>
          <w:p w:rsidR="002F4C2C" w:rsidRPr="0072400A" w:rsidP="002F4C2C">
            <w:pPr>
              <w:bidi w:val="0"/>
              <w:jc w:val="both"/>
              <w:rPr>
                <w:rFonts w:ascii="Times New Roman" w:hAnsi="Times New Roman"/>
                <w:b/>
                <w:i/>
                <w:sz w:val="16"/>
              </w:rPr>
            </w:pPr>
          </w:p>
        </w:tc>
      </w:tr>
      <w:tr>
        <w:tblPrEx>
          <w:tblW w:w="0" w:type="auto"/>
          <w:tblInd w:w="70" w:type="dxa"/>
          <w:tblLayout w:type="fixed"/>
        </w:tblPrEx>
        <w:tc>
          <w:tcPr>
            <w:tcW w:w="1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blPrEx>
          <w:tblW w:w="0" w:type="auto"/>
          <w:tblInd w:w="70" w:type="dxa"/>
          <w:tblLayout w:type="fixed"/>
        </w:tblPrEx>
        <w:tc>
          <w:tcPr>
            <w:tcW w:w="1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Č: 2</w:t>
            </w:r>
          </w:p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Táto smernica sa vzťahuje na pracujúce osoby - vrátane samostatne zárobkovo činných osôb, pracovníkov a samostatne zárobkovo činných osôb, ktorých činnosť je prerušená z dôvodu choroby, úrazu alebo nedobrovoľnej nezamestnanosti, ako aj osoby hľadajúce zamestnanie - a na pracovníkov a samostatne zárobkovo činné osoby, ktorí sú na dôchodku alebo v invalidite.</w:t>
            </w: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sz w:val="18"/>
              </w:rPr>
            </w:pP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RPr="00864E1D" w:rsidP="002F4C2C">
            <w:pPr>
              <w:pStyle w:val="Heading1"/>
              <w:bidi w:val="0"/>
              <w:rPr>
                <w:rFonts w:ascii="Times New Roman" w:hAnsi="Times New Roman"/>
                <w:bCs w:val="0"/>
                <w:i w:val="0"/>
              </w:rPr>
            </w:pPr>
            <w:r w:rsidRPr="00864E1D">
              <w:rPr>
                <w:rFonts w:ascii="Times New Roman" w:hAnsi="Times New Roman"/>
                <w:bCs w:val="0"/>
                <w:i w:val="0"/>
              </w:rPr>
              <w:t>N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Č: I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§ 14 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O: 1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O: 2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  <w:bookmarkStart w:id="2" w:name="f_4421721"/>
            <w:bookmarkStart w:id="3" w:name="f_4421722"/>
            <w:bookmarkStart w:id="4" w:name="f_4421723"/>
            <w:bookmarkStart w:id="5" w:name="f_5633751"/>
            <w:bookmarkStart w:id="6" w:name="f_5633752"/>
            <w:bookmarkStart w:id="7" w:name="f_5633753"/>
            <w:bookmarkStart w:id="8" w:name="f_4421728"/>
            <w:bookmarkStart w:id="9" w:name="f_4421729"/>
            <w:bookmarkStart w:id="10" w:name="f_4421730"/>
            <w:bookmarkStart w:id="11" w:name="f_4421731"/>
            <w:bookmarkStart w:id="12" w:name="f_4421732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>
              <w:rPr>
                <w:rFonts w:ascii="Times New Roman" w:hAnsi="Times New Roman"/>
                <w:sz w:val="20"/>
              </w:rPr>
              <w:t xml:space="preserve">Osoba zúčastnená na starobnom dôchodkovom sporení je sporiteľ, ktorý je dôchodkovo poistený podľa osobitného predpisu,3) najskôr od vzniku prvej účasti na starobnom dôchodkovom sporení </w:t>
            </w:r>
            <w:r w:rsidRPr="00376B3C">
              <w:rPr>
                <w:rFonts w:ascii="Times New Roman" w:hAnsi="Times New Roman"/>
                <w:b/>
                <w:sz w:val="20"/>
              </w:rPr>
              <w:t>do dňa, ktorý predchádza dňu, od ktorého je poberateľom starobného dôchodku alebo predčasného starobného dôchodku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Osoba zúčastnená na starobnom dôchodkovom sporení je fyzická osoba, ktorej sa vypláca úrazová renta podľa osobitného predpisu3) a za ktorú Sociálna poisťovňa platí poistné na starobné poistenie, ak bola sporiteľ pred vznikom nároku na úrazovú rentu, </w:t>
            </w:r>
            <w:r w:rsidRPr="00376B3C">
              <w:rPr>
                <w:rFonts w:ascii="Times New Roman" w:hAnsi="Times New Roman"/>
                <w:b/>
                <w:sz w:val="20"/>
              </w:rPr>
              <w:t>a to do dňa, ktorý predchádza dňu, od ktorého je fyzická osoba poberateľom starobného dôchodku alebo predčasného starobného dôchodku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</w:t>
            </w:r>
          </w:p>
          <w:p w:rsidR="00A47E5E" w:rsidP="002F4C2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70" w:type="dxa"/>
          <w:tblLayout w:type="fixed"/>
        </w:tblPrEx>
        <w:tc>
          <w:tcPr>
            <w:tcW w:w="1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 xml:space="preserve">Č: 3 </w:t>
            </w:r>
          </w:p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O: 1</w:t>
            </w:r>
          </w:p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P: a</w:t>
            </w:r>
          </w:p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2. odrážka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Táto smernica sa vzťahuje na:</w:t>
            </w:r>
          </w:p>
          <w:p w:rsidR="00A47E5E" w:rsidP="002F4C2C">
            <w:pPr>
              <w:pStyle w:val="BodyText"/>
              <w:bidi w:val="0"/>
              <w:jc w:val="both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zákonné systémy, ktoré poskytujú ochranu pred týmito rizikami:</w:t>
            </w:r>
          </w:p>
          <w:p w:rsidR="00A47E5E" w:rsidP="002F4C2C">
            <w:pPr>
              <w:numPr>
                <w:ilvl w:val="0"/>
                <w:numId w:val="1"/>
              </w:numPr>
              <w:bidi w:val="0"/>
              <w:ind w:left="283" w:hanging="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staroba,</w:t>
            </w:r>
          </w:p>
          <w:p w:rsidR="00A47E5E" w:rsidP="002F4C2C">
            <w:pPr>
              <w:pStyle w:val="BodyTextIndent"/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RPr="00864E1D" w:rsidP="002F4C2C">
            <w:pPr>
              <w:pStyle w:val="Heading2"/>
              <w:bidi w:val="0"/>
              <w:rPr>
                <w:rFonts w:ascii="Times New Roman" w:hAnsi="Times New Roman"/>
                <w:b w:val="0"/>
                <w:bCs/>
              </w:rPr>
            </w:pPr>
            <w:r w:rsidRPr="00864E1D">
              <w:rPr>
                <w:rFonts w:ascii="Times New Roman" w:hAnsi="Times New Roman"/>
                <w:b w:val="0"/>
                <w:bCs/>
              </w:rPr>
              <w:t>N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Č: I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§ 2</w:t>
            </w:r>
          </w:p>
        </w:tc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pStyle w:val="FootnoteText"/>
              <w:overflowPunct/>
              <w:autoSpaceDE/>
              <w:autoSpaceDN/>
              <w:bidi w:val="0"/>
              <w:adjustRightInd/>
              <w:jc w:val="both"/>
              <w:textAlignment w:val="auto"/>
              <w:rPr>
                <w:rFonts w:ascii="Times New Roman" w:hAnsi="Times New Roman"/>
                <w:szCs w:val="24"/>
                <w:lang w:eastAsia="sk-SK"/>
              </w:rPr>
            </w:pPr>
          </w:p>
          <w:p w:rsidR="00A47E5E" w:rsidP="002F4C2C">
            <w:pPr>
              <w:pStyle w:val="FootnoteText"/>
              <w:overflowPunct/>
              <w:autoSpaceDE/>
              <w:autoSpaceDN/>
              <w:bidi w:val="0"/>
              <w:adjustRightInd/>
              <w:jc w:val="both"/>
              <w:textAlignment w:val="auto"/>
              <w:rPr>
                <w:rFonts w:ascii="Times New Roman" w:hAnsi="Times New Roman"/>
                <w:szCs w:val="24"/>
                <w:lang w:eastAsia="sk-SK"/>
              </w:rPr>
            </w:pPr>
            <w:r>
              <w:rPr>
                <w:rFonts w:ascii="Times New Roman" w:hAnsi="Times New Roman"/>
                <w:szCs w:val="24"/>
                <w:lang w:eastAsia="sk-SK"/>
              </w:rPr>
              <w:t xml:space="preserve">Starobné dôchodkové sporenie podľa tohto zákona je sporenie </w:t>
            </w:r>
            <w:r w:rsidR="004F59B0">
              <w:rPr>
                <w:rFonts w:ascii="Times New Roman" w:hAnsi="Times New Roman"/>
                <w:szCs w:val="24"/>
                <w:lang w:eastAsia="sk-SK"/>
              </w:rPr>
              <w:t>podľa tohto zákona</w:t>
            </w:r>
            <w:r>
              <w:rPr>
                <w:rFonts w:ascii="Times New Roman" w:hAnsi="Times New Roman"/>
                <w:szCs w:val="24"/>
                <w:lang w:eastAsia="sk-SK"/>
              </w:rPr>
              <w:t xml:space="preserve">, ktorého účelom je spolu </w:t>
            </w:r>
            <w:r w:rsidRPr="004F59B0">
              <w:rPr>
                <w:rFonts w:ascii="Times New Roman" w:hAnsi="Times New Roman"/>
                <w:b/>
                <w:szCs w:val="24"/>
                <w:lang w:eastAsia="sk-SK"/>
              </w:rPr>
              <w:t>s</w:t>
            </w:r>
            <w:r>
              <w:rPr>
                <w:rFonts w:ascii="Times New Roman" w:hAnsi="Times New Roman"/>
                <w:szCs w:val="24"/>
                <w:lang w:eastAsia="sk-SK"/>
              </w:rPr>
              <w:t xml:space="preserve"> </w:t>
            </w:r>
            <w:r w:rsidRPr="00376B3C">
              <w:rPr>
                <w:rFonts w:ascii="Times New Roman" w:hAnsi="Times New Roman"/>
                <w:b/>
                <w:szCs w:val="24"/>
                <w:lang w:eastAsia="sk-SK"/>
              </w:rPr>
              <w:t>dôchodkovým</w:t>
            </w:r>
            <w:r>
              <w:rPr>
                <w:rFonts w:ascii="Times New Roman" w:hAnsi="Times New Roman"/>
                <w:szCs w:val="24"/>
                <w:lang w:eastAsia="sk-SK"/>
              </w:rPr>
              <w:t xml:space="preserve"> poistením podľa osobitného predpisu zabezpečiť jeho príjem v starobe a pozostalým pre prípad jeho úmrtia.</w:t>
            </w: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70" w:type="dxa"/>
          <w:tblLayout w:type="fixed"/>
        </w:tblPrEx>
        <w:tc>
          <w:tcPr>
            <w:tcW w:w="1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 xml:space="preserve">Č: 4 </w:t>
            </w:r>
          </w:p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O:1</w:t>
            </w:r>
          </w:p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RPr="009D426B" w:rsidP="002F4C2C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426B">
              <w:rPr>
                <w:rFonts w:ascii="Times New Roman" w:hAnsi="Times New Roman"/>
                <w:sz w:val="20"/>
                <w:szCs w:val="20"/>
              </w:rPr>
              <w:t>Zásadou rovnakého zaobchádzania sa rozumie, že neexistuje nijaká priama či nepriama diskriminácia z dôvodu pohlavia, najmä s odvolaním sa na manželský alebo rodinný stav, predovšetkým pokiaľ ide o: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RPr="00A46E89" w:rsidP="002F4C2C">
            <w:pPr>
              <w:pStyle w:val="Heading2"/>
              <w:bidi w:val="0"/>
              <w:rPr>
                <w:rFonts w:ascii="Times New Roman" w:hAnsi="Times New Roman"/>
                <w:b w:val="0"/>
                <w:bCs/>
              </w:rPr>
            </w:pPr>
            <w:r w:rsidRPr="00A46E89">
              <w:rPr>
                <w:rFonts w:ascii="Times New Roman" w:hAnsi="Times New Roman"/>
                <w:b w:val="0"/>
                <w:bCs/>
              </w:rPr>
              <w:t>N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RPr="00A46E89" w:rsidP="002F4C2C">
            <w:pPr>
              <w:bidi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Č: I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§ 9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pStyle w:val="BodyText3"/>
              <w:bidi w:val="0"/>
              <w:jc w:val="both"/>
              <w:rPr>
                <w:rFonts w:ascii="Times New Roman" w:hAnsi="Times New Roman"/>
                <w:b w:val="0"/>
              </w:rPr>
            </w:pPr>
          </w:p>
          <w:p w:rsidR="00A47E5E" w:rsidRPr="00376B3C" w:rsidP="002F4C2C">
            <w:pPr>
              <w:pStyle w:val="BodyText3"/>
              <w:bidi w:val="0"/>
              <w:jc w:val="both"/>
              <w:rPr>
                <w:rFonts w:ascii="Times New Roman" w:hAnsi="Times New Roman"/>
                <w:bCs/>
              </w:rPr>
            </w:pPr>
            <w:r w:rsidRPr="00376B3C">
              <w:rPr>
                <w:rFonts w:ascii="Times New Roman" w:hAnsi="Times New Roman"/>
                <w:bCs/>
              </w:rPr>
              <w:t>Na zákaz diskriminácie pri výkone starobného dôchodkového sporenia sa vzťahuje osobitný predpis.6a)</w:t>
            </w:r>
          </w:p>
          <w:p w:rsidR="00A47E5E" w:rsidRPr="009246BE" w:rsidP="002F4C2C">
            <w:pPr>
              <w:pStyle w:val="BodyText3"/>
              <w:bidi w:val="0"/>
              <w:jc w:val="both"/>
              <w:rPr>
                <w:rFonts w:ascii="Times New Roman" w:hAnsi="Times New Roman"/>
                <w:b w:val="0"/>
                <w:bCs/>
              </w:rPr>
            </w:pPr>
          </w:p>
          <w:p w:rsidR="00A47E5E" w:rsidP="002F4C2C">
            <w:pPr>
              <w:pStyle w:val="BodyText3"/>
              <w:bidi w:val="0"/>
              <w:jc w:val="both"/>
              <w:rPr>
                <w:rFonts w:ascii="Times New Roman" w:hAnsi="Times New Roman"/>
                <w:b w:val="0"/>
              </w:rPr>
            </w:pPr>
          </w:p>
          <w:p w:rsidR="00A47E5E" w:rsidP="002F4C2C">
            <w:pPr>
              <w:pStyle w:val="BodyText3"/>
              <w:bidi w:val="0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Poznámka pod čiarou k odkazu 6a znie: </w:t>
            </w:r>
          </w:p>
          <w:p w:rsidR="00A47E5E" w:rsidRPr="00A47E5E" w:rsidP="00A47E5E">
            <w:pPr>
              <w:bidi w:val="0"/>
              <w:rPr>
                <w:rFonts w:ascii="Times New Roman" w:hAnsi="Times New Roman"/>
                <w:sz w:val="20"/>
              </w:rPr>
            </w:pPr>
            <w:r w:rsidRPr="00A47E5E">
              <w:rPr>
                <w:rFonts w:ascii="Times New Roman" w:hAnsi="Times New Roman"/>
                <w:sz w:val="20"/>
                <w:vertAlign w:val="superscript"/>
              </w:rPr>
              <w:t>6a)</w:t>
            </w:r>
            <w:r>
              <w:rPr>
                <w:rFonts w:ascii="Times New Roman" w:hAnsi="Times New Roman"/>
                <w:sz w:val="20"/>
              </w:rPr>
              <w:t xml:space="preserve"> Zákon č. 365/2004 Z. z.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 xml:space="preserve">o rovnakom zaobchádzaní v niektorých oblastiach a o ochrane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pred diskrimináciou a o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zmen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a doplnení niektorých zákonov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(antidiskriminačný zákon)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 znení neskorších predpisov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70" w:type="dxa"/>
          <w:tblLayout w:type="fixed"/>
        </w:tblPrEx>
        <w:tc>
          <w:tcPr>
            <w:tcW w:w="1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 xml:space="preserve">Č: 4 </w:t>
            </w:r>
          </w:p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O: 1</w:t>
            </w:r>
          </w:p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1. odrážka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numPr>
                <w:ilvl w:val="0"/>
                <w:numId w:val="1"/>
              </w:numPr>
              <w:bidi w:val="0"/>
              <w:ind w:left="28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rozsah jednotlivých systémov a podmienky prístupu k nim;</w:t>
            </w: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i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RPr="00A46E89" w:rsidP="002F4C2C">
            <w:pPr>
              <w:pStyle w:val="Heading2"/>
              <w:bidi w:val="0"/>
              <w:rPr>
                <w:rFonts w:ascii="Times New Roman" w:hAnsi="Times New Roman"/>
                <w:b w:val="0"/>
                <w:bCs/>
              </w:rPr>
            </w:pPr>
            <w:r w:rsidRPr="00A46E89">
              <w:rPr>
                <w:rFonts w:ascii="Times New Roman" w:hAnsi="Times New Roman"/>
                <w:b w:val="0"/>
                <w:bCs/>
              </w:rPr>
              <w:t>N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RPr="00000B09" w:rsidP="002F4C2C">
            <w:pPr>
              <w:bidi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Č: I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§ 2</w:t>
            </w:r>
          </w:p>
        </w:tc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</w:p>
          <w:p w:rsidR="00A47E5E" w:rsidRPr="00686D59" w:rsidP="002F4C2C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D59">
              <w:rPr>
                <w:rFonts w:ascii="Times New Roman" w:hAnsi="Times New Roman"/>
                <w:sz w:val="20"/>
                <w:szCs w:val="20"/>
              </w:rPr>
              <w:t xml:space="preserve">Starobné dôchodkové sporenie podľa tohto zákona je sporenie </w:t>
            </w:r>
            <w:r w:rsidRPr="00686D59" w:rsidR="004F59B0">
              <w:rPr>
                <w:rFonts w:ascii="Times New Roman" w:hAnsi="Times New Roman"/>
                <w:sz w:val="20"/>
                <w:szCs w:val="20"/>
              </w:rPr>
              <w:t>podľa tohto zákona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ktorého účelom je spolu </w:t>
            </w:r>
            <w:r w:rsidRPr="004F59B0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6B3C">
              <w:rPr>
                <w:rFonts w:ascii="Times New Roman" w:hAnsi="Times New Roman"/>
                <w:b/>
                <w:sz w:val="20"/>
                <w:szCs w:val="20"/>
              </w:rPr>
              <w:t>dôchodkovým</w:t>
            </w:r>
            <w:r w:rsidRPr="00686D59">
              <w:rPr>
                <w:rFonts w:ascii="Times New Roman" w:hAnsi="Times New Roman"/>
                <w:sz w:val="20"/>
                <w:szCs w:val="20"/>
              </w:rPr>
              <w:t xml:space="preserve"> poistením podľa osobitného predpisu zabezpečiť jeho príjem v starobe a pozostalým pre prípad jeho úmrtia.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70" w:type="dxa"/>
          <w:tblLayout w:type="fixed"/>
        </w:tblPrEx>
        <w:tc>
          <w:tcPr>
            <w:tcW w:w="1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 xml:space="preserve">Č: 4 </w:t>
            </w:r>
          </w:p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O: 1</w:t>
            </w:r>
          </w:p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2. odrážka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pStyle w:val="BodyText"/>
              <w:tabs>
                <w:tab w:val="left" w:pos="249"/>
              </w:tabs>
              <w:bidi w:val="0"/>
              <w:ind w:left="249" w:hanging="2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 povinnosť platiť príspevky a výpočet výšky príspevkov;</w:t>
            </w:r>
          </w:p>
          <w:p w:rsidR="00A47E5E" w:rsidP="002F4C2C">
            <w:pPr>
              <w:pStyle w:val="BodyText"/>
              <w:tabs>
                <w:tab w:val="left" w:pos="385"/>
                <w:tab w:val="left" w:pos="851"/>
              </w:tabs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A47E5E" w:rsidP="002F4C2C">
            <w:pPr>
              <w:pStyle w:val="BodyText"/>
              <w:tabs>
                <w:tab w:val="left" w:pos="249"/>
              </w:tabs>
              <w:bidi w:val="0"/>
              <w:ind w:left="249" w:hanging="249"/>
              <w:jc w:val="both"/>
              <w:rPr>
                <w:rFonts w:ascii="Times New Roman" w:hAnsi="Times New Roman"/>
                <w:b/>
                <w:sz w:val="18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RPr="00A46E89" w:rsidP="002F4C2C">
            <w:pPr>
              <w:pStyle w:val="Heading2"/>
              <w:bidi w:val="0"/>
              <w:rPr>
                <w:rFonts w:ascii="Times New Roman" w:hAnsi="Times New Roman"/>
                <w:b w:val="0"/>
                <w:bCs/>
              </w:rPr>
            </w:pPr>
            <w:r w:rsidRPr="00A46E89">
              <w:rPr>
                <w:rFonts w:ascii="Times New Roman" w:hAnsi="Times New Roman"/>
                <w:b w:val="0"/>
                <w:bCs/>
              </w:rPr>
              <w:t>N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RPr="00AB594B" w:rsidP="002F4C2C">
            <w:pPr>
              <w:bidi w:val="0"/>
              <w:rPr>
                <w:rFonts w:ascii="Times New Roman" w:hAnsi="Times New Roman"/>
                <w:lang w:val="cs-CZ" w:eastAsia="cs-CZ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Č: III</w:t>
            </w:r>
          </w:p>
          <w:p w:rsidR="004F59B0" w:rsidP="004F59B0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§: 128</w:t>
            </w:r>
          </w:p>
          <w:p w:rsidR="004F59B0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4F59B0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4F59B0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4F59B0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4F59B0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4F59B0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4F59B0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4F59B0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4F59B0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4F59B0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§ 131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O: 1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 a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 b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 c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 d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 e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 f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O: 2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 a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P:b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B:1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B:2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B:3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B:4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B:5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B:6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B:7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B:8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B:9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P:c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B:1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B:2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B:3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B:4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B:5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B:6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B:7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B:8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B:9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Č: I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§ 22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 a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 b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 c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 d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 e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 f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 g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P:h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P:i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RPr="00AF73C2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47E5E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59B0" w:rsidP="004F59B0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Štát platí poistné na starobné poistenie a invalidné poistenie za fyzickú osobu uvedenú v odseku 5 písm. c), ak táto fyzická osoba nie je povinná platiť poistné na starobné poistenie a invalidné poistenie sama a nepoberá invalidný dôchodok. Zúčtovanie poistného na starobné poistenie a invalidné poistenie platené štátom ustanoví všeobecne záväzný právny predpis, ktorý vydá ministerstvo po dohode s </w:t>
            </w:r>
            <w:r w:rsidRPr="004F59B0">
              <w:rPr>
                <w:rFonts w:ascii="Times New Roman" w:hAnsi="Times New Roman"/>
                <w:b/>
                <w:sz w:val="20"/>
              </w:rPr>
              <w:t>ministerstvom financií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4F59B0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59B0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59B0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Sadzba poistného na starobné poistenie, ak v odseku 2 nie je ustanovené inak, je pre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pStyle w:val="ListParagraph1"/>
              <w:shd w:val="clear" w:color="auto" w:fill="FFFFFF"/>
              <w:bidi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 w:cs="Times New Roman"/>
                <w:b/>
                <w:sz w:val="20"/>
                <w:szCs w:val="20"/>
              </w:rPr>
              <w:t>zamestnanca 4 % z vymeriavacieho základu,</w:t>
            </w:r>
          </w:p>
          <w:p w:rsidR="00A47E5E" w:rsidRPr="002F4C2C" w:rsidP="002F4C2C">
            <w:pPr>
              <w:pStyle w:val="ListParagraph1"/>
              <w:shd w:val="clear" w:color="auto" w:fill="FFFFFF"/>
              <w:bidi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pStyle w:val="ListParagraph1"/>
              <w:shd w:val="clear" w:color="auto" w:fill="FFFFFF"/>
              <w:bidi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 w:cs="Times New Roman"/>
                <w:b/>
                <w:sz w:val="20"/>
                <w:szCs w:val="20"/>
              </w:rPr>
              <w:t>zamestnávateľa za zamestnanca 14 % z z vymeriavacieho základu,</w:t>
            </w:r>
          </w:p>
          <w:p w:rsidR="00A47E5E" w:rsidRPr="002F4C2C" w:rsidP="002F4C2C">
            <w:pPr>
              <w:pStyle w:val="ListParagraph1"/>
              <w:shd w:val="clear" w:color="auto" w:fill="FFFFFF"/>
              <w:bidi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pStyle w:val="ListParagraph1"/>
              <w:shd w:val="clear" w:color="auto" w:fill="FFFFFF"/>
              <w:bidi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 w:cs="Times New Roman"/>
                <w:b/>
                <w:sz w:val="20"/>
                <w:szCs w:val="20"/>
              </w:rPr>
              <w:t>povinne dôchodkovo poistenú samostatne zárobkovo činnú osobu 18 % z vymeriavacieho základu,</w:t>
            </w:r>
          </w:p>
          <w:p w:rsidR="00A47E5E" w:rsidRPr="002F4C2C" w:rsidP="002F4C2C">
            <w:pPr>
              <w:pStyle w:val="ListParagraph1"/>
              <w:shd w:val="clear" w:color="auto" w:fill="FFFFFF"/>
              <w:bidi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pStyle w:val="ListParagraph1"/>
              <w:shd w:val="clear" w:color="auto" w:fill="FFFFFF"/>
              <w:bidi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 w:cs="Times New Roman"/>
                <w:b/>
                <w:sz w:val="20"/>
                <w:szCs w:val="20"/>
              </w:rPr>
              <w:t>dobrovoľne dôchodkovo poistenú samostatne zárobkovo činnú osobu 18 % z vymeriavacieho základu,</w:t>
            </w:r>
          </w:p>
          <w:p w:rsidR="00A47E5E" w:rsidRPr="002F4C2C" w:rsidP="002F4C2C">
            <w:pPr>
              <w:pStyle w:val="ListParagraph1"/>
              <w:shd w:val="clear" w:color="auto" w:fill="FFFFFF"/>
              <w:bidi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pStyle w:val="ListParagraph1"/>
              <w:shd w:val="clear" w:color="auto" w:fill="FFFFFF"/>
              <w:bidi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 w:cs="Times New Roman"/>
                <w:b/>
                <w:sz w:val="20"/>
                <w:szCs w:val="20"/>
              </w:rPr>
              <w:t>štát za fyzické osoby uvedené v § 128 ods. 5 18 % z vymeriavacieho základu,</w:t>
            </w:r>
          </w:p>
          <w:p w:rsidR="00A47E5E" w:rsidRPr="002F4C2C" w:rsidP="002F4C2C">
            <w:pPr>
              <w:pStyle w:val="ListParagraph1"/>
              <w:shd w:val="clear" w:color="auto" w:fill="FFFFFF"/>
              <w:bidi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pStyle w:val="ListParagraph1"/>
              <w:shd w:val="clear" w:color="auto" w:fill="FFFFFF"/>
              <w:bidi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 w:cs="Times New Roman"/>
                <w:b/>
                <w:sz w:val="20"/>
                <w:szCs w:val="20"/>
              </w:rPr>
              <w:t>Sociálnu poisťovňu za poberateľov úrazovej renty priznanej podľa § 88, ktorí do 31. júla 2006 nedovŕšili dôchodkový vek alebo im nebol priznaný predčasný starobný dôchodok, 18 % z vymeriavacieho základu.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Sadzba poistného na starobné poistenie je pre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zamestnanca, ktorý je sporiteľ podľa osobitného predpisu</w:t>
            </w:r>
            <w:r w:rsidRPr="002F4C2C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) a nevypláca sa mu starobný dôchodok alebo predčasný staro</w:t>
            </w:r>
            <w:r w:rsidR="00FA4070">
              <w:rPr>
                <w:rFonts w:ascii="Times New Roman" w:hAnsi="Times New Roman"/>
                <w:b/>
                <w:sz w:val="20"/>
                <w:szCs w:val="20"/>
              </w:rPr>
              <w:t>bný dôchodok</w:t>
            </w: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 xml:space="preserve"> podľa osobitného predpisu,</w:t>
            </w:r>
            <w:r w:rsidR="00FA407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) 4 % z vymeriavacieho základu,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zamestnávateľa za zamestnanca, ktorý je sporiteľ podľa osobitného predpisu</w:t>
            </w:r>
            <w:r w:rsidRPr="002F4C2C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) a nevypláca sa mu starobný dôchodok alebo predčasný starobný dôchodok podľa osobitného predpisu,</w:t>
            </w:r>
            <w:r w:rsidR="00FA407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od 1. septembra 2012 do 31. decembra 2016 10 % z vymeriavacieho základu,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v roku 2017 9,75 % z vymeriavacieho základu,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v roku 2018 9,50 % z vymeriavacieho základu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v roku 2019 9,25 % z vymeriavacieho základu,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v roku 2020 9 % z vymeriavacieho základu,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v roku 2021 8,75 % z vymeriavacieho základu,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v roku 2022 8,50 % z vymeriavacieho základu,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v roku 2023 8,25 % z vymeriavacieho základu,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 xml:space="preserve">v roku </w:t>
            </w:r>
            <w:smartTag w:uri="urn:schemas-microsoft-com:office:smarttags" w:element="metricconverter">
              <w:smartTagPr>
                <w:attr w:name="ProductID" w:val="2024 a"/>
              </w:smartTagPr>
              <w:r w:rsidRPr="002F4C2C">
                <w:rPr>
                  <w:rFonts w:ascii="Times New Roman" w:hAnsi="Times New Roman"/>
                  <w:b/>
                  <w:sz w:val="20"/>
                  <w:szCs w:val="20"/>
                </w:rPr>
                <w:t>2024 a</w:t>
              </w:r>
            </w:smartTag>
            <w:r w:rsidRPr="002F4C2C">
              <w:rPr>
                <w:rFonts w:ascii="Times New Roman" w:hAnsi="Times New Roman"/>
                <w:b/>
                <w:sz w:val="20"/>
                <w:szCs w:val="20"/>
              </w:rPr>
              <w:t xml:space="preserve"> nasledujúcich rokoch 8 % z vymeriavacieho základu,</w:t>
            </w:r>
            <w:bookmarkStart w:id="13" w:name="f_4467567"/>
            <w:bookmarkEnd w:id="13"/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povinne dôchodkovo poistenú samostatne zárobkovo činnú osobu, ktorá je sporiteľ podľa osobitného predpisu</w:t>
            </w:r>
            <w:r w:rsidRPr="00A47E5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Pr="00A47E5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 xml:space="preserve"> a nevypláca sa jej starobný dôchodok alebo predčasný starobný dôchodok podľa osobitného predpisu,</w:t>
            </w:r>
            <w:r w:rsidR="00FA407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) dobrovoľne dôchodkovo poistenú osobu, ktorá je sporiteľ podľa osobitného predpisu</w:t>
            </w:r>
            <w:r w:rsidRPr="00A47E5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Pr="00A47E5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 xml:space="preserve"> a nevypláca sa jej starobný dôchodok alebo predčasný starobný dôchodok podľa osobitného predpisu,</w:t>
            </w:r>
            <w:r w:rsidR="00FA407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 xml:space="preserve">) štát za fyzické osoby uvedené v </w:t>
            </w:r>
            <w:r w:rsidRPr="00A47E5E">
              <w:rPr>
                <w:rFonts w:ascii="Times New Roman" w:hAnsi="Times New Roman"/>
                <w:b/>
                <w:bCs/>
                <w:sz w:val="20"/>
                <w:szCs w:val="20"/>
              </w:rPr>
              <w:t>§ 128 ods. 5</w:t>
            </w: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, ktoré sú sporitelia podľa osobitného predpisu</w:t>
            </w:r>
            <w:r w:rsidRPr="00A47E5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Pr="00A47E5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 xml:space="preserve"> a nevypláca sa im starobný dôchodok alebo predčasný starobný dôchodok podľa osobitného predpisu,</w:t>
            </w:r>
            <w:r w:rsidR="00FA407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 xml:space="preserve">) a Sociálnu poisťovňu za poberateľov úrazovej renty priznanej podľa </w:t>
            </w:r>
            <w:r w:rsidRPr="00A47E5E">
              <w:rPr>
                <w:rFonts w:ascii="Times New Roman" w:hAnsi="Times New Roman"/>
                <w:b/>
                <w:bCs/>
                <w:sz w:val="20"/>
                <w:szCs w:val="20"/>
              </w:rPr>
              <w:t>§ 88</w:t>
            </w: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, ktorí do 31. júla 2006 nedovŕšili dôchodkový vek alebo im nebol priznaný predčasný starobný dôchodok a ktorí sú sporitelia podľa osobitného predpisu</w:t>
            </w:r>
            <w:r w:rsidRPr="00A47E5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Pr="00A47E5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 xml:space="preserve"> a nevypláca sa im starobný dôchodok alebo predčasný starobný dôchodok podľa osobitného predpisu,</w:t>
            </w:r>
            <w:r w:rsidR="00FA4070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od 1. septembra 2012 do 31. decembra 2016 14 % z vymeriavacieho základu,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v roku 2017 13,75 % z vymeriavacieho základu,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v roku 2018 13,50 % z vymeriavacieho základu,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v roku 2019 13,25 % z vymeriavacieho základu,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v roku 2020 13 % z vymeriavacieho základu,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v roku 2021 12,75 % z vymeriavacieho základu,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v roku 2022 12,50 % z vymeriavacieho základu,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>v roku 2023 12,25 % z vymeriavacieho základu,</w:t>
            </w: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RPr="002F4C2C" w:rsidP="002F4C2C">
            <w:pPr>
              <w:shd w:val="clear" w:color="auto" w:fill="FFFFFF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4C2C">
              <w:rPr>
                <w:rFonts w:ascii="Times New Roman" w:hAnsi="Times New Roman"/>
                <w:b/>
                <w:sz w:val="20"/>
                <w:szCs w:val="20"/>
              </w:rPr>
              <w:t xml:space="preserve">v roku </w:t>
            </w:r>
            <w:smartTag w:uri="urn:schemas-microsoft-com:office:smarttags" w:element="metricconverter">
              <w:smartTagPr>
                <w:attr w:name="ProductID" w:val="2024 a"/>
              </w:smartTagPr>
              <w:r w:rsidRPr="002F4C2C">
                <w:rPr>
                  <w:rFonts w:ascii="Times New Roman" w:hAnsi="Times New Roman"/>
                  <w:b/>
                  <w:sz w:val="20"/>
                  <w:szCs w:val="20"/>
                </w:rPr>
                <w:t>2024 a</w:t>
              </w:r>
            </w:smartTag>
            <w:r w:rsidRPr="002F4C2C">
              <w:rPr>
                <w:rFonts w:ascii="Times New Roman" w:hAnsi="Times New Roman"/>
                <w:b/>
                <w:sz w:val="20"/>
                <w:szCs w:val="20"/>
              </w:rPr>
              <w:t xml:space="preserve"> nasledujúcich rokoch 12 % z vymeriavacieho základu.“.</w:t>
            </w:r>
          </w:p>
          <w:p w:rsidR="00A47E5E" w:rsidP="002F4C2C">
            <w:pPr>
              <w:tabs>
                <w:tab w:val="left" w:pos="2345"/>
                <w:tab w:val="left" w:pos="2860"/>
              </w:tabs>
              <w:bidi w:val="0"/>
              <w:jc w:val="both"/>
              <w:rPr>
                <w:rFonts w:ascii="Times New Roman" w:hAnsi="Times New Roman"/>
                <w:sz w:val="20"/>
              </w:rPr>
            </w:pPr>
            <w:bookmarkStart w:id="14" w:name="f_5752367"/>
            <w:bookmarkStart w:id="15" w:name="f_5752368"/>
            <w:bookmarkStart w:id="16" w:name="f_5752369"/>
            <w:bookmarkStart w:id="17" w:name="f_5752370"/>
            <w:bookmarkStart w:id="18" w:name="f_5752371"/>
            <w:bookmarkStart w:id="19" w:name="f_5752372"/>
            <w:bookmarkStart w:id="20" w:name="f_5752373"/>
            <w:bookmarkStart w:id="21" w:name="f_5752374"/>
            <w:bookmarkStart w:id="22" w:name="f_5752375"/>
            <w:bookmarkStart w:id="23" w:name="f_5752376"/>
            <w:bookmarkStart w:id="24" w:name="f_5752377"/>
            <w:bookmarkStart w:id="25" w:name="f_5752378"/>
            <w:bookmarkStart w:id="26" w:name="f_5752379"/>
            <w:bookmarkStart w:id="27" w:name="f_5783660"/>
            <w:bookmarkStart w:id="28" w:name="f_5752380"/>
            <w:bookmarkStart w:id="29" w:name="f_5752381"/>
            <w:bookmarkStart w:id="30" w:name="f_5752382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</w:p>
          <w:p w:rsidR="00A47E5E" w:rsidP="002F4C2C">
            <w:pPr>
              <w:tabs>
                <w:tab w:val="left" w:pos="2345"/>
                <w:tab w:val="left" w:pos="2860"/>
              </w:tabs>
              <w:bidi w:val="0"/>
              <w:jc w:val="both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</w:p>
          <w:p w:rsidR="00A47E5E" w:rsidRPr="00C525BC" w:rsidP="002F4C2C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C525BC">
              <w:rPr>
                <w:rFonts w:ascii="Times New Roman" w:hAnsi="Times New Roman"/>
                <w:sz w:val="20"/>
              </w:rPr>
              <w:t xml:space="preserve">Sadzba príspevkov je </w:t>
            </w:r>
          </w:p>
          <w:p w:rsidR="00A47E5E" w:rsidP="002F4C2C">
            <w:pPr>
              <w:tabs>
                <w:tab w:val="left" w:pos="2345"/>
                <w:tab w:val="left" w:pos="2860"/>
              </w:tabs>
              <w:bidi w:val="0"/>
              <w:jc w:val="both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tabs>
                <w:tab w:val="left" w:pos="2345"/>
                <w:tab w:val="left" w:pos="2860"/>
              </w:tabs>
              <w:bidi w:val="0"/>
              <w:jc w:val="both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tabs>
                <w:tab w:val="left" w:pos="2345"/>
                <w:tab w:val="left" w:pos="2860"/>
              </w:tabs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652832">
              <w:rPr>
                <w:rFonts w:ascii="Times New Roman" w:hAnsi="Times New Roman"/>
                <w:sz w:val="20"/>
              </w:rPr>
              <w:t xml:space="preserve">od 1. septembra 2012 do 31. decembra 2016 4 </w:t>
            </w:r>
            <w:r>
              <w:rPr>
                <w:rFonts w:ascii="Times New Roman" w:hAnsi="Times New Roman"/>
                <w:sz w:val="20"/>
              </w:rPr>
              <w:t xml:space="preserve">% z vymeriavacieho základu, </w:t>
              <w:br/>
            </w:r>
          </w:p>
          <w:p w:rsidR="00A47E5E" w:rsidP="002F4C2C">
            <w:pPr>
              <w:tabs>
                <w:tab w:val="left" w:pos="2345"/>
                <w:tab w:val="left" w:pos="2860"/>
              </w:tabs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652832">
              <w:rPr>
                <w:rFonts w:ascii="Times New Roman" w:hAnsi="Times New Roman"/>
                <w:sz w:val="20"/>
              </w:rPr>
              <w:t xml:space="preserve">v roku 2017 4, 25 </w:t>
            </w:r>
            <w:r>
              <w:rPr>
                <w:rFonts w:ascii="Times New Roman" w:hAnsi="Times New Roman"/>
                <w:sz w:val="20"/>
              </w:rPr>
              <w:t xml:space="preserve">% z vymeriavacieho základu, </w:t>
              <w:br/>
            </w:r>
          </w:p>
          <w:p w:rsidR="00A47E5E" w:rsidP="002F4C2C">
            <w:pPr>
              <w:tabs>
                <w:tab w:val="left" w:pos="2345"/>
                <w:tab w:val="left" w:pos="2860"/>
              </w:tabs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652832">
              <w:rPr>
                <w:rFonts w:ascii="Times New Roman" w:hAnsi="Times New Roman"/>
                <w:sz w:val="20"/>
              </w:rPr>
              <w:t xml:space="preserve">v roku 2018 4, 50 </w:t>
            </w:r>
            <w:r>
              <w:rPr>
                <w:rFonts w:ascii="Times New Roman" w:hAnsi="Times New Roman"/>
                <w:sz w:val="20"/>
              </w:rPr>
              <w:t xml:space="preserve">% z vymeriavacieho základu, </w:t>
              <w:br/>
            </w:r>
          </w:p>
          <w:p w:rsidR="00A47E5E" w:rsidP="002F4C2C">
            <w:pPr>
              <w:tabs>
                <w:tab w:val="left" w:pos="2345"/>
                <w:tab w:val="left" w:pos="2860"/>
              </w:tabs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652832">
              <w:rPr>
                <w:rFonts w:ascii="Times New Roman" w:hAnsi="Times New Roman"/>
                <w:sz w:val="20"/>
              </w:rPr>
              <w:t xml:space="preserve">v roku 2019 4, 75 </w:t>
            </w:r>
            <w:r>
              <w:rPr>
                <w:rFonts w:ascii="Times New Roman" w:hAnsi="Times New Roman"/>
                <w:sz w:val="20"/>
              </w:rPr>
              <w:t xml:space="preserve">% z vymeriavacieho základu, </w:t>
              <w:br/>
            </w:r>
          </w:p>
          <w:p w:rsidR="00A47E5E" w:rsidP="002F4C2C">
            <w:pPr>
              <w:tabs>
                <w:tab w:val="left" w:pos="2345"/>
                <w:tab w:val="left" w:pos="2860"/>
              </w:tabs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652832">
              <w:rPr>
                <w:rFonts w:ascii="Times New Roman" w:hAnsi="Times New Roman"/>
                <w:sz w:val="20"/>
              </w:rPr>
              <w:t xml:space="preserve">v roku 2020 5 </w:t>
            </w:r>
            <w:r>
              <w:rPr>
                <w:rFonts w:ascii="Times New Roman" w:hAnsi="Times New Roman"/>
                <w:sz w:val="20"/>
              </w:rPr>
              <w:t xml:space="preserve">% z vymeriavacieho základu, </w:t>
              <w:br/>
            </w:r>
          </w:p>
          <w:p w:rsidR="00A47E5E" w:rsidP="002F4C2C">
            <w:pPr>
              <w:tabs>
                <w:tab w:val="left" w:pos="2345"/>
                <w:tab w:val="left" w:pos="2860"/>
              </w:tabs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652832">
              <w:rPr>
                <w:rFonts w:ascii="Times New Roman" w:hAnsi="Times New Roman"/>
                <w:sz w:val="20"/>
              </w:rPr>
              <w:t xml:space="preserve">v roku 2021 5, 25 </w:t>
            </w:r>
            <w:r>
              <w:rPr>
                <w:rFonts w:ascii="Times New Roman" w:hAnsi="Times New Roman"/>
                <w:sz w:val="20"/>
              </w:rPr>
              <w:t xml:space="preserve">% z vymeriavacieho základu, </w:t>
              <w:br/>
            </w:r>
          </w:p>
          <w:p w:rsidR="00A47E5E" w:rsidP="002F4C2C">
            <w:pPr>
              <w:tabs>
                <w:tab w:val="left" w:pos="2345"/>
                <w:tab w:val="left" w:pos="2860"/>
              </w:tabs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652832">
              <w:rPr>
                <w:rFonts w:ascii="Times New Roman" w:hAnsi="Times New Roman"/>
                <w:sz w:val="20"/>
              </w:rPr>
              <w:t xml:space="preserve">v roku 2022 5, 50 </w:t>
            </w:r>
            <w:r>
              <w:rPr>
                <w:rFonts w:ascii="Times New Roman" w:hAnsi="Times New Roman"/>
                <w:sz w:val="20"/>
              </w:rPr>
              <w:t xml:space="preserve">% z vymeriavacieho základu, </w:t>
              <w:br/>
            </w:r>
          </w:p>
          <w:p w:rsidR="00A47E5E" w:rsidP="002F4C2C">
            <w:pPr>
              <w:tabs>
                <w:tab w:val="left" w:pos="2345"/>
                <w:tab w:val="left" w:pos="2860"/>
              </w:tabs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652832">
              <w:rPr>
                <w:rFonts w:ascii="Times New Roman" w:hAnsi="Times New Roman"/>
                <w:sz w:val="20"/>
              </w:rPr>
              <w:t>v roku 2023 5, 75 % z vymeri</w:t>
            </w:r>
            <w:r>
              <w:rPr>
                <w:rFonts w:ascii="Times New Roman" w:hAnsi="Times New Roman"/>
                <w:sz w:val="20"/>
              </w:rPr>
              <w:t xml:space="preserve">avacieho základu, </w:t>
              <w:br/>
            </w:r>
          </w:p>
          <w:p w:rsidR="00A47E5E" w:rsidP="002F4C2C">
            <w:pPr>
              <w:tabs>
                <w:tab w:val="left" w:pos="2345"/>
                <w:tab w:val="left" w:pos="2860"/>
              </w:tabs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652832">
              <w:rPr>
                <w:rFonts w:ascii="Times New Roman" w:hAnsi="Times New Roman"/>
                <w:sz w:val="20"/>
              </w:rPr>
              <w:t xml:space="preserve">v roku </w:t>
            </w:r>
            <w:smartTag w:uri="urn:schemas-microsoft-com:office:smarttags" w:element="metricconverter">
              <w:smartTagPr>
                <w:attr w:name="ProductID" w:val="55 a"/>
              </w:smartTagPr>
              <w:r w:rsidRPr="00652832">
                <w:rPr>
                  <w:rFonts w:ascii="Times New Roman" w:hAnsi="Times New Roman"/>
                  <w:sz w:val="20"/>
                </w:rPr>
                <w:t>2024 a</w:t>
              </w:r>
            </w:smartTag>
            <w:r w:rsidRPr="00652832">
              <w:rPr>
                <w:rFonts w:ascii="Times New Roman" w:hAnsi="Times New Roman"/>
                <w:sz w:val="20"/>
              </w:rPr>
              <w:t xml:space="preserve"> nasledujúcich rokoch 6 % z vymeriavacieho základu.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  <w:r w:rsidR="003D14EC">
              <w:rPr>
                <w:rFonts w:ascii="Times New Roman" w:hAnsi="Times New Roman"/>
                <w:sz w:val="20"/>
              </w:rPr>
              <w:t>Článok III návrhu zákona novelizuje zákon č. 461/2003 Z. z. o sociálnom poistení v znení neskorších predpisov</w:t>
            </w: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2441D7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2441D7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2441D7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2441D7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2441D7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2441D7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2441D7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2441D7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2441D7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2441D7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2441D7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2441D7" w:rsidP="003D14E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3D14EC" w:rsidP="003D14E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Návrh zákona mení uvádzaciu vetu v § 22</w:t>
            </w:r>
          </w:p>
        </w:tc>
      </w:tr>
      <w:tr>
        <w:tblPrEx>
          <w:tblW w:w="0" w:type="auto"/>
          <w:tblInd w:w="70" w:type="dxa"/>
          <w:tblLayout w:type="fixed"/>
        </w:tblPrEx>
        <w:tc>
          <w:tcPr>
            <w:tcW w:w="1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 xml:space="preserve">Č: 4 </w:t>
            </w:r>
          </w:p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O: 1</w:t>
            </w:r>
          </w:p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3. odrážka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pStyle w:val="BodyText"/>
              <w:tabs>
                <w:tab w:val="left" w:pos="385"/>
                <w:tab w:val="left" w:pos="851"/>
              </w:tabs>
              <w:bidi w:val="0"/>
              <w:ind w:left="249" w:hanging="2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výpočet dávok vrátane ich zvýšenia s ohľadom na manžela/manželku a závislé osoby, a podmienky určujúce trvanie a zachovanie nároku na dávky.</w:t>
            </w:r>
          </w:p>
          <w:p w:rsidR="00A47E5E" w:rsidP="002F4C2C">
            <w:pPr>
              <w:pStyle w:val="BodyText"/>
              <w:tabs>
                <w:tab w:val="left" w:pos="385"/>
                <w:tab w:val="left" w:pos="851"/>
              </w:tabs>
              <w:bidi w:val="0"/>
              <w:jc w:val="both"/>
              <w:rPr>
                <w:rFonts w:ascii="Times New Roman" w:hAnsi="Times New Roman"/>
              </w:rPr>
            </w:pP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RPr="00A46E89" w:rsidP="002F4C2C">
            <w:pPr>
              <w:bidi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A46E89">
              <w:rPr>
                <w:rFonts w:ascii="Times New Roman" w:hAnsi="Times New Roman"/>
                <w:bCs/>
                <w:sz w:val="20"/>
              </w:rPr>
              <w:t>N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Č: I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§ 32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§ 33 O:1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2C2FCC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2C2FCC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§ 36 O:1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§ 39: </w:t>
            </w:r>
          </w:p>
        </w:tc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C2FCC" w:rsidR="002C2FCC">
              <w:rPr>
                <w:rFonts w:ascii="Times New Roman" w:hAnsi="Times New Roman"/>
                <w:b/>
                <w:sz w:val="20"/>
                <w:szCs w:val="20"/>
              </w:rPr>
              <w:t>Doživotný starobný dôchodok a doživotný pred</w:t>
            </w:r>
            <w:r w:rsidR="002C2FCC">
              <w:rPr>
                <w:rFonts w:ascii="Times New Roman" w:hAnsi="Times New Roman"/>
                <w:b/>
                <w:sz w:val="20"/>
                <w:szCs w:val="20"/>
              </w:rPr>
              <w:t xml:space="preserve">časný starobný dôchodok </w:t>
            </w:r>
            <w:r w:rsidRPr="002C2FCC" w:rsidR="002C2FCC">
              <w:rPr>
                <w:rFonts w:ascii="Times New Roman" w:hAnsi="Times New Roman"/>
                <w:b/>
                <w:sz w:val="20"/>
                <w:szCs w:val="20"/>
              </w:rPr>
              <w:t xml:space="preserve">poistiteľ vypláca do smrti poberateľa tohto dôchodku. </w:t>
            </w:r>
          </w:p>
          <w:p w:rsidR="002C2FCC" w:rsidP="002F4C2C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  <w:r w:rsidRPr="002C2FCC" w:rsidR="002C2FCC">
              <w:rPr>
                <w:rFonts w:ascii="Times New Roman" w:hAnsi="Times New Roman"/>
                <w:b/>
                <w:sz w:val="20"/>
                <w:szCs w:val="20"/>
              </w:rPr>
              <w:t>Dočasný starobný dôchodok a dočasný pre</w:t>
            </w:r>
            <w:r w:rsidR="002C2FCC">
              <w:rPr>
                <w:rFonts w:ascii="Times New Roman" w:hAnsi="Times New Roman"/>
                <w:b/>
                <w:sz w:val="20"/>
                <w:szCs w:val="20"/>
              </w:rPr>
              <w:t>dčasný starobný dôchodok</w:t>
            </w:r>
            <w:r w:rsidRPr="002C2FCC" w:rsidR="002C2FCC">
              <w:rPr>
                <w:rFonts w:ascii="Times New Roman" w:hAnsi="Times New Roman"/>
                <w:b/>
                <w:sz w:val="20"/>
                <w:szCs w:val="20"/>
              </w:rPr>
              <w:t xml:space="preserve"> poistiteľ vypláca počas doby doho</w:t>
            </w:r>
            <w:r w:rsidR="002C2FCC">
              <w:rPr>
                <w:rFonts w:ascii="Times New Roman" w:hAnsi="Times New Roman"/>
                <w:b/>
                <w:sz w:val="20"/>
                <w:szCs w:val="20"/>
              </w:rPr>
              <w:t>dnutej</w:t>
            </w:r>
            <w:r w:rsidRPr="002C2FCC" w:rsidR="002C2FCC">
              <w:rPr>
                <w:rFonts w:ascii="Times New Roman" w:hAnsi="Times New Roman"/>
                <w:b/>
                <w:sz w:val="20"/>
                <w:szCs w:val="20"/>
              </w:rPr>
              <w:t xml:space="preserve"> v zmluve o poistení dôchodku; ak smrť sporiteľa nastane pred uplynutím </w:t>
            </w:r>
            <w:r w:rsidR="002C2FCC">
              <w:rPr>
                <w:rFonts w:ascii="Times New Roman" w:hAnsi="Times New Roman"/>
                <w:b/>
                <w:sz w:val="20"/>
                <w:szCs w:val="20"/>
              </w:rPr>
              <w:t>doby dohodnut</w:t>
            </w:r>
            <w:r w:rsidRPr="002C2FCC" w:rsidR="002C2FCC">
              <w:rPr>
                <w:rFonts w:ascii="Times New Roman" w:hAnsi="Times New Roman"/>
                <w:b/>
                <w:sz w:val="20"/>
                <w:szCs w:val="20"/>
              </w:rPr>
              <w:t>ej v zmluve o poistení dôchodku, poistiteľ vypláca dočasný starobný dôchodok alebo dočasný predčasný starobný dôchodok do smrti poberateľa tohto dôchodku.</w:t>
            </w: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Sumu vdovského dôchodku po poberateľovi doživotného starobného dôchodku alebo doživotného predčasného</w:t>
            </w:r>
            <w:r w:rsidR="002441D7">
              <w:rPr>
                <w:rFonts w:ascii="Times New Roman" w:hAnsi="Times New Roman"/>
                <w:sz w:val="20"/>
              </w:rPr>
              <w:t xml:space="preserve"> starobného dôchodku </w:t>
            </w:r>
            <w:r>
              <w:rPr>
                <w:rFonts w:ascii="Times New Roman" w:hAnsi="Times New Roman"/>
                <w:sz w:val="20"/>
              </w:rPr>
              <w:t xml:space="preserve">vypláca </w:t>
            </w:r>
            <w:r w:rsidRPr="00B3028E">
              <w:rPr>
                <w:rFonts w:ascii="Times New Roman" w:hAnsi="Times New Roman"/>
                <w:b/>
                <w:sz w:val="20"/>
              </w:rPr>
              <w:t>poistiteľ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52E17">
              <w:rPr>
                <w:rFonts w:ascii="Times New Roman" w:hAnsi="Times New Roman"/>
                <w:b/>
                <w:sz w:val="20"/>
              </w:rPr>
              <w:t>v sume</w:t>
            </w:r>
            <w:r>
              <w:rPr>
                <w:rFonts w:ascii="Times New Roman" w:hAnsi="Times New Roman"/>
                <w:sz w:val="20"/>
              </w:rPr>
              <w:t xml:space="preserve"> doživotného starobného dôchodku alebo doživotného predčasného starobného dôchodku ku dňu smrti manžela. </w:t>
            </w:r>
          </w:p>
          <w:p w:rsidR="00A47E5E" w:rsidP="002F4C2C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ind w:hanging="7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Sumu sirotského dôchodku po poberateľovi doživotného starobného dôchodku alebo doživotného predčasného starobného dôchodku vypláca</w:t>
            </w:r>
            <w:r w:rsidRPr="00052E17">
              <w:rPr>
                <w:rFonts w:ascii="Times New Roman" w:hAnsi="Times New Roman"/>
                <w:b/>
                <w:sz w:val="20"/>
              </w:rPr>
              <w:t xml:space="preserve"> poistiteľ v sume</w:t>
            </w:r>
            <w:r>
              <w:rPr>
                <w:rFonts w:ascii="Times New Roman" w:hAnsi="Times New Roman"/>
                <w:sz w:val="20"/>
              </w:rPr>
              <w:t xml:space="preserve"> doživotného starobného dôchodku alebo  doživotného predčasného starobného dôchodku ku dňu smrti rodiča alebo osvojiteľa </w:t>
            </w:r>
            <w:r w:rsidRPr="00052E17">
              <w:rPr>
                <w:rFonts w:ascii="Times New Roman" w:hAnsi="Times New Roman"/>
                <w:b/>
                <w:sz w:val="20"/>
              </w:rPr>
              <w:t>siroty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W w:w="0" w:type="auto"/>
          <w:tblInd w:w="70" w:type="dxa"/>
          <w:tblLayout w:type="fixed"/>
        </w:tblPrEx>
        <w:tc>
          <w:tcPr>
            <w:tcW w:w="11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Č: 6</w:t>
            </w:r>
          </w:p>
          <w:p w:rsidR="00A47E5E" w:rsidP="002F4C2C">
            <w:pPr>
              <w:bidi w:val="0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Členské štáty zavedú do svojich vnútroštátnych právnych systémov potrebné opatrenia umožňujúce každému zamestnancovi, ktorý sa pokladá za poškodeného v dôsledku neuplatnenia zásady rovnakého zaobchádzania, domáhať sa svojich práv súdnou cestou po prípadnom posúdení veci inými príslušnými orgánmi. </w:t>
            </w:r>
          </w:p>
          <w:p w:rsidR="00A47E5E" w:rsidP="002F4C2C">
            <w:pPr>
              <w:pStyle w:val="BodyText"/>
              <w:tabs>
                <w:tab w:val="left" w:pos="385"/>
                <w:tab w:val="left" w:pos="851"/>
              </w:tabs>
              <w:bidi w:val="0"/>
              <w:jc w:val="both"/>
              <w:rPr>
                <w:rFonts w:ascii="Times New Roman" w:hAnsi="Times New Roman"/>
                <w:lang w:eastAsia="sk-SK"/>
              </w:rPr>
            </w:pPr>
          </w:p>
          <w:p w:rsidR="00A47E5E" w:rsidP="002F4C2C">
            <w:pPr>
              <w:pStyle w:val="BodyText"/>
              <w:tabs>
                <w:tab w:val="left" w:pos="385"/>
                <w:tab w:val="left" w:pos="851"/>
              </w:tabs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A47E5E" w:rsidRPr="00864E1D" w:rsidP="002F4C2C">
            <w:pPr>
              <w:bidi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864E1D">
              <w:rPr>
                <w:rFonts w:ascii="Times New Roman" w:hAnsi="Times New Roman"/>
                <w:bCs/>
                <w:sz w:val="20"/>
              </w:rPr>
              <w:t>N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A47E5E" w:rsidRPr="007E7D2B" w:rsidP="002F4C2C">
            <w:pPr>
              <w:bidi w:val="0"/>
              <w:rPr>
                <w:rFonts w:ascii="Times New Roman" w:hAnsi="Times New Roman"/>
                <w:lang w:val="cs-CZ" w:eastAsia="cs-CZ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Č: I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§ 9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pStyle w:val="BodyText3"/>
              <w:bidi w:val="0"/>
              <w:jc w:val="both"/>
              <w:rPr>
                <w:rFonts w:ascii="Times New Roman" w:hAnsi="Times New Roman"/>
                <w:b w:val="0"/>
              </w:rPr>
            </w:pPr>
          </w:p>
          <w:p w:rsidR="00A47E5E" w:rsidRPr="00B3028E" w:rsidP="002F4C2C">
            <w:pPr>
              <w:pStyle w:val="BodyText3"/>
              <w:bidi w:val="0"/>
              <w:jc w:val="both"/>
              <w:rPr>
                <w:rFonts w:ascii="Times New Roman" w:hAnsi="Times New Roman"/>
              </w:rPr>
            </w:pPr>
            <w:r w:rsidRPr="00B3028E">
              <w:rPr>
                <w:rFonts w:ascii="Times New Roman" w:hAnsi="Times New Roman"/>
                <w:lang w:eastAsia="sk-SK"/>
              </w:rPr>
              <w:t>Na zákaz diskriminácie pri výkone starobného dôchodkového sporenia sa vzťahuje osobitný predpis.6a)</w:t>
            </w:r>
          </w:p>
          <w:p w:rsidR="00A47E5E" w:rsidP="002F4C2C">
            <w:pPr>
              <w:pStyle w:val="BodyText3"/>
              <w:bidi w:val="0"/>
              <w:jc w:val="both"/>
              <w:rPr>
                <w:rFonts w:ascii="Times New Roman" w:hAnsi="Times New Roman"/>
              </w:rPr>
            </w:pPr>
          </w:p>
          <w:p w:rsidR="00A47E5E" w:rsidRPr="004363B0" w:rsidP="002F4C2C">
            <w:pPr>
              <w:pStyle w:val="BodyText3"/>
              <w:bidi w:val="0"/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A47E5E" w:rsidP="002F4C2C">
            <w:pPr>
              <w:bidi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7E5E" w:rsidP="00A47E5E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Poznámka pod čiarou k odkazu 6a znie: </w:t>
            </w:r>
          </w:p>
          <w:p w:rsidR="00A47E5E" w:rsidP="002F4C2C">
            <w:pPr>
              <w:bidi w:val="0"/>
              <w:rPr>
                <w:rFonts w:ascii="Times New Roman" w:hAnsi="Times New Roman"/>
                <w:sz w:val="20"/>
              </w:rPr>
            </w:pPr>
            <w:r w:rsidRPr="00A47E5E">
              <w:rPr>
                <w:rFonts w:ascii="Times New Roman" w:hAnsi="Times New Roman"/>
                <w:sz w:val="20"/>
                <w:vertAlign w:val="superscript"/>
              </w:rPr>
              <w:t>6a)</w:t>
            </w:r>
            <w:r>
              <w:rPr>
                <w:rFonts w:ascii="Times New Roman" w:hAnsi="Times New Roman"/>
                <w:sz w:val="20"/>
              </w:rPr>
              <w:t xml:space="preserve"> Zákon č. 365/2004 Z. z.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 xml:space="preserve">o rovnakom zaobchádzaní v niektorých oblastiach a o ochrane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pred diskrimináciou a o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zmen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a doplnení niektorých zákonov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(antidiskriminačný zákon)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 znení neskorších predpisov</w:t>
            </w:r>
          </w:p>
        </w:tc>
      </w:tr>
    </w:tbl>
    <w:p w:rsidR="002F4C2C" w:rsidP="002F4C2C">
      <w:pPr>
        <w:bidi w:val="0"/>
        <w:rPr>
          <w:rFonts w:ascii="Times New Roman" w:hAnsi="Times New Roman"/>
        </w:rPr>
      </w:pPr>
    </w:p>
    <w:p w:rsidR="004975A8" w:rsidRPr="002F4C2C" w:rsidP="002F4C2C">
      <w:pPr>
        <w:bidi w:val="0"/>
        <w:rPr>
          <w:rFonts w:ascii="Times New Roman" w:hAnsi="Times New Roman"/>
        </w:rPr>
      </w:pPr>
    </w:p>
    <w:sectPr w:rsidSect="00E85522">
      <w:footerReference w:type="default" r:id="rId4"/>
      <w:footerReference w:type="first" r:id="rId5"/>
      <w:pgSz w:w="16838" w:h="11906" w:orient="landscape" w:code="9"/>
      <w:pgMar w:top="1418" w:right="964" w:bottom="1418" w:left="964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Univers Condensed">
    <w:altName w:val="Impact"/>
    <w:panose1 w:val="020B0606020202060204"/>
    <w:charset w:val="EE"/>
    <w:family w:val="swiss"/>
    <w:pitch w:val="variable"/>
    <w:sig w:usb0="00000000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99" w:rsidRPr="00654199">
    <w:pPr>
      <w:pStyle w:val="Footer"/>
      <w:bidi w:val="0"/>
      <w:jc w:val="center"/>
      <w:rPr>
        <w:rFonts w:ascii="Times New Roman" w:hAnsi="Times New Roman"/>
        <w:i w:val="0"/>
      </w:rPr>
    </w:pPr>
    <w:r w:rsidRPr="00654199">
      <w:rPr>
        <w:rFonts w:ascii="Times New Roman" w:hAnsi="Times New Roman"/>
        <w:i w:val="0"/>
      </w:rPr>
      <w:fldChar w:fldCharType="begin"/>
    </w:r>
    <w:r w:rsidRPr="00654199">
      <w:rPr>
        <w:rFonts w:ascii="Times New Roman" w:hAnsi="Times New Roman"/>
        <w:i w:val="0"/>
      </w:rPr>
      <w:instrText>PAGE   \* MERGEFORMAT</w:instrText>
    </w:r>
    <w:r w:rsidRPr="00654199">
      <w:rPr>
        <w:rFonts w:ascii="Times New Roman" w:hAnsi="Times New Roman"/>
        <w:i w:val="0"/>
      </w:rPr>
      <w:fldChar w:fldCharType="separate"/>
    </w:r>
    <w:r w:rsidRPr="00D80D4B" w:rsidR="00D80D4B">
      <w:rPr>
        <w:rFonts w:ascii="Times New Roman" w:hAnsi="Times New Roman"/>
        <w:i w:val="0"/>
        <w:noProof/>
        <w:lang w:val="sk-SK"/>
      </w:rPr>
      <w:t>7</w:t>
    </w:r>
    <w:r w:rsidRPr="00654199">
      <w:rPr>
        <w:rFonts w:ascii="Times New Roman" w:hAnsi="Times New Roman"/>
        <w:i w:val="0"/>
      </w:rPr>
      <w:fldChar w:fldCharType="end"/>
    </w:r>
  </w:p>
  <w:p w:rsidR="008844E9" w:rsidRPr="00C019F3">
    <w:pPr>
      <w:pStyle w:val="BodyText3"/>
      <w:bidi w:val="0"/>
      <w:ind w:right="360"/>
      <w:rPr>
        <w:rFonts w:ascii="Times New Roman" w:hAnsi="Times New Roman"/>
        <w:b w:val="0"/>
        <w:i/>
        <w:iCs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99" w:rsidRPr="00654199">
    <w:pPr>
      <w:pStyle w:val="Footer"/>
      <w:bidi w:val="0"/>
      <w:jc w:val="center"/>
      <w:rPr>
        <w:rFonts w:ascii="Times New Roman" w:hAnsi="Times New Roman"/>
        <w:i w:val="0"/>
      </w:rPr>
    </w:pPr>
    <w:r w:rsidRPr="00654199">
      <w:rPr>
        <w:rFonts w:ascii="Times New Roman" w:hAnsi="Times New Roman"/>
        <w:i w:val="0"/>
      </w:rPr>
      <w:fldChar w:fldCharType="begin"/>
    </w:r>
    <w:r w:rsidRPr="00654199">
      <w:rPr>
        <w:rFonts w:ascii="Times New Roman" w:hAnsi="Times New Roman"/>
        <w:i w:val="0"/>
      </w:rPr>
      <w:instrText>PAGE   \* MERGEFORMAT</w:instrText>
    </w:r>
    <w:r w:rsidRPr="00654199">
      <w:rPr>
        <w:rFonts w:ascii="Times New Roman" w:hAnsi="Times New Roman"/>
        <w:i w:val="0"/>
      </w:rPr>
      <w:fldChar w:fldCharType="separate"/>
    </w:r>
    <w:r w:rsidRPr="00D80D4B" w:rsidR="00D80D4B">
      <w:rPr>
        <w:rFonts w:ascii="Times New Roman" w:hAnsi="Times New Roman"/>
        <w:i w:val="0"/>
        <w:noProof/>
        <w:lang w:val="sk-SK"/>
      </w:rPr>
      <w:t>1</w:t>
    </w:r>
    <w:r w:rsidRPr="00654199">
      <w:rPr>
        <w:rFonts w:ascii="Times New Roman" w:hAnsi="Times New Roman"/>
        <w:i w:val="0"/>
      </w:rPr>
      <w:fldChar w:fldCharType="end"/>
    </w:r>
  </w:p>
  <w:p w:rsidR="008844E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4A6F98"/>
    <w:lvl w:ilvl="0">
      <w:start w:val="0"/>
      <w:numFmt w:val="decimal"/>
      <w:lvlText w:val="*"/>
      <w:lvlJc w:val="left"/>
      <w:rPr>
        <w:rFonts w:cs="Times New Roman"/>
        <w:rtl w:val="0"/>
        <w:cs w:val="0"/>
      </w:r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553" w:hanging="283"/>
        </w:pPr>
        <w:rPr>
          <w:rFonts w:ascii="Univers Condensed" w:hAnsi="Univers Condensed" w:hint="default"/>
          <w:sz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85522"/>
    <w:rsid w:val="00000B09"/>
    <w:rsid w:val="000073F8"/>
    <w:rsid w:val="00013564"/>
    <w:rsid w:val="00043A0B"/>
    <w:rsid w:val="00046A13"/>
    <w:rsid w:val="00052E17"/>
    <w:rsid w:val="000B72B1"/>
    <w:rsid w:val="000D6F0E"/>
    <w:rsid w:val="001D1ECA"/>
    <w:rsid w:val="002441D7"/>
    <w:rsid w:val="002C2FCC"/>
    <w:rsid w:val="002F4C2C"/>
    <w:rsid w:val="00316490"/>
    <w:rsid w:val="00331E2A"/>
    <w:rsid w:val="00376B3C"/>
    <w:rsid w:val="003D14EC"/>
    <w:rsid w:val="003E3C97"/>
    <w:rsid w:val="004363B0"/>
    <w:rsid w:val="00436E73"/>
    <w:rsid w:val="004975A8"/>
    <w:rsid w:val="004C21EF"/>
    <w:rsid w:val="004F59B0"/>
    <w:rsid w:val="005E0915"/>
    <w:rsid w:val="00652832"/>
    <w:rsid w:val="00654199"/>
    <w:rsid w:val="00686D59"/>
    <w:rsid w:val="0072400A"/>
    <w:rsid w:val="007E7D2B"/>
    <w:rsid w:val="00864E1D"/>
    <w:rsid w:val="008844E9"/>
    <w:rsid w:val="009246BE"/>
    <w:rsid w:val="009A6BC6"/>
    <w:rsid w:val="009D426B"/>
    <w:rsid w:val="009F2179"/>
    <w:rsid w:val="00A41B07"/>
    <w:rsid w:val="00A46E89"/>
    <w:rsid w:val="00A47259"/>
    <w:rsid w:val="00A47E5E"/>
    <w:rsid w:val="00AB594B"/>
    <w:rsid w:val="00AD2F34"/>
    <w:rsid w:val="00AF73C2"/>
    <w:rsid w:val="00B3028E"/>
    <w:rsid w:val="00B566EA"/>
    <w:rsid w:val="00BE0498"/>
    <w:rsid w:val="00C019F3"/>
    <w:rsid w:val="00C25C24"/>
    <w:rsid w:val="00C525BC"/>
    <w:rsid w:val="00C57ECF"/>
    <w:rsid w:val="00C8083E"/>
    <w:rsid w:val="00CB5080"/>
    <w:rsid w:val="00CF791C"/>
    <w:rsid w:val="00D80D4B"/>
    <w:rsid w:val="00DB3501"/>
    <w:rsid w:val="00DC6CDC"/>
    <w:rsid w:val="00DD69D6"/>
    <w:rsid w:val="00DF419E"/>
    <w:rsid w:val="00E14B46"/>
    <w:rsid w:val="00E85522"/>
    <w:rsid w:val="00EA1A34"/>
    <w:rsid w:val="00EB2DCD"/>
    <w:rsid w:val="00FA407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C2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E85522"/>
    <w:pPr>
      <w:keepNext/>
      <w:jc w:val="center"/>
      <w:outlineLvl w:val="0"/>
    </w:pPr>
    <w:rPr>
      <w:bCs/>
      <w:i/>
      <w:sz w:val="20"/>
    </w:rPr>
  </w:style>
  <w:style w:type="paragraph" w:styleId="Heading2">
    <w:name w:val="heading 2"/>
    <w:basedOn w:val="Normal"/>
    <w:next w:val="Normal"/>
    <w:link w:val="Heading2Char"/>
    <w:qFormat/>
    <w:rsid w:val="00E85522"/>
    <w:pPr>
      <w:keepNext/>
      <w:jc w:val="center"/>
      <w:outlineLvl w:val="1"/>
    </w:pPr>
    <w:rPr>
      <w:b/>
      <w:iCs/>
      <w:sz w:val="20"/>
    </w:rPr>
  </w:style>
  <w:style w:type="paragraph" w:styleId="Heading3">
    <w:name w:val="heading 3"/>
    <w:basedOn w:val="Normal"/>
    <w:next w:val="Normal"/>
    <w:link w:val="Heading3Char"/>
    <w:qFormat/>
    <w:rsid w:val="00E85522"/>
    <w:pPr>
      <w:keepNext/>
      <w:jc w:val="left"/>
      <w:outlineLvl w:val="2"/>
    </w:pPr>
    <w:rPr>
      <w:b/>
      <w:sz w:val="18"/>
      <w:szCs w:val="20"/>
      <w:lang w:val="cs-CZ" w:eastAsia="cs-CZ"/>
    </w:rPr>
  </w:style>
  <w:style w:type="paragraph" w:styleId="Heading7">
    <w:name w:val="heading 7"/>
    <w:basedOn w:val="Normal"/>
    <w:next w:val="Normal"/>
    <w:link w:val="Heading7Char"/>
    <w:qFormat/>
    <w:rsid w:val="00E85522"/>
    <w:pPr>
      <w:keepNext/>
      <w:jc w:val="center"/>
      <w:outlineLvl w:val="6"/>
    </w:pPr>
    <w:rPr>
      <w:b/>
      <w:i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locked/>
    <w:rsid w:val="00E85522"/>
    <w:rPr>
      <w:i/>
      <w:sz w:val="24"/>
      <w:lang w:val="sk-SK" w:eastAsia="sk-SK"/>
    </w:rPr>
  </w:style>
  <w:style w:type="character" w:customStyle="1" w:styleId="Heading2Char">
    <w:name w:val="Heading 2 Char"/>
    <w:link w:val="Heading2"/>
    <w:semiHidden/>
    <w:locked/>
    <w:rsid w:val="00E85522"/>
    <w:rPr>
      <w:b/>
      <w:sz w:val="24"/>
      <w:lang w:val="sk-SK" w:eastAsia="sk-SK"/>
    </w:rPr>
  </w:style>
  <w:style w:type="character" w:customStyle="1" w:styleId="Heading3Char">
    <w:name w:val="Heading 3 Char"/>
    <w:link w:val="Heading3"/>
    <w:semiHidden/>
    <w:locked/>
    <w:rsid w:val="00E85522"/>
    <w:rPr>
      <w:b/>
      <w:sz w:val="18"/>
      <w:lang w:val="cs-CZ" w:eastAsia="cs-CZ"/>
    </w:rPr>
  </w:style>
  <w:style w:type="character" w:customStyle="1" w:styleId="Heading7Char">
    <w:name w:val="Heading 7 Char"/>
    <w:link w:val="Heading7"/>
    <w:semiHidden/>
    <w:locked/>
    <w:rsid w:val="00E85522"/>
    <w:rPr>
      <w:b/>
      <w:i/>
      <w:sz w:val="24"/>
      <w:lang w:val="sk-SK" w:eastAsia="sk-SK"/>
    </w:rPr>
  </w:style>
  <w:style w:type="paragraph" w:styleId="BodyText">
    <w:name w:val="Body Text"/>
    <w:basedOn w:val="Normal"/>
    <w:link w:val="BodyTextChar"/>
    <w:rsid w:val="00E85522"/>
    <w:pPr>
      <w:jc w:val="left"/>
    </w:pPr>
    <w:rPr>
      <w:sz w:val="20"/>
      <w:szCs w:val="20"/>
      <w:lang w:eastAsia="cs-CZ"/>
    </w:rPr>
  </w:style>
  <w:style w:type="character" w:customStyle="1" w:styleId="BodyTextChar">
    <w:name w:val="Body Text Char"/>
    <w:link w:val="BodyText"/>
    <w:semiHidden/>
    <w:locked/>
    <w:rsid w:val="00E85522"/>
    <w:rPr>
      <w:lang w:val="sk-SK" w:eastAsia="cs-CZ"/>
    </w:rPr>
  </w:style>
  <w:style w:type="paragraph" w:styleId="Header">
    <w:name w:val="header"/>
    <w:basedOn w:val="Normal"/>
    <w:link w:val="HeaderChar"/>
    <w:rsid w:val="00E85522"/>
    <w:pPr>
      <w:tabs>
        <w:tab w:val="center" w:pos="4536"/>
        <w:tab w:val="right" w:pos="9072"/>
      </w:tabs>
      <w:jc w:val="left"/>
    </w:pPr>
    <w:rPr>
      <w:szCs w:val="20"/>
      <w:lang w:eastAsia="cs-CZ"/>
    </w:rPr>
  </w:style>
  <w:style w:type="character" w:customStyle="1" w:styleId="HeaderChar">
    <w:name w:val="Header Char"/>
    <w:link w:val="Header"/>
    <w:semiHidden/>
    <w:locked/>
    <w:rsid w:val="00E85522"/>
    <w:rPr>
      <w:sz w:val="24"/>
      <w:lang w:val="sk-SK" w:eastAsia="cs-CZ"/>
    </w:rPr>
  </w:style>
  <w:style w:type="paragraph" w:styleId="BodyText2">
    <w:name w:val="Body Text 2"/>
    <w:basedOn w:val="Normal"/>
    <w:link w:val="BodyText2Char"/>
    <w:rsid w:val="00E85522"/>
    <w:pPr>
      <w:jc w:val="both"/>
    </w:pPr>
    <w:rPr>
      <w:b/>
      <w:sz w:val="22"/>
      <w:lang w:eastAsia="cs-CZ"/>
    </w:rPr>
  </w:style>
  <w:style w:type="character" w:customStyle="1" w:styleId="BodyText2Char">
    <w:name w:val="Body Text 2 Char"/>
    <w:link w:val="BodyText2"/>
    <w:semiHidden/>
    <w:locked/>
    <w:rsid w:val="00E85522"/>
    <w:rPr>
      <w:b/>
      <w:sz w:val="24"/>
      <w:lang w:val="sk-SK" w:eastAsia="cs-CZ"/>
    </w:rPr>
  </w:style>
  <w:style w:type="paragraph" w:styleId="Footer">
    <w:name w:val="footer"/>
    <w:basedOn w:val="Normal"/>
    <w:link w:val="FooterChar"/>
    <w:uiPriority w:val="99"/>
    <w:rsid w:val="00E85522"/>
    <w:pPr>
      <w:tabs>
        <w:tab w:val="center" w:pos="4536"/>
        <w:tab w:val="right" w:pos="9072"/>
      </w:tabs>
      <w:jc w:val="left"/>
    </w:pPr>
    <w:rPr>
      <w:i/>
      <w:szCs w:val="20"/>
      <w:lang w:val="cs-CZ" w:eastAsia="cs-CZ"/>
    </w:rPr>
  </w:style>
  <w:style w:type="character" w:customStyle="1" w:styleId="FooterChar">
    <w:name w:val="Footer Char"/>
    <w:link w:val="Footer"/>
    <w:uiPriority w:val="99"/>
    <w:locked/>
    <w:rsid w:val="00E85522"/>
    <w:rPr>
      <w:i/>
      <w:sz w:val="24"/>
      <w:lang w:val="cs-CZ" w:eastAsia="cs-CZ"/>
    </w:rPr>
  </w:style>
  <w:style w:type="paragraph" w:styleId="BodyText3">
    <w:name w:val="Body Text 3"/>
    <w:basedOn w:val="Normal"/>
    <w:link w:val="BodyText3Char"/>
    <w:rsid w:val="00E85522"/>
    <w:pPr>
      <w:jc w:val="left"/>
    </w:pPr>
    <w:rPr>
      <w:b/>
      <w:sz w:val="20"/>
      <w:szCs w:val="20"/>
      <w:lang w:eastAsia="cs-CZ"/>
    </w:rPr>
  </w:style>
  <w:style w:type="character" w:customStyle="1" w:styleId="BodyText3Char">
    <w:name w:val="Body Text 3 Char"/>
    <w:link w:val="BodyText3"/>
    <w:semiHidden/>
    <w:locked/>
    <w:rsid w:val="00E85522"/>
    <w:rPr>
      <w:b/>
      <w:lang w:val="sk-SK" w:eastAsia="cs-CZ"/>
    </w:rPr>
  </w:style>
  <w:style w:type="paragraph" w:styleId="FootnoteText">
    <w:name w:val="footnote text"/>
    <w:basedOn w:val="Normal"/>
    <w:link w:val="FootnoteTextChar"/>
    <w:semiHidden/>
    <w:rsid w:val="00E85522"/>
    <w:pPr>
      <w:overflowPunct w:val="0"/>
      <w:autoSpaceDE w:val="0"/>
      <w:autoSpaceDN w:val="0"/>
      <w:adjustRightInd w:val="0"/>
      <w:jc w:val="left"/>
      <w:textAlignment w:val="baseline"/>
    </w:pPr>
    <w:rPr>
      <w:sz w:val="20"/>
      <w:szCs w:val="20"/>
      <w:lang w:eastAsia="cs-CZ"/>
    </w:rPr>
  </w:style>
  <w:style w:type="character" w:customStyle="1" w:styleId="FootnoteTextChar">
    <w:name w:val="Footnote Text Char"/>
    <w:link w:val="FootnoteText"/>
    <w:semiHidden/>
    <w:locked/>
    <w:rsid w:val="00E85522"/>
    <w:rPr>
      <w:lang w:val="sk-SK" w:eastAsia="cs-CZ"/>
    </w:rPr>
  </w:style>
  <w:style w:type="paragraph" w:styleId="BodyTextIndent">
    <w:name w:val="Body Text Indent"/>
    <w:basedOn w:val="Normal"/>
    <w:link w:val="BodyTextIndentChar"/>
    <w:rsid w:val="00E85522"/>
    <w:pPr>
      <w:ind w:left="284" w:hanging="284"/>
      <w:jc w:val="both"/>
    </w:pPr>
    <w:rPr>
      <w:iCs/>
      <w:sz w:val="18"/>
      <w:lang w:val="en-GB"/>
    </w:rPr>
  </w:style>
  <w:style w:type="character" w:customStyle="1" w:styleId="BodyTextIndentChar">
    <w:name w:val="Body Text Indent Char"/>
    <w:link w:val="BodyTextIndent"/>
    <w:semiHidden/>
    <w:locked/>
    <w:rsid w:val="00E85522"/>
    <w:rPr>
      <w:sz w:val="24"/>
      <w:lang w:val="en-GB" w:eastAsia="sk-SK"/>
    </w:rPr>
  </w:style>
  <w:style w:type="character" w:styleId="Hyperlink">
    <w:name w:val="Hyperlink"/>
    <w:rsid w:val="00E85522"/>
    <w:rPr>
      <w:color w:val="0000FF"/>
      <w:u w:val="single"/>
    </w:rPr>
  </w:style>
  <w:style w:type="paragraph" w:customStyle="1" w:styleId="ListParagraph1">
    <w:name w:val="List Paragraph1"/>
    <w:basedOn w:val="Normal"/>
    <w:rsid w:val="00E85522"/>
    <w:pPr>
      <w:spacing w:after="200" w:line="276" w:lineRule="auto"/>
      <w:ind w:left="720"/>
      <w:contextualSpacing/>
      <w:jc w:val="left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1386</Words>
  <Characters>7901</Characters>
  <Application>Microsoft Office Word</Application>
  <DocSecurity>0</DocSecurity>
  <Lines>0</Lines>
  <Paragraphs>0</Paragraphs>
  <ScaleCrop>false</ScaleCrop>
  <Company>mpsvr</Company>
  <LinksUpToDate>false</LinksUpToDate>
  <CharactersWithSpaces>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Administrator</dc:creator>
  <cp:lastModifiedBy>Gašparíková, Jarmila</cp:lastModifiedBy>
  <cp:revision>2</cp:revision>
  <dcterms:created xsi:type="dcterms:W3CDTF">2014-02-27T14:34:00Z</dcterms:created>
  <dcterms:modified xsi:type="dcterms:W3CDTF">2014-02-27T14:34:00Z</dcterms:modified>
</cp:coreProperties>
</file>