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5492" w:rsidP="0027549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 Á V R H</w:t>
      </w:r>
    </w:p>
    <w:p w:rsidR="00275492" w:rsidP="00275492">
      <w:pPr>
        <w:bidi w:val="0"/>
        <w:jc w:val="center"/>
        <w:rPr>
          <w:rFonts w:ascii="Times New Roman" w:hAnsi="Times New Roman"/>
          <w:b/>
        </w:rPr>
      </w:pPr>
    </w:p>
    <w:p w:rsidR="00275492" w:rsidP="0027549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OPATRENIE</w:t>
      </w:r>
    </w:p>
    <w:p w:rsidR="00275492" w:rsidP="00275492">
      <w:pPr>
        <w:bidi w:val="0"/>
        <w:jc w:val="center"/>
        <w:rPr>
          <w:rFonts w:ascii="Times New Roman" w:hAnsi="Times New Roman"/>
          <w:b/>
        </w:rPr>
      </w:pPr>
      <w:bookmarkStart w:id="0" w:name="_Hlk374012915"/>
      <w:r>
        <w:rPr>
          <w:rFonts w:ascii="Times New Roman" w:hAnsi="Times New Roman"/>
          <w:b/>
        </w:rPr>
        <w:t>Ministerstva práce, sociálnych vecí a rodiny Slovenskej republiky</w:t>
      </w:r>
    </w:p>
    <w:p w:rsidR="00275492" w:rsidP="00275492">
      <w:pPr>
        <w:bidi w:val="0"/>
        <w:jc w:val="center"/>
        <w:rPr>
          <w:rFonts w:ascii="Times New Roman" w:hAnsi="Times New Roman"/>
        </w:rPr>
      </w:pPr>
    </w:p>
    <w:p w:rsidR="00275492" w:rsidP="0027549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</w:t>
      </w:r>
      <w:r w:rsidR="00E7024E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2014,</w:t>
      </w:r>
    </w:p>
    <w:p w:rsidR="00275492" w:rsidP="00275492">
      <w:pPr>
        <w:bidi w:val="0"/>
        <w:jc w:val="center"/>
        <w:rPr>
          <w:rFonts w:ascii="Times New Roman" w:hAnsi="Times New Roman"/>
          <w:b/>
        </w:rPr>
      </w:pPr>
    </w:p>
    <w:p w:rsidR="00275492" w:rsidP="0027549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ktorým sa ustanovuje obsah, rozsah a štruktúra </w:t>
      </w:r>
      <w:bookmarkEnd w:id="0"/>
      <w:r w:rsidRPr="00275492">
        <w:rPr>
          <w:rFonts w:ascii="Times New Roman" w:hAnsi="Times New Roman"/>
          <w:b/>
        </w:rPr>
        <w:t>listu obsahujúceho informáciu o dôchodkoch zo starobného dôchodkového sporenia</w:t>
      </w:r>
    </w:p>
    <w:p w:rsidR="00275492" w:rsidP="00275492">
      <w:pPr>
        <w:bidi w:val="0"/>
        <w:jc w:val="center"/>
        <w:rPr>
          <w:rFonts w:ascii="Times New Roman" w:hAnsi="Times New Roman"/>
        </w:rPr>
      </w:pPr>
    </w:p>
    <w:p w:rsidR="00275492" w:rsidP="00275492">
      <w:pPr>
        <w:bidi w:val="0"/>
        <w:jc w:val="both"/>
        <w:rPr>
          <w:rFonts w:ascii="Times New Roman" w:hAnsi="Times New Roman"/>
        </w:rPr>
      </w:pPr>
    </w:p>
    <w:p w:rsidR="00275492" w:rsidP="0027549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Ministerstvo práce, sociálnych vecí a rodiny Slovenskej republiky po dohode s Národnou bankou Slovenska podľa § 94 ods. 12 zákona č. 43/2004 Z. z. o starobnom dôchodkovom sporení a o zmene a doplnení niektorých zákonov v znení zákona č. .../2014 </w:t>
      </w:r>
      <w:r w:rsidR="00E7024E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Z. z. (ďalej len „zákon“) ustanovuje:</w:t>
      </w:r>
    </w:p>
    <w:p w:rsidR="00275492" w:rsidP="00275492">
      <w:pPr>
        <w:bidi w:val="0"/>
        <w:rPr>
          <w:rFonts w:ascii="Times New Roman" w:hAnsi="Times New Roman"/>
        </w:rPr>
      </w:pPr>
    </w:p>
    <w:p w:rsidR="00275492" w:rsidP="00275492">
      <w:pPr>
        <w:pStyle w:val="ListParagraph"/>
        <w:bidi w:val="0"/>
        <w:ind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275492" w:rsidP="00275492">
      <w:pPr>
        <w:pStyle w:val="ListParagraph"/>
        <w:bidi w:val="0"/>
        <w:ind w:hanging="720"/>
        <w:jc w:val="center"/>
        <w:rPr>
          <w:rFonts w:ascii="Times New Roman" w:hAnsi="Times New Roman"/>
          <w:b/>
        </w:rPr>
      </w:pPr>
      <w:r w:rsidR="00BF4AD0">
        <w:rPr>
          <w:rFonts w:ascii="Times New Roman" w:hAnsi="Times New Roman"/>
          <w:b/>
        </w:rPr>
        <w:t>List obsahujúci informácie o dôchodkoch zo starobného dôchodkového sporenia</w:t>
      </w:r>
    </w:p>
    <w:p w:rsidR="00275492" w:rsidP="00275492">
      <w:pPr>
        <w:pStyle w:val="ListParagraph"/>
        <w:bidi w:val="0"/>
        <w:ind w:hanging="720"/>
        <w:jc w:val="center"/>
        <w:rPr>
          <w:rFonts w:ascii="Times New Roman" w:hAnsi="Times New Roman"/>
          <w:b/>
        </w:rPr>
      </w:pPr>
    </w:p>
    <w:p w:rsidR="00275492" w:rsidRPr="006E11ED" w:rsidP="00275492">
      <w:pPr>
        <w:bidi w:val="0"/>
        <w:jc w:val="both"/>
        <w:rPr>
          <w:rFonts w:ascii="Times New Roman" w:hAnsi="Times New Roman"/>
        </w:rPr>
      </w:pPr>
      <w:r w:rsidR="00E7024E">
        <w:rPr>
          <w:rFonts w:ascii="Times New Roman" w:hAnsi="Times New Roman"/>
        </w:rPr>
        <w:tab/>
      </w:r>
      <w:r w:rsidR="006E11ED">
        <w:rPr>
          <w:rFonts w:ascii="Times New Roman" w:hAnsi="Times New Roman"/>
        </w:rPr>
        <w:t>Obsah, rozsah a štruktúra l</w:t>
      </w:r>
      <w:r w:rsidR="00BF4AD0">
        <w:rPr>
          <w:rFonts w:ascii="Times New Roman" w:hAnsi="Times New Roman"/>
        </w:rPr>
        <w:t>ist</w:t>
      </w:r>
      <w:r w:rsidR="006E11ED">
        <w:rPr>
          <w:rFonts w:ascii="Times New Roman" w:hAnsi="Times New Roman"/>
        </w:rPr>
        <w:t>u</w:t>
      </w:r>
      <w:r w:rsidR="00BF4AD0">
        <w:rPr>
          <w:rFonts w:ascii="Times New Roman" w:hAnsi="Times New Roman"/>
        </w:rPr>
        <w:t xml:space="preserve"> obsahujúc</w:t>
      </w:r>
      <w:r w:rsidR="006E11ED">
        <w:rPr>
          <w:rFonts w:ascii="Times New Roman" w:hAnsi="Times New Roman"/>
        </w:rPr>
        <w:t>eho</w:t>
      </w:r>
      <w:r w:rsidR="00BF4AD0">
        <w:rPr>
          <w:rFonts w:ascii="Times New Roman" w:hAnsi="Times New Roman"/>
        </w:rPr>
        <w:t xml:space="preserve"> informácie o dôchodkoch zo starobného dôchodkového sporenia </w:t>
      </w:r>
      <w:r w:rsidRPr="002C1C1F" w:rsidR="006E11ED">
        <w:rPr>
          <w:rFonts w:ascii="Times New Roman" w:hAnsi="Times New Roman"/>
        </w:rPr>
        <w:t xml:space="preserve"> </w:t>
      </w:r>
      <w:r w:rsidR="006E11ED">
        <w:rPr>
          <w:rFonts w:ascii="Times New Roman" w:hAnsi="Times New Roman"/>
        </w:rPr>
        <w:t>sú uvedené vo vzore, ktorý je prílohou č. 1.</w:t>
      </w:r>
    </w:p>
    <w:p w:rsidR="002041C4">
      <w:pPr>
        <w:bidi w:val="0"/>
        <w:rPr>
          <w:rFonts w:ascii="Times New Roman" w:hAnsi="Times New Roman"/>
        </w:rPr>
      </w:pPr>
    </w:p>
    <w:p w:rsidR="002C1C1F">
      <w:pPr>
        <w:bidi w:val="0"/>
        <w:rPr>
          <w:rFonts w:ascii="Times New Roman" w:hAnsi="Times New Roman"/>
        </w:rPr>
      </w:pPr>
    </w:p>
    <w:p w:rsidR="002C1C1F">
      <w:pPr>
        <w:bidi w:val="0"/>
        <w:rPr>
          <w:rFonts w:ascii="Times New Roman" w:hAnsi="Times New Roman"/>
        </w:rPr>
      </w:pPr>
    </w:p>
    <w:p w:rsidR="00487AC1" w:rsidRPr="00BC2EF1" w:rsidP="00487AC1">
      <w:pPr>
        <w:bidi w:val="0"/>
        <w:jc w:val="center"/>
        <w:rPr>
          <w:rFonts w:ascii="Times New Roman" w:hAnsi="Times New Roman"/>
          <w:b/>
        </w:rPr>
      </w:pPr>
      <w:r w:rsidRPr="00BC2EF1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2</w:t>
      </w:r>
    </w:p>
    <w:p w:rsidR="00487AC1" w:rsidRPr="00BC2EF1" w:rsidP="00487AC1">
      <w:pPr>
        <w:bidi w:val="0"/>
        <w:jc w:val="both"/>
        <w:rPr>
          <w:rFonts w:ascii="Times New Roman" w:hAnsi="Times New Roman"/>
        </w:rPr>
      </w:pPr>
      <w:r w:rsidRPr="00BC2EF1">
        <w:rPr>
          <w:rFonts w:ascii="Times New Roman" w:hAnsi="Times New Roman"/>
        </w:rPr>
        <w:t xml:space="preserve"> </w:t>
      </w:r>
    </w:p>
    <w:p w:rsidR="00487AC1" w:rsidRPr="00BC2EF1" w:rsidP="00487AC1">
      <w:pPr>
        <w:bidi w:val="0"/>
        <w:jc w:val="both"/>
        <w:rPr>
          <w:rFonts w:ascii="Times New Roman" w:hAnsi="Times New Roman"/>
        </w:rPr>
      </w:pPr>
      <w:r w:rsidRPr="00BC2EF1">
        <w:rPr>
          <w:rFonts w:ascii="Times New Roman" w:hAnsi="Times New Roman"/>
        </w:rPr>
        <w:tab/>
      </w:r>
      <w:r w:rsidRPr="00C15025">
        <w:rPr>
          <w:rFonts w:ascii="Times New Roman" w:hAnsi="Times New Roman"/>
        </w:rPr>
        <w:t xml:space="preserve">Toto opatrenie nadobúda účinnosť 1. </w:t>
      </w:r>
      <w:r>
        <w:rPr>
          <w:rFonts w:ascii="Times New Roman" w:hAnsi="Times New Roman"/>
        </w:rPr>
        <w:t>júla</w:t>
      </w:r>
      <w:r w:rsidRPr="00C15025">
        <w:rPr>
          <w:rFonts w:ascii="Times New Roman" w:hAnsi="Times New Roman"/>
        </w:rPr>
        <w:t xml:space="preserve"> 2014.</w:t>
      </w:r>
    </w:p>
    <w:p w:rsidR="00487AC1" w:rsidRPr="00BC2EF1" w:rsidP="00487AC1">
      <w:pPr>
        <w:bidi w:val="0"/>
        <w:jc w:val="both"/>
        <w:rPr>
          <w:rFonts w:ascii="Times New Roman" w:hAnsi="Times New Roman"/>
        </w:rPr>
      </w:pPr>
    </w:p>
    <w:p w:rsidR="00487AC1" w:rsidRPr="00BC2EF1" w:rsidP="00487AC1">
      <w:pPr>
        <w:bidi w:val="0"/>
        <w:jc w:val="both"/>
        <w:rPr>
          <w:rFonts w:ascii="Times New Roman" w:hAnsi="Times New Roman"/>
        </w:rPr>
      </w:pPr>
    </w:p>
    <w:p w:rsidR="00487AC1" w:rsidRPr="00BC2EF1" w:rsidP="00487AC1">
      <w:pPr>
        <w:bidi w:val="0"/>
        <w:jc w:val="both"/>
        <w:rPr>
          <w:rFonts w:ascii="Times New Roman" w:hAnsi="Times New Roman"/>
        </w:rPr>
      </w:pPr>
    </w:p>
    <w:p w:rsidR="00487AC1" w:rsidRPr="00BC2EF1" w:rsidP="00487AC1">
      <w:pPr>
        <w:bidi w:val="0"/>
        <w:ind w:left="360"/>
        <w:jc w:val="center"/>
        <w:rPr>
          <w:rFonts w:ascii="Times New Roman" w:hAnsi="Times New Roman"/>
          <w:b/>
        </w:rPr>
      </w:pPr>
      <w:r w:rsidRPr="00BC2EF1">
        <w:rPr>
          <w:rFonts w:ascii="Times New Roman" w:hAnsi="Times New Roman"/>
          <w:b/>
        </w:rPr>
        <w:t>Ján Richter v. r.</w:t>
      </w:r>
    </w:p>
    <w:p w:rsidR="002C1C1F">
      <w:pPr>
        <w:bidi w:val="0"/>
        <w:rPr>
          <w:rFonts w:ascii="Times New Roman" w:hAnsi="Times New Roman"/>
        </w:rPr>
      </w:pPr>
    </w:p>
    <w:p w:rsidR="002C1C1F">
      <w:pPr>
        <w:bidi w:val="0"/>
        <w:rPr>
          <w:rFonts w:ascii="Times New Roman" w:hAnsi="Times New Roman"/>
        </w:rPr>
      </w:pPr>
    </w:p>
    <w:p w:rsidR="002C1C1F">
      <w:pPr>
        <w:bidi w:val="0"/>
        <w:rPr>
          <w:rFonts w:ascii="Times New Roman" w:hAnsi="Times New Roman"/>
        </w:rPr>
      </w:pPr>
    </w:p>
    <w:p w:rsidR="002C1C1F">
      <w:pPr>
        <w:bidi w:val="0"/>
        <w:rPr>
          <w:rFonts w:ascii="Times New Roman" w:hAnsi="Times New Roman"/>
        </w:rPr>
      </w:pPr>
    </w:p>
    <w:p w:rsidR="002C1C1F">
      <w:pPr>
        <w:bidi w:val="0"/>
        <w:rPr>
          <w:rFonts w:ascii="Times New Roman" w:hAnsi="Times New Roman"/>
        </w:rPr>
      </w:pPr>
    </w:p>
    <w:p w:rsidR="002C1C1F">
      <w:pPr>
        <w:bidi w:val="0"/>
        <w:rPr>
          <w:rFonts w:ascii="Times New Roman" w:hAnsi="Times New Roman"/>
        </w:rPr>
      </w:pPr>
    </w:p>
    <w:p w:rsidR="00487AC1">
      <w:pPr>
        <w:bidi w:val="0"/>
        <w:rPr>
          <w:rFonts w:ascii="Times New Roman" w:hAnsi="Times New Roman"/>
        </w:rPr>
        <w:sectPr w:rsidSect="00487AC1">
          <w:headerReference w:type="default" r:id="rId5"/>
          <w:footerReference w:type="default" r:id="rId6"/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2C1C1F">
      <w:pPr>
        <w:bidi w:val="0"/>
        <w:rPr>
          <w:rFonts w:ascii="Times New Roman" w:hAnsi="Times New Roman"/>
        </w:rPr>
      </w:pPr>
    </w:p>
    <w:p w:rsidR="002C1C1F">
      <w:pPr>
        <w:bidi w:val="0"/>
        <w:rPr>
          <w:rFonts w:ascii="Times New Roman" w:hAnsi="Times New Roman"/>
        </w:rPr>
      </w:pPr>
    </w:p>
    <w:p w:rsidR="002C1C1F">
      <w:pPr>
        <w:bidi w:val="0"/>
        <w:rPr>
          <w:rFonts w:ascii="Times New Roman" w:hAnsi="Times New Roman"/>
        </w:rPr>
      </w:pPr>
    </w:p>
    <w:p w:rsidR="002C1C1F">
      <w:pPr>
        <w:bidi w:val="0"/>
        <w:rPr>
          <w:rFonts w:ascii="Times New Roman" w:hAnsi="Times New Roman"/>
        </w:rPr>
      </w:pPr>
    </w:p>
    <w:p w:rsidR="002C1C1F">
      <w:pPr>
        <w:bidi w:val="0"/>
        <w:rPr>
          <w:rFonts w:ascii="Times New Roman" w:hAnsi="Times New Roman"/>
        </w:rPr>
      </w:pPr>
    </w:p>
    <w:p w:rsidR="002C1C1F">
      <w:pPr>
        <w:bidi w:val="0"/>
        <w:rPr>
          <w:rFonts w:ascii="Times New Roman" w:hAnsi="Times New Roman"/>
        </w:rPr>
      </w:pPr>
    </w:p>
    <w:p w:rsidR="002C1C1F">
      <w:pPr>
        <w:bidi w:val="0"/>
        <w:rPr>
          <w:rFonts w:ascii="Times New Roman" w:hAnsi="Times New Roman"/>
        </w:rPr>
      </w:pPr>
    </w:p>
    <w:p w:rsidR="002C1C1F">
      <w:pPr>
        <w:bidi w:val="0"/>
        <w:rPr>
          <w:rFonts w:ascii="Times New Roman" w:hAnsi="Times New Roman"/>
        </w:rPr>
      </w:pPr>
    </w:p>
    <w:p w:rsidR="00487AC1">
      <w:pPr>
        <w:bidi w:val="0"/>
        <w:rPr>
          <w:rFonts w:ascii="Times New Roman" w:hAnsi="Times New Roman"/>
        </w:rPr>
      </w:pPr>
    </w:p>
    <w:p w:rsidR="002C1C1F">
      <w:pPr>
        <w:bidi w:val="0"/>
        <w:rPr>
          <w:rFonts w:ascii="Times New Roman" w:hAnsi="Times New Roman"/>
        </w:rPr>
      </w:pPr>
    </w:p>
    <w:p w:rsidR="002C1C1F">
      <w:pPr>
        <w:bidi w:val="0"/>
        <w:rPr>
          <w:rFonts w:ascii="Times New Roman" w:hAnsi="Times New Roman"/>
        </w:rPr>
      </w:pPr>
    </w:p>
    <w:p w:rsidR="002C1C1F">
      <w:pPr>
        <w:bidi w:val="0"/>
        <w:rPr>
          <w:rFonts w:ascii="Times New Roman" w:hAnsi="Times New Roman"/>
        </w:rPr>
      </w:pPr>
    </w:p>
    <w:p w:rsidR="00487AC1">
      <w:pPr>
        <w:bidi w:val="0"/>
        <w:rPr>
          <w:rFonts w:ascii="Times New Roman" w:hAnsi="Times New Roman"/>
        </w:rPr>
        <w:sectPr w:rsidSect="00487AC1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2C1C1F">
      <w:pPr>
        <w:bidi w:val="0"/>
        <w:rPr>
          <w:rFonts w:ascii="Times New Roman" w:hAnsi="Times New Roman"/>
        </w:rPr>
      </w:pPr>
    </w:p>
    <w:p w:rsidR="004D2BD8" w:rsidP="00487AC1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487AC1" w:rsidRPr="00487AC1" w:rsidP="00487AC1">
      <w:pPr>
        <w:bidi w:val="0"/>
        <w:jc w:val="center"/>
        <w:rPr>
          <w:rFonts w:ascii="Times New Roman" w:hAnsi="Times New Roman"/>
          <w:b/>
          <w:sz w:val="40"/>
          <w:szCs w:val="40"/>
        </w:rPr>
      </w:pPr>
      <w:r w:rsidRPr="00487AC1">
        <w:rPr>
          <w:rFonts w:ascii="Times New Roman" w:hAnsi="Times New Roman"/>
          <w:b/>
          <w:sz w:val="40"/>
          <w:szCs w:val="40"/>
        </w:rPr>
        <w:t>Informácia pre budúcich poberateľov dôchodku</w:t>
      </w:r>
    </w:p>
    <w:p w:rsidR="00487AC1" w:rsidRPr="00487AC1" w:rsidP="00487AC1">
      <w:pPr>
        <w:bidi w:val="0"/>
        <w:jc w:val="center"/>
        <w:rPr>
          <w:rFonts w:ascii="Times New Roman" w:hAnsi="Times New Roman"/>
          <w:b/>
          <w:sz w:val="40"/>
          <w:szCs w:val="40"/>
        </w:rPr>
      </w:pPr>
      <w:r w:rsidRPr="00487AC1">
        <w:rPr>
          <w:rFonts w:ascii="Times New Roman" w:hAnsi="Times New Roman"/>
          <w:b/>
          <w:sz w:val="40"/>
          <w:szCs w:val="40"/>
        </w:rPr>
        <w:t xml:space="preserve">zo systému starobného dôchodkového sporenia </w:t>
      </w:r>
    </w:p>
    <w:p w:rsidR="00487AC1" w:rsidRPr="00487AC1" w:rsidP="00487AC1">
      <w:pPr>
        <w:bidi w:val="0"/>
        <w:rPr>
          <w:rFonts w:ascii="Times New Roman" w:hAnsi="Times New Roman"/>
          <w:sz w:val="28"/>
          <w:szCs w:val="28"/>
        </w:rPr>
      </w:pPr>
    </w:p>
    <w:p w:rsidR="00487AC1" w:rsidRPr="00487AC1" w:rsidP="00487AC1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487AC1">
        <w:rPr>
          <w:rFonts w:ascii="Times New Roman" w:hAnsi="Times New Roman"/>
          <w:sz w:val="28"/>
          <w:szCs w:val="28"/>
        </w:rPr>
        <w:t>Vážený sporiteľ a budúci poberateľ dôchodku z II. piliera.</w:t>
      </w:r>
    </w:p>
    <w:p w:rsidR="00487AC1" w:rsidRPr="00487AC1" w:rsidP="00487AC1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487AC1">
        <w:rPr>
          <w:rFonts w:ascii="Times New Roman" w:hAnsi="Times New Roman"/>
          <w:sz w:val="28"/>
          <w:szCs w:val="28"/>
        </w:rPr>
        <w:t>S blížiacim sa dôchodkovým vekom by ste mali začať venovať viac pozornosti možnostiam, ktoré Vám ponúka II. pilier pri vyplácaní Vášho dôchodku.</w:t>
      </w:r>
    </w:p>
    <w:p w:rsidR="00487AC1" w:rsidRPr="00786FED" w:rsidP="00487AC1">
      <w:pPr>
        <w:bidi w:val="0"/>
        <w:jc w:val="center"/>
        <w:rPr>
          <w:rFonts w:ascii="Times New Roman" w:hAnsi="Times New Roman"/>
          <w:sz w:val="28"/>
        </w:rPr>
      </w:pPr>
      <w:r w:rsidRPr="00487AC1">
        <w:rPr>
          <w:rFonts w:ascii="Times New Roman" w:hAnsi="Times New Roman"/>
          <w:sz w:val="28"/>
          <w:szCs w:val="28"/>
        </w:rPr>
        <w:t>Predtým Vás čaká ešte niekoľko úloh. Venujte preto pozornosť nižšie uvedeným otázkam a úlohám, ktoré by ste mali začať plniť.</w:t>
      </w:r>
    </w:p>
    <w:tbl>
      <w:tblPr>
        <w:tblStyle w:val="TableGrid"/>
        <w:tblpPr w:leftFromText="141" w:rightFromText="141" w:vertAnchor="text" w:horzAnchor="margin" w:tblpXSpec="center" w:tblpY="25"/>
        <w:tblW w:w="10854" w:type="dxa"/>
        <w:tblLook w:val="04A0"/>
      </w:tblPr>
      <w:tblGrid>
        <w:gridCol w:w="309"/>
        <w:gridCol w:w="314"/>
        <w:gridCol w:w="9295"/>
        <w:gridCol w:w="936"/>
      </w:tblGrid>
      <w:tr>
        <w:tblPrEx>
          <w:tblW w:w="10854" w:type="dxa"/>
          <w:tblLook w:val="04A0"/>
        </w:tblPrEx>
        <w:trPr>
          <w:gridBefore w:val="1"/>
          <w:wBefore w:w="309" w:type="dxa"/>
          <w:trHeight w:val="709"/>
        </w:trPr>
        <w:tc>
          <w:tcPr>
            <w:tcW w:w="10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5348"/>
            <w:textDirection w:val="lrTb"/>
            <w:vAlign w:val="top"/>
          </w:tcPr>
          <w:p w:rsidR="00487AC1" w:rsidRPr="00497391" w:rsidP="00786FED">
            <w:pPr>
              <w:bidi w:val="0"/>
              <w:spacing w:before="120" w:after="120"/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</w:pPr>
            <w:r w:rsidRPr="00497391"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Kedy dosiahnem dôchodkový vek?</w:t>
            </w:r>
          </w:p>
        </w:tc>
      </w:tr>
      <w:tr>
        <w:tblPrEx>
          <w:tblW w:w="10854" w:type="dxa"/>
          <w:tblLook w:val="04A0"/>
        </w:tblPrEx>
        <w:trPr>
          <w:trHeight w:val="487"/>
        </w:trPr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textDirection w:val="btLr"/>
            <w:vAlign w:val="top"/>
          </w:tcPr>
          <w:p w:rsidR="00487AC1" w:rsidRPr="00497391" w:rsidP="00786FED">
            <w:pPr>
              <w:bidi w:val="0"/>
              <w:ind w:left="113" w:right="113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 w:rsidRPr="00497391">
              <w:rPr>
                <w:rFonts w:ascii="Times New Roman" w:hAnsi="Times New Roman"/>
                <w:color w:val="FFFFFF" w:themeColor="bg1" w:themeShade="FF"/>
                <w:sz w:val="32"/>
                <w:szCs w:val="22"/>
              </w:rPr>
              <w:t>Úlohy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</w:tcPr>
          <w:p w:rsidR="00487AC1" w:rsidP="00786FED">
            <w:pPr>
              <w:pStyle w:val="ListParagraph"/>
              <w:numPr>
                <w:numId w:val="2"/>
              </w:numPr>
              <w:bidi w:val="0"/>
              <w:ind w:left="398" w:hanging="398"/>
              <w:rPr>
                <w:rFonts w:ascii="Times New Roman" w:hAnsi="Times New Roman"/>
                <w:sz w:val="22"/>
                <w:szCs w:val="22"/>
              </w:rPr>
            </w:pPr>
            <w:r w:rsidRPr="00F83E5F">
              <w:rPr>
                <w:rFonts w:ascii="Times New Roman" w:hAnsi="Times New Roman"/>
                <w:sz w:val="22"/>
                <w:szCs w:val="22"/>
              </w:rPr>
              <w:t xml:space="preserve">Zistite si kedy dosiahnete dôchodkový vek. Vysvetlenie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 kalkulačku na výpočet dôchodkového veku </w:t>
            </w:r>
            <w:r w:rsidRPr="00F83E5F">
              <w:rPr>
                <w:rFonts w:ascii="Times New Roman" w:hAnsi="Times New Roman"/>
                <w:sz w:val="22"/>
                <w:szCs w:val="22"/>
              </w:rPr>
              <w:t>nájdete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internetovej stránke Sociálnej poisťovne www.socpoist.sk</w:t>
            </w:r>
            <w:r w:rsidRPr="00F83E5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7AC1" w:rsidRPr="00F83E5F" w:rsidP="00786FED">
            <w:pPr>
              <w:bidi w:val="0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9" o:spid="_x0000_s1025" type="#_x0000_t75" style="width:20.25pt;height:20.25pt;margin-top:1.5pt;margin-left:18.2pt;position:absolute;visibility:visible;z-index:251658240" filled="f" stroked="f">
                  <v:imagedata r:id="rId7" o:title=""/>
                  <o:lock v:ext="edit" aspectratio="t"/>
                </v:shape>
              </w:pict>
            </w:r>
          </w:p>
        </w:tc>
      </w:tr>
      <w:tr>
        <w:tblPrEx>
          <w:tblW w:w="10854" w:type="dxa"/>
          <w:tblLook w:val="04A0"/>
        </w:tblPrEx>
        <w:trPr>
          <w:trHeight w:val="366"/>
        </w:trPr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lrTb"/>
            <w:vAlign w:val="top"/>
          </w:tcPr>
          <w:p w:rsidR="00487AC1" w:rsidRPr="00F83E5F" w:rsidP="00786FED">
            <w:pPr>
              <w:pStyle w:val="ListParagraph"/>
              <w:numPr>
                <w:ilvl w:val="1"/>
                <w:numId w:val="1"/>
              </w:num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</w:tcPr>
          <w:p w:rsidR="00487AC1" w:rsidRPr="00F83E5F" w:rsidP="00786FED">
            <w:pPr>
              <w:pStyle w:val="ListParagraph"/>
              <w:numPr>
                <w:numId w:val="2"/>
              </w:numPr>
              <w:bidi w:val="0"/>
              <w:ind w:left="382" w:hanging="382"/>
              <w:rPr>
                <w:rFonts w:ascii="Times New Roman" w:hAnsi="Times New Roman"/>
                <w:sz w:val="22"/>
                <w:szCs w:val="22"/>
              </w:rPr>
            </w:pPr>
            <w:r w:rsidRPr="00F83E5F">
              <w:rPr>
                <w:rFonts w:ascii="Times New Roman" w:hAnsi="Times New Roman"/>
                <w:sz w:val="22"/>
                <w:szCs w:val="22"/>
              </w:rPr>
              <w:t xml:space="preserve">Premyslite si, odkedy chcete </w:t>
            </w:r>
            <w:r>
              <w:rPr>
                <w:rFonts w:ascii="Times New Roman" w:hAnsi="Times New Roman"/>
                <w:sz w:val="22"/>
                <w:szCs w:val="22"/>
              </w:rPr>
              <w:t>ísť do dôchodku. V prípade neskoršieho odchodu do dôchodku ako je Váš dôchodkový vek môžete získať vyšší dôchodok.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7AC1" w:rsidRPr="00F83E5F" w:rsidP="00786FED">
            <w:pPr>
              <w:tabs>
                <w:tab w:val="left" w:pos="193"/>
              </w:tabs>
              <w:bidi w:val="0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 id="Obrázek 10" o:spid="_x0000_s1026" type="#_x0000_t75" style="width:20.55pt;height:20.25pt;margin-top:1.25pt;margin-left:18.4pt;position:absolute;visibility:visible;z-index:251659264" filled="f" stroked="f">
                  <v:imagedata r:id="rId7" o:title=""/>
                  <o:lock v:ext="edit" aspectratio="t"/>
                </v:shape>
              </w:pict>
            </w:r>
          </w:p>
        </w:tc>
      </w:tr>
      <w:tr>
        <w:tblPrEx>
          <w:tblW w:w="10854" w:type="dxa"/>
          <w:tblLook w:val="04A0"/>
        </w:tblPrEx>
        <w:trPr>
          <w:trHeight w:val="413"/>
        </w:trPr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lrTb"/>
            <w:vAlign w:val="top"/>
          </w:tcPr>
          <w:p w:rsidR="00487AC1" w:rsidRPr="00F83E5F" w:rsidP="00786FED">
            <w:pPr>
              <w:pStyle w:val="ListParagraph"/>
              <w:numPr>
                <w:ilvl w:val="1"/>
                <w:numId w:val="1"/>
              </w:num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</w:tcPr>
          <w:p w:rsidR="00487AC1" w:rsidRPr="00F83E5F" w:rsidP="00786FED">
            <w:pPr>
              <w:pStyle w:val="ListParagraph"/>
              <w:numPr>
                <w:numId w:val="2"/>
              </w:numPr>
              <w:bidi w:val="0"/>
              <w:ind w:left="382" w:hanging="382"/>
              <w:rPr>
                <w:rFonts w:ascii="Times New Roman" w:hAnsi="Times New Roman"/>
                <w:sz w:val="22"/>
                <w:szCs w:val="22"/>
              </w:rPr>
            </w:pPr>
            <w:r w:rsidRPr="00F83E5F">
              <w:rPr>
                <w:rFonts w:ascii="Times New Roman" w:hAnsi="Times New Roman"/>
                <w:sz w:val="22"/>
                <w:szCs w:val="22"/>
              </w:rPr>
              <w:t>Informujte sa v Sociálnej poisťovni o stave Vášho individuálneho účtu. V prípade, že ste sa o ňom už informovali v minulosti, stav Vášho individuálneho účtu môžete skontrolovať bez žiadania v Sociálnej poisťovni.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7AC1" w:rsidRPr="00F83E5F" w:rsidP="00786FED">
            <w:pPr>
              <w:bidi w:val="0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 id="Obrázek 11" o:spid="_x0000_s1027" type="#_x0000_t75" style="width:20.25pt;height:20.25pt;margin-top:1.5pt;margin-left:18.05pt;position:absolute;visibility:visible;z-index:251660288" filled="f" stroked="f">
                  <v:imagedata r:id="rId7" o:title=""/>
                  <o:lock v:ext="edit" aspectratio="t"/>
                </v:shape>
              </w:pict>
            </w:r>
          </w:p>
        </w:tc>
      </w:tr>
      <w:tr>
        <w:tblPrEx>
          <w:tblW w:w="10854" w:type="dxa"/>
          <w:tblLook w:val="04A0"/>
        </w:tblPrEx>
        <w:trPr>
          <w:gridBefore w:val="1"/>
          <w:wBefore w:w="309" w:type="dxa"/>
        </w:trPr>
        <w:tc>
          <w:tcPr>
            <w:tcW w:w="10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5348"/>
            <w:textDirection w:val="lrTb"/>
            <w:vAlign w:val="top"/>
          </w:tcPr>
          <w:p w:rsidR="00487AC1" w:rsidRPr="00497391" w:rsidP="00786FED">
            <w:pPr>
              <w:bidi w:val="0"/>
              <w:spacing w:before="120" w:after="120"/>
              <w:rPr>
                <w:rFonts w:ascii="Times New Roman" w:hAnsi="Times New Roman"/>
                <w:color w:val="FFFFFF" w:themeColor="bg1" w:themeShade="FF"/>
                <w:sz w:val="36"/>
                <w:szCs w:val="22"/>
              </w:rPr>
            </w:pPr>
            <w:r w:rsidRPr="00497391"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 xml:space="preserve">Aký vysoký dôchodok z II. piliera môžem očakávať? </w:t>
            </w:r>
          </w:p>
        </w:tc>
      </w:tr>
      <w:tr>
        <w:tblPrEx>
          <w:tblW w:w="10854" w:type="dxa"/>
          <w:tblLook w:val="04A0"/>
        </w:tblPrEx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textDirection w:val="btLr"/>
            <w:vAlign w:val="top"/>
          </w:tcPr>
          <w:p w:rsidR="00487AC1" w:rsidRPr="00497391" w:rsidP="00786FED">
            <w:pPr>
              <w:bidi w:val="0"/>
              <w:ind w:left="113" w:right="113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 w:rsidRPr="00497391">
              <w:rPr>
                <w:rFonts w:ascii="Times New Roman" w:hAnsi="Times New Roman"/>
                <w:color w:val="FFFFFF" w:themeColor="bg1" w:themeShade="FF"/>
                <w:sz w:val="32"/>
                <w:szCs w:val="22"/>
              </w:rPr>
              <w:t>Úlohy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</w:tcPr>
          <w:p w:rsidR="00487AC1" w:rsidRPr="00497391" w:rsidP="00786FED">
            <w:pPr>
              <w:pStyle w:val="ListParagraph"/>
              <w:numPr>
                <w:numId w:val="3"/>
              </w:numPr>
              <w:bidi w:val="0"/>
              <w:ind w:left="382" w:hanging="382"/>
              <w:rPr>
                <w:rFonts w:ascii="Times New Roman" w:hAnsi="Times New Roman"/>
                <w:sz w:val="22"/>
                <w:szCs w:val="22"/>
              </w:rPr>
            </w:pPr>
            <w:r w:rsidRPr="00497391">
              <w:rPr>
                <w:rFonts w:ascii="Times New Roman" w:hAnsi="Times New Roman"/>
                <w:sz w:val="22"/>
                <w:szCs w:val="22"/>
              </w:rPr>
              <w:t>Skontrolujte si výpis z osobného dôchodkového účtu (v prílohe tohto listu) a zistite si výšku zostatku na svojom osobnom dôchodkovom účte.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7AC1" w:rsidRPr="00F83E5F" w:rsidP="00786FED">
            <w:pPr>
              <w:bidi w:val="0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 id="Obrázek 14" o:spid="_x0000_s1028" type="#_x0000_t75" style="width:20.25pt;height:20.25pt;margin-top:3.1pt;margin-left:17.85pt;position:absolute;visibility:visible;z-index:251662336" filled="f" stroked="f">
                  <v:imagedata r:id="rId7" o:title=""/>
                  <o:lock v:ext="edit" aspectratio="t"/>
                </v:shape>
              </w:pict>
            </w:r>
          </w:p>
        </w:tc>
      </w:tr>
      <w:tr>
        <w:tblPrEx>
          <w:tblW w:w="10854" w:type="dxa"/>
          <w:tblLook w:val="04A0"/>
        </w:tblPrEx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extDirection w:val="lrTb"/>
            <w:vAlign w:val="top"/>
          </w:tcPr>
          <w:p w:rsidR="00487AC1" w:rsidRPr="00F83E5F" w:rsidP="00786FED">
            <w:pPr>
              <w:pStyle w:val="ListParagraph"/>
              <w:numPr>
                <w:numId w:val="1"/>
              </w:num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</w:tcPr>
          <w:p w:rsidR="00487AC1" w:rsidRPr="00497391" w:rsidP="00786FED">
            <w:pPr>
              <w:pStyle w:val="ListParagraph"/>
              <w:numPr>
                <w:numId w:val="3"/>
              </w:numPr>
              <w:bidi w:val="0"/>
              <w:ind w:left="382" w:hanging="382"/>
              <w:rPr>
                <w:rFonts w:ascii="Times New Roman" w:hAnsi="Times New Roman"/>
                <w:sz w:val="22"/>
                <w:szCs w:val="22"/>
              </w:rPr>
            </w:pPr>
            <w:r w:rsidRPr="00497391">
              <w:rPr>
                <w:rFonts w:ascii="Times New Roman" w:hAnsi="Times New Roman"/>
                <w:sz w:val="22"/>
                <w:szCs w:val="22"/>
              </w:rPr>
              <w:t xml:space="preserve">Oboznámte sa z rôznymi finančnými produktmi, ktoré Vám umožnia čerpať dôchodok z II. piliera. Vysvetlenie finančných produktov nájdete na strane </w:t>
            </w: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7AC1" w:rsidRPr="00F83E5F" w:rsidP="00786FED">
            <w:pPr>
              <w:bidi w:val="0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 id="Obrázek 13" o:spid="_x0000_s1029" type="#_x0000_t75" style="width:20.25pt;height:20.25pt;margin-top:3pt;margin-left:18pt;position:absolute;visibility:visible;z-index:251661312" filled="f" stroked="f">
                  <v:imagedata r:id="rId7" o:title=""/>
                  <o:lock v:ext="edit" aspectratio="t"/>
                </v:shape>
              </w:pict>
            </w:r>
          </w:p>
        </w:tc>
      </w:tr>
      <w:tr>
        <w:tblPrEx>
          <w:tblW w:w="10854" w:type="dxa"/>
          <w:tblLook w:val="04A0"/>
        </w:tblPrEx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extDirection w:val="lrTb"/>
            <w:vAlign w:val="top"/>
          </w:tcPr>
          <w:p w:rsidR="00487AC1" w:rsidRPr="00F83E5F" w:rsidP="00786FED">
            <w:pPr>
              <w:pStyle w:val="ListParagraph"/>
              <w:numPr>
                <w:numId w:val="1"/>
              </w:num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</w:tcPr>
          <w:p w:rsidR="00487AC1" w:rsidRPr="00497391" w:rsidP="00786FED">
            <w:pPr>
              <w:pStyle w:val="ListParagraph"/>
              <w:numPr>
                <w:numId w:val="3"/>
              </w:numPr>
              <w:bidi w:val="0"/>
              <w:ind w:left="382" w:hanging="382"/>
              <w:rPr>
                <w:rFonts w:ascii="Times New Roman" w:hAnsi="Times New Roman"/>
                <w:sz w:val="22"/>
                <w:szCs w:val="22"/>
              </w:rPr>
            </w:pPr>
            <w:r w:rsidRPr="00786FED">
              <w:rPr>
                <w:rFonts w:ascii="Times New Roman" w:hAnsi="Times New Roman"/>
                <w:sz w:val="22"/>
                <w:szCs w:val="22"/>
              </w:rPr>
              <w:t xml:space="preserve">Vypočítajte si predbežnú výšku dôchodku z II. piliera s využitím rôznych dôchodkových kalkulačiek.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7AC1" w:rsidRPr="00F83E5F" w:rsidP="00786FED">
            <w:pPr>
              <w:bidi w:val="0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 id="Obrázek 15" o:spid="_x0000_s1030" type="#_x0000_t75" style="width:20.25pt;height:20.25pt;margin-top:3.55pt;margin-left:17.85pt;position:absolute;visibility:visible;z-index:251663360" filled="f" stroked="f">
                  <v:imagedata r:id="rId7" o:title=""/>
                  <o:lock v:ext="edit" aspectratio="t"/>
                </v:shape>
              </w:pict>
            </w:r>
          </w:p>
        </w:tc>
      </w:tr>
      <w:tr>
        <w:tblPrEx>
          <w:tblW w:w="10854" w:type="dxa"/>
          <w:tblLook w:val="04A0"/>
        </w:tblPrEx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extDirection w:val="lrTb"/>
            <w:vAlign w:val="top"/>
          </w:tcPr>
          <w:p w:rsidR="00487AC1" w:rsidRPr="00F83E5F" w:rsidP="00786FED">
            <w:pPr>
              <w:pStyle w:val="ListParagraph"/>
              <w:numPr>
                <w:numId w:val="1"/>
              </w:num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</w:tcPr>
          <w:p w:rsidR="00487AC1" w:rsidRPr="00497391" w:rsidP="00786FED">
            <w:pPr>
              <w:pStyle w:val="ListParagraph"/>
              <w:numPr>
                <w:numId w:val="3"/>
              </w:numPr>
              <w:bidi w:val="0"/>
              <w:ind w:left="382" w:hanging="382"/>
              <w:rPr>
                <w:rFonts w:ascii="Times New Roman" w:hAnsi="Times New Roman"/>
                <w:sz w:val="22"/>
                <w:szCs w:val="22"/>
              </w:rPr>
            </w:pPr>
            <w:r w:rsidRPr="00497391">
              <w:rPr>
                <w:rFonts w:ascii="Times New Roman" w:hAnsi="Times New Roman"/>
                <w:sz w:val="22"/>
                <w:szCs w:val="22"/>
              </w:rPr>
              <w:t>V prípade, že máte ťažkosti s pochopením finančných produktov, požiadajte o pomoc svojich blízkych. Konzultujte s nimi výhody a nevýhody produktov vzhľadom na Vaše potreby.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7AC1" w:rsidRPr="00F83E5F" w:rsidP="00786FED">
            <w:pPr>
              <w:bidi w:val="0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 id="Obrázek 16" o:spid="_x0000_s1031" type="#_x0000_t75" style="width:20.25pt;height:20.25pt;margin-top:2.85pt;margin-left:17.85pt;position:absolute;visibility:visible;z-index:251664384" filled="f" stroked="f">
                  <v:imagedata r:id="rId7" o:title=""/>
                  <o:lock v:ext="edit" aspectratio="t"/>
                </v:shape>
              </w:pict>
            </w:r>
          </w:p>
        </w:tc>
      </w:tr>
      <w:tr>
        <w:tblPrEx>
          <w:tblW w:w="10854" w:type="dxa"/>
          <w:tblLook w:val="04A0"/>
        </w:tblPrEx>
        <w:trPr>
          <w:gridBefore w:val="1"/>
          <w:wBefore w:w="309" w:type="dxa"/>
        </w:trPr>
        <w:tc>
          <w:tcPr>
            <w:tcW w:w="10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5348"/>
            <w:textDirection w:val="lrTb"/>
            <w:vAlign w:val="top"/>
          </w:tcPr>
          <w:p w:rsidR="00487AC1" w:rsidRPr="00497391" w:rsidP="00786FED">
            <w:pPr>
              <w:bidi w:val="0"/>
              <w:spacing w:before="120" w:after="120"/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</w:pPr>
            <w:r w:rsidRPr="00497391"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Ako požiadam o dôchodok z II. piliera?</w:t>
            </w:r>
          </w:p>
        </w:tc>
      </w:tr>
      <w:tr>
        <w:tblPrEx>
          <w:tblW w:w="10854" w:type="dxa"/>
          <w:tblLook w:val="04A0"/>
        </w:tblPrEx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textDirection w:val="btLr"/>
            <w:vAlign w:val="top"/>
          </w:tcPr>
          <w:p w:rsidR="00487AC1" w:rsidRPr="00497391" w:rsidP="00786FED">
            <w:pPr>
              <w:bidi w:val="0"/>
              <w:ind w:left="113" w:right="113"/>
              <w:jc w:val="center"/>
              <w:rPr>
                <w:rFonts w:ascii="Times New Roman" w:hAnsi="Times New Roman"/>
                <w:color w:val="FFFFFF" w:themeColor="bg1" w:themeShade="FF"/>
                <w:sz w:val="22"/>
                <w:szCs w:val="22"/>
              </w:rPr>
            </w:pPr>
            <w:r w:rsidRPr="00497391">
              <w:rPr>
                <w:rFonts w:ascii="Times New Roman" w:hAnsi="Times New Roman"/>
                <w:color w:val="FFFFFF" w:themeColor="bg1" w:themeShade="FF"/>
                <w:sz w:val="32"/>
                <w:szCs w:val="22"/>
              </w:rPr>
              <w:t>Postup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</w:tcPr>
          <w:p w:rsidR="00487AC1" w:rsidRPr="00F83E5F" w:rsidP="00786FED">
            <w:pPr>
              <w:pStyle w:val="ListParagraph"/>
              <w:numPr>
                <w:numId w:val="4"/>
              </w:numPr>
              <w:bidi w:val="0"/>
              <w:ind w:left="382" w:hanging="382"/>
              <w:rPr>
                <w:rFonts w:ascii="Times New Roman" w:hAnsi="Times New Roman"/>
                <w:sz w:val="22"/>
                <w:szCs w:val="22"/>
              </w:rPr>
            </w:pPr>
            <w:r w:rsidRPr="00F83E5F">
              <w:rPr>
                <w:rFonts w:ascii="Times New Roman" w:hAnsi="Times New Roman"/>
                <w:sz w:val="22"/>
                <w:szCs w:val="22"/>
              </w:rPr>
              <w:t>O dôchodok z II. piliera môžete požiadať v Sociálnej poisťovni alebo vo Vašej dôchodkovej správcovskej spoločnosti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7AC1" w:rsidRPr="00F83E5F" w:rsidP="00786FED">
            <w:pPr>
              <w:bidi w:val="0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 id="Obrázek 17" o:spid="_x0000_s1032" type="#_x0000_t75" style="width:20.25pt;height:20.25pt;margin-top:1.8pt;margin-left:17.85pt;position:absolute;visibility:visible;z-index:251665408" filled="f" stroked="f">
                  <v:imagedata r:id="rId7" o:title=""/>
                  <o:lock v:ext="edit" aspectratio="t"/>
                </v:shape>
              </w:pict>
            </w:r>
          </w:p>
        </w:tc>
      </w:tr>
      <w:tr>
        <w:tblPrEx>
          <w:tblW w:w="10854" w:type="dxa"/>
          <w:tblLook w:val="04A0"/>
        </w:tblPrEx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lrTb"/>
            <w:vAlign w:val="top"/>
          </w:tcPr>
          <w:p w:rsidR="00487AC1" w:rsidRPr="00F83E5F" w:rsidP="00786FED">
            <w:pPr>
              <w:pStyle w:val="ListParagraph"/>
              <w:numPr>
                <w:ilvl w:val="1"/>
                <w:numId w:val="1"/>
              </w:num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</w:tcPr>
          <w:p w:rsidR="00487AC1" w:rsidRPr="00F83E5F" w:rsidP="00786FED">
            <w:pPr>
              <w:pStyle w:val="ListParagraph"/>
              <w:numPr>
                <w:numId w:val="4"/>
              </w:numPr>
              <w:bidi w:val="0"/>
              <w:ind w:left="382" w:hanging="38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Dôchodková správcovská spoločnosť zafixuje Vašu sumu na osobnom dôchodkovom účte. Na základe tejto sumy a Vášho veku bude pre Vás vypracovaný ponukový list s konkrétnymi sumami dôchodkov.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7AC1" w:rsidRPr="00F83E5F" w:rsidP="00786FED">
            <w:pPr>
              <w:bidi w:val="0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 id="Obrázek 18" o:spid="_x0000_s1033" type="#_x0000_t75" style="width:20.25pt;height:20.25pt;margin-top:2.95pt;margin-left:18.8pt;position:absolute;visibility:visible;z-index:251666432" filled="f" stroked="f">
                  <v:imagedata r:id="rId7" o:title=""/>
                  <o:lock v:ext="edit" aspectratio="t"/>
                </v:shape>
              </w:pict>
            </w:r>
          </w:p>
        </w:tc>
      </w:tr>
      <w:tr>
        <w:tblPrEx>
          <w:tblW w:w="10854" w:type="dxa"/>
          <w:tblLook w:val="04A0"/>
        </w:tblPrEx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lrTb"/>
            <w:vAlign w:val="top"/>
          </w:tcPr>
          <w:p w:rsidR="00487AC1" w:rsidRPr="00F83E5F" w:rsidP="00786FED">
            <w:pPr>
              <w:pStyle w:val="ListParagraph"/>
              <w:numPr>
                <w:ilvl w:val="1"/>
                <w:numId w:val="1"/>
              </w:num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</w:tcPr>
          <w:p w:rsidR="00487AC1" w:rsidP="00786FED">
            <w:pPr>
              <w:pStyle w:val="ListParagraph"/>
              <w:numPr>
                <w:numId w:val="4"/>
              </w:numPr>
              <w:bidi w:val="0"/>
              <w:ind w:left="382" w:hanging="382"/>
              <w:rPr>
                <w:rFonts w:ascii="Times New Roman" w:hAnsi="Times New Roman"/>
                <w:sz w:val="22"/>
                <w:szCs w:val="22"/>
              </w:rPr>
            </w:pPr>
            <w:r w:rsidRPr="00F83E5F">
              <w:rPr>
                <w:rFonts w:ascii="Times New Roman" w:hAnsi="Times New Roman"/>
                <w:sz w:val="22"/>
                <w:szCs w:val="22"/>
              </w:rPr>
              <w:t xml:space="preserve">Poštou </w:t>
            </w:r>
            <w:r w:rsidRPr="00F83E5F">
              <w:rPr>
                <w:rFonts w:ascii="Times New Roman" w:hAnsi="Times New Roman"/>
                <w:i/>
                <w:sz w:val="22"/>
                <w:szCs w:val="22"/>
              </w:rPr>
              <w:t>(a/alebo elektronicky)</w:t>
            </w:r>
            <w:r w:rsidRPr="00F83E5F">
              <w:rPr>
                <w:rFonts w:ascii="Times New Roman" w:hAnsi="Times New Roman"/>
                <w:sz w:val="22"/>
                <w:szCs w:val="22"/>
              </w:rPr>
              <w:t xml:space="preserve"> Vám Sociálna poisťovňa zašle </w:t>
            </w:r>
            <w:r>
              <w:rPr>
                <w:rFonts w:ascii="Times New Roman" w:hAnsi="Times New Roman"/>
                <w:sz w:val="22"/>
                <w:szCs w:val="22"/>
              </w:rPr>
              <w:t>ponukový list s ponukami dôchodkov. Platnosť ponúk je 30 dní a bude vyznačená na ponukovom liste. Budete mať teda</w:t>
            </w:r>
            <w:r w:rsidRPr="00F83E5F">
              <w:rPr>
                <w:rFonts w:ascii="Times New Roman" w:hAnsi="Times New Roman"/>
                <w:sz w:val="22"/>
                <w:szCs w:val="22"/>
              </w:rPr>
              <w:t xml:space="preserve"> dostatok času preštudovať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si ponuky</w:t>
            </w:r>
            <w:r w:rsidRPr="00F83E5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7AC1" w:rsidRPr="00F83E5F" w:rsidP="00786FED">
            <w:pPr>
              <w:bidi w:val="0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 id="Obrázek 19" o:spid="_x0000_s1034" type="#_x0000_t75" style="width:20.25pt;height:20.25pt;margin-top:2.25pt;margin-left:17.85pt;position:absolute;visibility:visible;z-index:251667456" filled="f" stroked="f">
                  <v:imagedata r:id="rId7" o:title=""/>
                  <o:lock v:ext="edit" aspectratio="t"/>
                </v:shape>
              </w:pict>
            </w:r>
          </w:p>
        </w:tc>
      </w:tr>
      <w:tr>
        <w:tblPrEx>
          <w:tblW w:w="10854" w:type="dxa"/>
          <w:tblLook w:val="04A0"/>
        </w:tblPrEx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lrTb"/>
            <w:vAlign w:val="top"/>
          </w:tcPr>
          <w:p w:rsidR="00487AC1" w:rsidRPr="00F83E5F" w:rsidP="00786FED">
            <w:pPr>
              <w:pStyle w:val="ListParagraph"/>
              <w:numPr>
                <w:ilvl w:val="1"/>
                <w:numId w:val="1"/>
              </w:num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</w:tcPr>
          <w:p w:rsidR="00487AC1" w:rsidRPr="00F83E5F" w:rsidP="00786FED">
            <w:pPr>
              <w:pStyle w:val="ListParagraph"/>
              <w:numPr>
                <w:numId w:val="4"/>
              </w:numPr>
              <w:bidi w:val="0"/>
              <w:ind w:left="382" w:hanging="382"/>
              <w:rPr>
                <w:rFonts w:ascii="Times New Roman" w:hAnsi="Times New Roman"/>
                <w:sz w:val="22"/>
                <w:szCs w:val="22"/>
              </w:rPr>
            </w:pPr>
            <w:r w:rsidRPr="00F83E5F">
              <w:rPr>
                <w:rFonts w:ascii="Times New Roman" w:hAnsi="Times New Roman"/>
                <w:sz w:val="22"/>
                <w:szCs w:val="22"/>
              </w:rPr>
              <w:t xml:space="preserve">Ak si vyberiete jednu z ponúk, kontaktujte príslušnú poisťovňu (a/alebo DSS) pre účely uzavretia zmluvy.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7AC1" w:rsidRPr="00F83E5F" w:rsidP="00786FED">
            <w:pPr>
              <w:bidi w:val="0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 id="Obrázek 20" o:spid="_x0000_s1035" type="#_x0000_t75" style="width:20.25pt;height:20.25pt;margin-top:1.5pt;margin-left:18.8pt;position:absolute;visibility:visible;z-index:251668480" filled="f" stroked="f">
                  <v:imagedata r:id="rId7" o:title=""/>
                  <o:lock v:ext="edit" aspectratio="t"/>
                </v:shape>
              </w:pict>
            </w:r>
          </w:p>
        </w:tc>
      </w:tr>
    </w:tbl>
    <w:p w:rsidR="00487AC1" w:rsidP="00487AC1">
      <w:pPr>
        <w:bidi w:val="0"/>
        <w:spacing w:after="120"/>
        <w:ind w:left="567" w:firstLine="567"/>
        <w:rPr>
          <w:rFonts w:ascii="Times New Roman" w:hAnsi="Times New Roman"/>
        </w:rPr>
        <w:sectPr w:rsidSect="004D2BD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487AC1" w:rsidRPr="00A164CC" w:rsidP="00487AC1">
      <w:pPr>
        <w:bidi w:val="0"/>
        <w:spacing w:after="120"/>
        <w:ind w:left="567" w:firstLine="567"/>
        <w:rPr>
          <w:rFonts w:ascii="Times New Roman" w:hAnsi="Times New Roman"/>
        </w:rPr>
      </w:pPr>
    </w:p>
    <w:p w:rsidR="00487AC1" w:rsidRPr="00210487" w:rsidP="00487AC1">
      <w:pPr>
        <w:bidi w:val="0"/>
        <w:jc w:val="center"/>
        <w:rPr>
          <w:rFonts w:ascii="Times New Roman" w:hAnsi="Times New Roman"/>
          <w:b/>
        </w:rPr>
      </w:pPr>
      <w:r w:rsidRPr="00210487">
        <w:rPr>
          <w:rFonts w:ascii="Times New Roman" w:hAnsi="Times New Roman"/>
          <w:b/>
        </w:rPr>
        <w:t>Prosíme Vás, prečítajte si tento list! V najbližších rokoch Vás pri odchode do dôchodku čaká dôležité rozhodnutie!</w:t>
      </w:r>
      <w:r>
        <w:rPr>
          <w:rFonts w:ascii="Times New Roman" w:hAnsi="Times New Roman"/>
          <w:b/>
        </w:rPr>
        <w:t xml:space="preserve"> Tento list o</w:t>
      </w:r>
      <w:r w:rsidRPr="00210487">
        <w:rPr>
          <w:rFonts w:ascii="Times New Roman" w:hAnsi="Times New Roman"/>
          <w:b/>
        </w:rPr>
        <w:t xml:space="preserve">bsahuje dôležité informácie o tom, </w:t>
      </w:r>
      <w:r>
        <w:rPr>
          <w:rFonts w:ascii="Times New Roman" w:hAnsi="Times New Roman"/>
          <w:b/>
        </w:rPr>
        <w:t xml:space="preserve">ako budete môcť požiadať o dôchodok a </w:t>
      </w:r>
      <w:r w:rsidRPr="00210487">
        <w:rPr>
          <w:rFonts w:ascii="Times New Roman" w:hAnsi="Times New Roman"/>
          <w:b/>
        </w:rPr>
        <w:t xml:space="preserve">z akých dôchodkových produktov si budete môcť vybrať v starobnom dôchodkovom sporení. </w:t>
      </w:r>
    </w:p>
    <w:p w:rsidR="00487AC1" w:rsidRPr="00210487" w:rsidP="00487AC1">
      <w:pPr>
        <w:bidi w:val="0"/>
        <w:jc w:val="center"/>
        <w:rPr>
          <w:rFonts w:ascii="Times New Roman" w:hAnsi="Times New Roman"/>
          <w:b/>
        </w:rPr>
      </w:pPr>
    </w:p>
    <w:p w:rsidR="00487AC1" w:rsidRPr="00210487" w:rsidP="00487AC1">
      <w:pPr>
        <w:bidi w:val="0"/>
        <w:jc w:val="both"/>
        <w:rPr>
          <w:rFonts w:ascii="Times New Roman" w:hAnsi="Times New Roman"/>
        </w:rPr>
      </w:pPr>
      <w:r w:rsidRPr="00210487">
        <w:rPr>
          <w:rFonts w:ascii="Times New Roman" w:hAnsi="Times New Roman"/>
        </w:rPr>
        <w:t xml:space="preserve">Dovŕšením dôchodkového veku budete mať nárok na </w:t>
      </w:r>
      <w:r>
        <w:rPr>
          <w:rFonts w:ascii="Times New Roman" w:hAnsi="Times New Roman"/>
        </w:rPr>
        <w:t xml:space="preserve">starobný </w:t>
      </w:r>
      <w:r w:rsidRPr="00210487">
        <w:rPr>
          <w:rFonts w:ascii="Times New Roman" w:hAnsi="Times New Roman"/>
        </w:rPr>
        <w:t xml:space="preserve">dôchodok zo starobného dôchodkového sporenia (II. pilier). O tento dôchodok je možné požiadať v ktorejkoľvek pobočke Sociálnej poisťovne alebo dôchodkovej správcovskej spoločnosti. Na výber budete mať doživotný dôchodok a dočasný dôchodok, ktoré sú vyplácané životnými poisťovňami a programový výber, vyplácaný dôchodkovými správcovskými spoločnosťami. Viac </w:t>
      </w:r>
      <w:r>
        <w:rPr>
          <w:rFonts w:ascii="Times New Roman" w:hAnsi="Times New Roman"/>
        </w:rPr>
        <w:t xml:space="preserve">o </w:t>
      </w:r>
      <w:r w:rsidRPr="00210487">
        <w:rPr>
          <w:rFonts w:ascii="Times New Roman" w:hAnsi="Times New Roman"/>
        </w:rPr>
        <w:t>týchto formách výplaty dôchodku sa dočítate nižšie.</w:t>
      </w:r>
    </w:p>
    <w:p w:rsidR="00487AC1" w:rsidRPr="00210487" w:rsidP="00487AC1">
      <w:pPr>
        <w:bidi w:val="0"/>
        <w:jc w:val="both"/>
        <w:rPr>
          <w:rFonts w:ascii="Times New Roman" w:hAnsi="Times New Roman"/>
        </w:rPr>
      </w:pPr>
    </w:p>
    <w:p w:rsidR="00487AC1" w:rsidP="00487AC1">
      <w:pPr>
        <w:bidi w:val="0"/>
        <w:jc w:val="both"/>
        <w:rPr>
          <w:rFonts w:ascii="Times New Roman" w:hAnsi="Times New Roman"/>
        </w:rPr>
      </w:pPr>
    </w:p>
    <w:tbl>
      <w:tblPr>
        <w:tblStyle w:val="TableGrid"/>
        <w:tblpPr w:leftFromText="141" w:rightFromText="141" w:vertAnchor="text" w:horzAnchor="margin" w:tblpXSpec="center" w:tblpY="25"/>
        <w:tblW w:w="10598" w:type="dxa"/>
        <w:tblLook w:val="04A0"/>
      </w:tblPr>
      <w:tblGrid>
        <w:gridCol w:w="10598"/>
      </w:tblGrid>
      <w:tr>
        <w:tblPrEx>
          <w:tblW w:w="10598" w:type="dxa"/>
          <w:tblLook w:val="04A0"/>
        </w:tblPrEx>
        <w:trPr>
          <w:trHeight w:val="562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5348"/>
            <w:textDirection w:val="lrTb"/>
            <w:vAlign w:val="center"/>
          </w:tcPr>
          <w:p w:rsidR="00487AC1" w:rsidRPr="00786FED" w:rsidP="00786FED">
            <w:pPr>
              <w:bidi w:val="0"/>
              <w:spacing w:before="120" w:after="120" w:line="276" w:lineRule="auto"/>
              <w:rPr>
                <w:rFonts w:ascii="Times New Roman" w:hAnsi="Times New Roman"/>
                <w:b/>
                <w:color w:val="FFFFFF" w:themeColor="bg1" w:themeShade="FF"/>
                <w:sz w:val="36"/>
                <w:szCs w:val="36"/>
              </w:rPr>
            </w:pPr>
            <w:r w:rsidRPr="00786FED"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Kto Vám môže vyplácať dôchodok z II. piliera?</w:t>
            </w:r>
          </w:p>
        </w:tc>
      </w:tr>
    </w:tbl>
    <w:p w:rsidR="00487AC1" w:rsidP="00487AC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87AC1" w:rsidP="00487AC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Doživotný dôchodok alebo dočasný dôchodok vyplácajú životné poistenie, ktoré majú povolenie vykonávať túto činnosť vydané Národnou bankou Slovenska. Programový výber vyplácajú dôchodkové správcovské spoločnosti. Sporiteľ si nemusí zakúpiť dôchodok u partnerskej životnej poisťovne svojej dôchodkovej správcovskej spoločnosti. </w:t>
      </w:r>
    </w:p>
    <w:p w:rsidR="00487AC1" w:rsidRPr="00210487" w:rsidP="00487AC1">
      <w:pPr>
        <w:bidi w:val="0"/>
        <w:jc w:val="both"/>
        <w:rPr>
          <w:rFonts w:ascii="Times New Roman" w:hAnsi="Times New Roman"/>
        </w:rPr>
      </w:pPr>
    </w:p>
    <w:p w:rsidR="00487AC1" w:rsidP="00487AC1">
      <w:pPr>
        <w:bidi w:val="0"/>
        <w:jc w:val="center"/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horzAnchor="margin" w:tblpXSpec="center" w:tblpY="25"/>
        <w:tblW w:w="10598" w:type="dxa"/>
        <w:tblLook w:val="04A0"/>
      </w:tblPr>
      <w:tblGrid>
        <w:gridCol w:w="10598"/>
      </w:tblGrid>
      <w:tr>
        <w:tblPrEx>
          <w:tblW w:w="10598" w:type="dxa"/>
          <w:tblLook w:val="04A0"/>
        </w:tblPrEx>
        <w:trPr>
          <w:trHeight w:val="66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5348"/>
            <w:textDirection w:val="lrTb"/>
            <w:vAlign w:val="center"/>
          </w:tcPr>
          <w:p w:rsidR="00487AC1" w:rsidRPr="009F33AE" w:rsidP="00786FED">
            <w:pPr>
              <w:bidi w:val="0"/>
              <w:spacing w:before="120" w:after="120"/>
              <w:rPr>
                <w:rFonts w:ascii="Times New Roman" w:hAnsi="Times New Roman"/>
                <w:b/>
                <w:color w:val="FFFFFF" w:themeColor="bg1" w:themeShade="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Čo ak Vám žiadna poisťovňa neponúkne doživotný dôchodok?</w:t>
            </w:r>
          </w:p>
        </w:tc>
      </w:tr>
    </w:tbl>
    <w:p w:rsidR="00487AC1" w:rsidP="00487AC1">
      <w:pPr>
        <w:bidi w:val="0"/>
        <w:jc w:val="center"/>
        <w:rPr>
          <w:rFonts w:ascii="Times New Roman" w:hAnsi="Times New Roman"/>
          <w:b/>
        </w:rPr>
      </w:pPr>
    </w:p>
    <w:p w:rsidR="00487AC1" w:rsidRPr="00210487" w:rsidP="00487AC1">
      <w:pPr>
        <w:bidi w:val="0"/>
        <w:jc w:val="both"/>
        <w:rPr>
          <w:rFonts w:ascii="Times New Roman" w:hAnsi="Times New Roman"/>
        </w:rPr>
      </w:pPr>
      <w:r w:rsidRPr="00210487">
        <w:rPr>
          <w:rFonts w:ascii="Times New Roman" w:hAnsi="Times New Roman"/>
        </w:rPr>
        <w:t xml:space="preserve">Ak Vám žiadna zo životných poisťovní neponúkne doživotný dôchodok, znamená to, že Vaša nasporená suma nepostačuje na nákup takéhoto dôchodku. V tomto prípade budete mať nárok na špecifický programový výber alebo dočasný dôchodok určený pre sporiteľov, ktorý majú nasporenú nízku sumu. </w:t>
      </w:r>
      <w:r>
        <w:rPr>
          <w:rFonts w:ascii="Times New Roman" w:hAnsi="Times New Roman"/>
        </w:rPr>
        <w:t>Výška aj obdobie výplaty takéhoto dôchodku sa určí pomocou centrálneho informačného ponukového systému na základe najnižších ponúk doživotných dôchodkov vyplácaných poisťovňami zapojenými do výplaty dôchodkov z II. piliera.</w:t>
      </w:r>
    </w:p>
    <w:p w:rsidR="00487AC1" w:rsidP="00487AC1">
      <w:pPr>
        <w:bidi w:val="0"/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horzAnchor="margin" w:tblpXSpec="center" w:tblpY="25"/>
        <w:tblW w:w="10598" w:type="dxa"/>
        <w:tblLook w:val="04A0"/>
      </w:tblPr>
      <w:tblGrid>
        <w:gridCol w:w="10598"/>
      </w:tblGrid>
      <w:tr>
        <w:tblPrEx>
          <w:tblW w:w="10598" w:type="dxa"/>
          <w:tblLook w:val="04A0"/>
        </w:tblPrEx>
        <w:trPr>
          <w:trHeight w:val="66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5348"/>
            <w:textDirection w:val="lrTb"/>
            <w:vAlign w:val="center"/>
          </w:tcPr>
          <w:p w:rsidR="00487AC1" w:rsidRPr="009F33AE" w:rsidP="00786FED">
            <w:pPr>
              <w:bidi w:val="0"/>
              <w:spacing w:before="120" w:after="120"/>
              <w:rPr>
                <w:rFonts w:ascii="Times New Roman" w:hAnsi="Times New Roman"/>
                <w:b/>
                <w:color w:val="FFFFFF" w:themeColor="bg1" w:themeShade="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Z akých dôchodkových produktov a dávok si budete môcť vybrať?</w:t>
            </w:r>
          </w:p>
        </w:tc>
      </w:tr>
    </w:tbl>
    <w:p w:rsidR="00487AC1" w:rsidP="00487AC1">
      <w:pPr>
        <w:bidi w:val="0"/>
        <w:jc w:val="center"/>
        <w:rPr>
          <w:rFonts w:ascii="Times New Roman" w:hAnsi="Times New Roman"/>
          <w:b/>
        </w:rPr>
      </w:pPr>
    </w:p>
    <w:p w:rsidR="00487AC1" w:rsidRPr="009F33AE" w:rsidP="00487AC1">
      <w:pPr>
        <w:bidi w:val="0"/>
        <w:jc w:val="both"/>
        <w:rPr>
          <w:rStyle w:val="Strong"/>
          <w:rFonts w:ascii="Times New Roman" w:hAnsi="Times New Roman"/>
        </w:rPr>
      </w:pPr>
      <w:r w:rsidRPr="009F33AE">
        <w:rPr>
          <w:rStyle w:val="Strong"/>
          <w:rFonts w:ascii="Times New Roman" w:hAnsi="Times New Roman"/>
        </w:rPr>
        <w:t>Doživotný dôchodok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</w:rPr>
      </w:pPr>
      <w:r w:rsidRPr="00487AC1">
        <w:rPr>
          <w:rStyle w:val="Strong"/>
          <w:rFonts w:ascii="Times New Roman" w:hAnsi="Times New Roman"/>
          <w:b w:val="0"/>
        </w:rPr>
        <w:t xml:space="preserve">Doživotný dôchodok je poistný produkt, v ktorom sa poisťovňa zaväzuje vyplácať Vám dôchodok v konštantnej výške počas celého Vášho života. Doživotný dôchodok si zakúpite od poisťovne za sumu nasporenú v dôchodkovej správcovskej spoločnosti. Pri stanovení výšky sumy Vášho dôchodku nemôže okrem Vášho veku a výšky Vašej nasporenej sumy na osobnom dôchodkovom účte poisťovňa použiť žiadne ďalšie individuálne faktory (ako napr. Váš zdravotný stav). Doživotný dôchodok sa Vám bude vyplácať na základe zmluvy o poistení dôchodku uzatvorenej medzi Vami a Vami zvolenou poisťovňou, na základe ponuky, ktorú si vyberiete z ponukového listu. Uzatvorením zmluvy o poistení dôchodku si od poisťovne kupujete prísľub, že Vám bude vyplácať dôchodok v dohodnutej výške počas celej Vašej staroby – bez ohľadu na to ako dlho budete žiť. V prípade Vašej smrti sa dôchodok prestane vyplácať a Vaši pozostalí nemajú nárok na žiadne dodatočné plnenia. 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487AC1">
        <w:rPr>
          <w:rStyle w:val="Strong"/>
          <w:rFonts w:ascii="Times New Roman" w:hAnsi="Times New Roman"/>
          <w:b w:val="0"/>
          <w:i/>
        </w:rPr>
        <w:t xml:space="preserve">Príklad: Pán XY sa rozhodol požiadať o dôchodok z II. piliera. Na svojom osobnom dôchodkovom účte v dôchodkovej správcovskej spoločnosti má nasporenú sumu vo výške 10 000 €. Sociálna poisťovňa mu zašle ponukový list s ponukami od poisťovní, na základe ktorého sa rozhodne pre nákup doživotného dôchodku od poisťovne ABC. S poisťovňou ABC uzavrie zmluvu o poistení dôchodku a zaplatí jednorazové poistné vo výške 10 000€ (hodnota úspor na osobnom dôchodkovom účte vedenom v dôchodkovej správcovskej spoločnosti). Za túto sumu sa poisťovňa ABC zaviaže doživotne vyplácať dôchodok v konštantnej výške 50 € mesačne, bez ohľadu na to, ako dlho bude pán XY žiť. 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487AC1">
        <w:rPr>
          <w:rStyle w:val="Strong"/>
          <w:rFonts w:ascii="Times New Roman" w:hAnsi="Times New Roman"/>
          <w:b w:val="0"/>
          <w:i/>
        </w:rPr>
        <w:t>Uvedený príklad je ilustračný, výška Vášho dôchodku bude závisieť aj od Vášho veku pri požiadaní o dôchodok z II. piliera a od ponuky konkrétnej poisťovne.</w:t>
      </w:r>
    </w:p>
    <w:p w:rsidR="00487AC1" w:rsidRPr="00250805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487AC1" w:rsidRPr="00250805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487AC1" w:rsidRPr="009F33AE" w:rsidP="00487AC1">
      <w:pPr>
        <w:bidi w:val="0"/>
        <w:jc w:val="both"/>
        <w:rPr>
          <w:rStyle w:val="Strong"/>
          <w:rFonts w:ascii="Times New Roman" w:hAnsi="Times New Roman"/>
        </w:rPr>
      </w:pPr>
      <w:r w:rsidRPr="009F33AE">
        <w:rPr>
          <w:rStyle w:val="Strong"/>
          <w:rFonts w:ascii="Times New Roman" w:hAnsi="Times New Roman"/>
        </w:rPr>
        <w:t>Doživotný dôchodok</w:t>
      </w:r>
      <w:r>
        <w:rPr>
          <w:rStyle w:val="Strong"/>
          <w:rFonts w:ascii="Times New Roman" w:hAnsi="Times New Roman"/>
        </w:rPr>
        <w:t xml:space="preserve"> so zvyšovaním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</w:rPr>
      </w:pPr>
      <w:r w:rsidRPr="00487AC1">
        <w:rPr>
          <w:rStyle w:val="Strong"/>
          <w:rFonts w:ascii="Times New Roman" w:hAnsi="Times New Roman"/>
          <w:b w:val="0"/>
        </w:rPr>
        <w:t>Doživotný dôchodok so zvyšovaním je rovnako ako doživotný dôchodok poistným produktom a platí preň vo všeobecnosti to isté, čo v prípade doživotného dôchodku uvedeného vyššie. Na rozdiel od doživotný dôchodku, ktorého suma je počas celej doby výplaty konštantná, Vám v prípade doživotného dôchodku so zvyšovaním bude suma vyplácaného dôchodku každoročne rásť o pevné percento, ktoré Vám bude garantované v zmluve. V prípade voľby doživotného dôchodku so zvyšovaním bude suma Vášho dôchodku v porovnaní s doživotným dôchodkom v počiatočných rokoch nižšia. Dohodnuté zvyšovanie dôchodku Vám má pomôcť chrániť sa pred stratou kúpyschopnosti z dôvodu inflácie. V závislosti od dĺžky poberania dôchodku a od vývoja inflácie môže Vaša kúpyschopnosť v prípade konštantného dôchodku poklesnúť aj o niekoľko desiatok percent!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487AC1">
        <w:rPr>
          <w:rStyle w:val="Strong"/>
          <w:rFonts w:ascii="Times New Roman" w:hAnsi="Times New Roman"/>
          <w:b w:val="0"/>
          <w:i/>
        </w:rPr>
        <w:t xml:space="preserve">Príklad: Pán XY sa rozhodol požiadať o dôchodok z II. piliera. Na svojom osobnom dôchodkovom účte v dôchodkovej správcovskej spoločnosti má nasporenú sumu vo výške 10 000 €. Sociálna poisťovňa mu zašle ponukový list s ponukami od poisťovní, na základe ktorého sa rozhodne pre nákup doživotného dôchodku so zvyšovaním od poisťovne ABC. S poisťovňou ABC uzavrie zmluvu o poistení dôchodku a zaplatí jednorazové poistné vo výške 10 000 € (hodnota úspor na osobnom dôchodkovom účte vedenom v dôchodkovej správcovskej spoločnosti). Za túto sumu sa poisťovňa ABC zaviaže pánovi XY doživotne vyplácať dôchodok. Mesačná suma dôchodku bude v prvom roku stanovená vo výške 41,02 €  pričom bude každoročne rásť o 2 %. Výška Vášho dôchodku v druhom roku bude 41,84 €, v treťom roku 42,67 €, ... ,v pätnástom roku 54,12 €, ... , v dvadsiatom roku 59,75 €, atď. až pokým bude žiť.  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487AC1">
        <w:rPr>
          <w:rStyle w:val="Strong"/>
          <w:rFonts w:ascii="Times New Roman" w:hAnsi="Times New Roman"/>
          <w:b w:val="0"/>
          <w:i/>
        </w:rPr>
        <w:t>Uvedený príklad je ilustračný, výška Vášho dôchodku bude závisieť aj od Vášho veku pri požiadaní o dôchodok z II. piliera a od ponuky konkrétnej poisťovne.</w:t>
      </w:r>
    </w:p>
    <w:p w:rsid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487AC1" w:rsidRPr="00250805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487AC1" w:rsidRPr="009F33AE" w:rsidP="00487AC1">
      <w:pPr>
        <w:bidi w:val="0"/>
        <w:jc w:val="both"/>
        <w:rPr>
          <w:rStyle w:val="Strong"/>
          <w:rFonts w:ascii="Times New Roman" w:hAnsi="Times New Roman"/>
        </w:rPr>
      </w:pPr>
      <w:r w:rsidRPr="009F33AE">
        <w:rPr>
          <w:rStyle w:val="Strong"/>
          <w:rFonts w:ascii="Times New Roman" w:hAnsi="Times New Roman"/>
        </w:rPr>
        <w:t>Doživotný dôchodok s pozostalostným krytím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</w:rPr>
      </w:pPr>
      <w:r w:rsidRPr="00487AC1">
        <w:rPr>
          <w:rStyle w:val="Strong"/>
          <w:rFonts w:ascii="Times New Roman" w:hAnsi="Times New Roman"/>
          <w:b w:val="0"/>
        </w:rPr>
        <w:t xml:space="preserve">Doživotný dôchodok s pozostalostným krytím je rovnako ako doživotný dôchodok poistným produktom a platí preň to isté, čo v prípade doživotného dôchodku uvedeného vyššie. Doživotný dôchodok s pozostalostným dôchodkom sa Vám rovnako ako doživotný dôchodok bude počas celej doby výplaty vyplácať v konštantnej výške dohodnutej v zmluve. Na rozdiel od doživotný dôchodku, doživotný dôchodok s pozostalostným krytím je poistný produkt, v ktorom sa poisťovňa zaväzuje vyplácať po Vašej smrti Vašim pozostalým pozostalostné krytie vo výške Vášho dôchodku počas jedného alebo dvoch rokov, v závislosti od toho, čo si s poisťovňou dohodnete vo Vašej zmluve. Oproti doživotnému dôchodku je doživotný dôchodok s pozostalostným krytím drahším produktom, t.j. výška dôchodku bude nižšia, avšak umožňuje zabezpečiť na určitý čas príjem pre Vašich blízkych aj po Vašej smrti. 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487AC1">
        <w:rPr>
          <w:rStyle w:val="Strong"/>
          <w:rFonts w:ascii="Times New Roman" w:hAnsi="Times New Roman"/>
          <w:b w:val="0"/>
          <w:i/>
        </w:rPr>
        <w:t>Príklad: Pán XY sa rozhodol požiadať o dôchodok z II. piliera. Na svojom osobnom dôchodkovom účte v dôchodkovej správcovskej spoločnosti má nasporenú sumu vo výške 10 000 €. Sociálna poisťovňa mu zašle ponukový list s ponukami od poisťovní, na základe ktorého sa rozhodne pre nákup doživotného dôchodku s dvojročným pozostalostným krytím od poisťovne ABC. S poisťovňou ABC uzavrie zmluvu o poistení dôchodku a zaplatí jednorazové poistné vo výške 10 000 € (hodnota úspor na osobnom dôchodkovom účte vedenom v dôchodkovej správcovskej spoločnosti). Za túto sumu sa poisťovňa ABC zaviaže pánovi XY doživotne vyplácať dôchodok v konštantnej výške v sume 45 € mesačne bez ohľadu na to, ako dlho bude pán XY žiť. Zároveň sa poisťovňa ABC zaviaže k tomu, že po dobu 2 rokov bude vyplácať pozostalostný dôchodok pozostalým v rovnakej výške, v akej poberal dôchodok poberateľ v čase jeho smrti.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487AC1">
        <w:rPr>
          <w:rStyle w:val="Strong"/>
          <w:rFonts w:ascii="Times New Roman" w:hAnsi="Times New Roman"/>
          <w:b w:val="0"/>
          <w:i/>
        </w:rPr>
        <w:t xml:space="preserve"> 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487AC1">
        <w:rPr>
          <w:rStyle w:val="Strong"/>
          <w:rFonts w:ascii="Times New Roman" w:hAnsi="Times New Roman"/>
          <w:b w:val="0"/>
          <w:i/>
        </w:rPr>
        <w:t>Uvedený príklad je ilustračný, výška Vášho dôchodku bude závisieť aj od Vášho veku pri požiadaní o dôchodok z II. piliera a od ponuky konkrétnej poisťovne.</w:t>
      </w:r>
    </w:p>
    <w:p w:rsidR="00487AC1" w:rsidP="00487AC1">
      <w:pPr>
        <w:bidi w:val="0"/>
        <w:jc w:val="both"/>
        <w:rPr>
          <w:rStyle w:val="Strong"/>
          <w:rFonts w:ascii="Times New Roman" w:hAnsi="Times New Roman"/>
        </w:rPr>
      </w:pPr>
    </w:p>
    <w:p w:rsidR="00487AC1" w:rsidRPr="00E854BE" w:rsidP="00487AC1">
      <w:pPr>
        <w:bidi w:val="0"/>
        <w:jc w:val="both"/>
        <w:rPr>
          <w:rStyle w:val="Strong"/>
          <w:rFonts w:ascii="Times New Roman" w:hAnsi="Times New Roman"/>
        </w:rPr>
      </w:pPr>
      <w:r w:rsidRPr="00E854BE">
        <w:rPr>
          <w:rStyle w:val="Strong"/>
          <w:rFonts w:ascii="Times New Roman" w:hAnsi="Times New Roman"/>
        </w:rPr>
        <w:t>Doživotný dôchodok so zvyšovaním a s pozostalostným krytím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</w:rPr>
      </w:pPr>
      <w:r w:rsidRPr="00487AC1">
        <w:rPr>
          <w:rStyle w:val="Strong"/>
          <w:rFonts w:ascii="Times New Roman" w:hAnsi="Times New Roman"/>
          <w:b w:val="0"/>
        </w:rPr>
        <w:t xml:space="preserve">Doživotný dôchodok so zvyšovaním a s pozostalostným krytím je kombináciou dvoch vyššie spomenutých poistných produktov. Spája v sebe doživotný dôchodok so zvyšovaním a doživotný dôchodok s pozostalostným krytím. Tento produkt je najdrahším z pomedzi ponúkaných doživotných produktov, avšak pomáha Vám chrániť sa pred stratou kúpyschopnosti z dôvodu inflácie a zároveň kryje aj Vašich pozostalých po Vašej smrti. Pozostalým sa bude vyplácať dôchodok jeden alebo dva roky, podľa toho, čo si dohodnete s poisťovňou vo Vašej zmluve. Pozostalým sa bude vyplácať dôchodok v takej výške, aký dôchodok budete poberať Vy v čase smrti.  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487AC1">
        <w:rPr>
          <w:rStyle w:val="Strong"/>
          <w:rFonts w:ascii="Times New Roman" w:hAnsi="Times New Roman"/>
          <w:b w:val="0"/>
          <w:i/>
        </w:rPr>
        <w:t xml:space="preserve">Príklad: Pán XY sa rozhodol požiadať o dôchodok z II. piliera. Na svojom osobnom dôchodkovom účte v dôchodkovej správcovskej spoločnosti má nasporenú sumu vo výške 10 000 €. Sociálna poisťovňa mu zašle ponukový list s ponukami od poisťovní, na základe ktorého sa rozhodne pre nákup doživotného dôchodku so zvyšovaním a s dvojročným  pozostalostným krytím od poisťovne ABC. S poisťovňou ABC uzavrie zmluvu o poistení dôchodku a zaplatí jednorazové poistné vo výške 10 000 € (hodnota úspor na osobnom dôchodkovom účte vedenom v dôchodkovej správcovskej spoločnosti). Za túto sumu sa poisťovňa ABC zaviaže pánovi XY doživotne vyplácať dôchodok. Mesačná suma dôchodku bude v prvom roku stanovená vo výške 36,92 €  pričom bude každoročne rásť o 2 %. Výška Vášho dôchodku v druhom roku bude 37,66 €, v treťom roku 38,4 €, ... ,v pätnástom roku 48,71 €, ... , v dvadsiatom roku 53,78 €, atď. až pokým bude žiť. V prípade, že zomriete v dvadsiatom roku poberania dôchodku, teda Váš dôchodok v tom čase bude vo výške 53,78 €, Vašim pozostalým bude vyplácaný dôchodok v tejto výške počas dvoch rokov od Vašej smrti.  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487AC1">
        <w:rPr>
          <w:rStyle w:val="Strong"/>
          <w:rFonts w:ascii="Times New Roman" w:hAnsi="Times New Roman"/>
          <w:b w:val="0"/>
          <w:i/>
        </w:rPr>
        <w:t>Uvedený príklad je ilustračný, výška Vášho dôchodku bude závisieť aj od Vášho veku pri požiadaní o dôchodok z II. piliera a od ponuky konkrétnej poisťovne.</w:t>
      </w:r>
    </w:p>
    <w:p w:rsidR="00487AC1" w:rsidP="00487AC1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4D2BD8" w:rsidP="00487AC1">
      <w:pPr>
        <w:bidi w:val="0"/>
        <w:jc w:val="both"/>
        <w:rPr>
          <w:rStyle w:val="Strong"/>
          <w:rFonts w:ascii="Times New Roman" w:hAnsi="Times New Roman"/>
        </w:rPr>
      </w:pPr>
    </w:p>
    <w:p w:rsidR="004D2BD8" w:rsidP="00487AC1">
      <w:pPr>
        <w:bidi w:val="0"/>
        <w:jc w:val="both"/>
        <w:rPr>
          <w:rStyle w:val="Strong"/>
          <w:rFonts w:ascii="Times New Roman" w:hAnsi="Times New Roman"/>
        </w:rPr>
      </w:pP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</w:rPr>
      </w:pPr>
      <w:r w:rsidRPr="00487AC1">
        <w:rPr>
          <w:rStyle w:val="Strong"/>
          <w:rFonts w:ascii="Times New Roman" w:hAnsi="Times New Roman"/>
        </w:rPr>
        <w:t>Dočasný dôchodok</w:t>
      </w:r>
    </w:p>
    <w:p w:rsid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>
        <w:rPr>
          <w:rFonts w:ascii="Times New Roman" w:hAnsi="Times New Roman"/>
        </w:rPr>
        <w:t>D</w:t>
      </w:r>
      <w:r w:rsidRPr="00786FED">
        <w:rPr>
          <w:rFonts w:ascii="Times New Roman" w:hAnsi="Times New Roman"/>
        </w:rPr>
        <w:t>očasný dôchodok je forma výplaty dôchodku poskytovaná životnými poisťovňami. Pri splnení nároku na túto formu výplaty dôchodku takouto formou si v poisťovni zakúpite službu, na základe ktorej Vám bude vyplácať mesačne dôchodok v určitej sume. Obdobie výplaty v tomto prípade môže byť 5, 7 alebo 10 rokov. V prípade Vašej smrti nedochádza k dedeniu nevyplatených prostriedkov!</w:t>
      </w:r>
    </w:p>
    <w:p w:rsid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487AC1">
        <w:rPr>
          <w:rStyle w:val="Strong"/>
          <w:rFonts w:ascii="Times New Roman" w:hAnsi="Times New Roman"/>
          <w:b w:val="0"/>
          <w:i/>
        </w:rPr>
        <w:t>Príklad: Pán XY sa rozhodol požiadať o dôchodok z II. piliera. Na svojom osobnom dôchodkovom účte v dôchodkovej správcovskej spoločnosti má nasporenú sumu vo výške 10 000 € a zároveň z I. piliera poberá dôchodok vo výške 900 €. Sociálna poisťovňa mu zašle ponukový list s ponukami od poisťovní, na základe ktorého sa rozhodne pre nákup dočasného dôchodku vyplácaného 7 rokov v sume 100 € mesačne. S poisťovňou ABC uzavrie zmluvu o poistení dôchodku a zaplatí jednorazové poistné vo výške 10 000 € (hodnota úspor na osobnom dôchodkovom účte vedenom v dôchodkovej správcovskej spoločnosti). Za túto sumu sa poisťovňa ABC zaviaže pánovi XY  vyplácať dôchodok 7 rokov, pokiaľ nezomrie skôr. V prípade, že by pán XY zomrel v priebehu 7 rokov na ktoré mal dohodnutú výplatu dočasného dôchodku k žiadnemu dedeniu nedochádza.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</w:rPr>
      </w:pPr>
      <w:r w:rsidRPr="00487AC1">
        <w:rPr>
          <w:rStyle w:val="Strong"/>
          <w:rFonts w:ascii="Times New Roman" w:hAnsi="Times New Roman"/>
          <w:b w:val="0"/>
        </w:rPr>
        <w:t xml:space="preserve"> 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487AC1">
        <w:rPr>
          <w:rStyle w:val="Strong"/>
          <w:rFonts w:ascii="Times New Roman" w:hAnsi="Times New Roman"/>
          <w:b w:val="0"/>
          <w:i/>
        </w:rPr>
        <w:t>Uvedený príklad je ilustračný, výška Vášho dôchodku bude závisieť aj od Vášho veku pri požiadaní o dôchodok z II. piliera a od ponuky konkrétnej poisťovne.</w:t>
      </w:r>
    </w:p>
    <w:p w:rsidR="00487AC1" w:rsidRPr="00250805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487AC1" w:rsidRPr="009F33AE" w:rsidP="00487AC1">
      <w:pPr>
        <w:bidi w:val="0"/>
        <w:jc w:val="both"/>
        <w:rPr>
          <w:rStyle w:val="Strong"/>
          <w:rFonts w:ascii="Times New Roman" w:hAnsi="Times New Roman"/>
        </w:rPr>
      </w:pPr>
      <w:r w:rsidRPr="009F33AE">
        <w:rPr>
          <w:rStyle w:val="Strong"/>
          <w:rFonts w:ascii="Times New Roman" w:hAnsi="Times New Roman"/>
        </w:rPr>
        <w:t>Programový výber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</w:rPr>
      </w:pPr>
      <w:r w:rsidRPr="00487AC1">
        <w:rPr>
          <w:rStyle w:val="Strong"/>
          <w:rFonts w:ascii="Times New Roman" w:hAnsi="Times New Roman"/>
          <w:b w:val="0"/>
        </w:rPr>
        <w:t>Programový výber na rozdiel od predchádzajúcich produktov nie je poistným produktom. Pri tomto dôchodkovom produkte zostávajú Vaše nasporené prostriedky v dôchodkovej správcovskej spoločnosti, s ktorou spíšete dohodu o vyplácaní dôchodku programovým výberom.  Dôchodková správcovská spoločnosť Vám bude na základe tejto dohody vyplácať dôchodok z Vášho osobného dôchodkového účtu za vopred stanovených podmienok. V uvedenej dohode si učíte v akej mesačnej výške, prípadne ako dlho chcete dôchodok vyplácaný programovým výberom poberať a dôchodková správcovská spoločnosť Vám ho bude vyplácať, až kým sa všetky prostriedky na Vašom osobnom dôchodkovom účte nevyčerpajú. Vzhľadom k tomu, že Vaše prostriedky zostávajú počas celej doby výplaty v dôchodkovom fonde, treba si uvedomiť, že dohodnutá výška dôchodku vyplácaného programovým výberom je len orientačná a v závislosti od vývoja výkonnosti dôchodkového fondu, v ktorom máte svoje prostriedky umiestnené môže dôjsť k úprave dĺžky výplaty (resp. jej výšky).  V prípade Vašej smrti sú nevyčerpané prostriedky na Vašom ODÚ predmetom dedenia. Výplatu dôchodku programovým výberom si môžete dohodnúť aj s inou dôchodkovou správcovskou spoločnosťou, než s tou, v ktorej ste si počas svojho života sporili.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</w:rPr>
      </w:pP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487AC1">
        <w:rPr>
          <w:rStyle w:val="Strong"/>
          <w:rFonts w:ascii="Times New Roman" w:hAnsi="Times New Roman"/>
          <w:b w:val="0"/>
          <w:i/>
        </w:rPr>
        <w:t>Príklad: Pán XY sa rozhodol požiadať o dôchodok z II. piliera. Na svojom osobnom dôchodkovom účte v dôchodkovej správcovskej spoločnosti má nasporenú sumu vo výške 10 000 € a zároveň z I. piliera poberá dôchodok vo výške 900 € - spĺňa teda podmienky na výplatu dôchodku programovým výberom. Sociálna poisťovňa mu zašle ponukový list s ponukami od poisťovní ako i s ponukami dôchodkových správcovských spoločností, na základe ktorého sa rozhodne pre nákup dôchodku vyplácaného programovým výberom. Dĺžku výplaty si pán XY urči na 7 rokov a orientačná mesačná suma tohto dôchodku sa mu stanoví na 90 € mesačne. S dôchodkovou správcovskou spoločnosťou DEF uzavrie dohodu o vyplácaní dôchodku programovým výberom. V prípade, že by pán XY zomrel v priebehu 7 rokov na ktoré mal dohodnutú výplatu tohto dôchodku nevyplatené prostriedky sú predmetom dedenia. Základným rozdielom, medzi dočasným dôchodkom a dôchodkom vyplácaným programovým výberom je práve v možnosti dedenia nevyplatenej sumy, čo však má vplyv na výšku mesačnej sumy Vám vyplácaného dôchodku, ktorá je v prípade dôchodku vyplácaného programovým výberom v porovnaní s dočasným dôchodkom štandardne nižšia.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</w:rPr>
      </w:pPr>
      <w:r w:rsidRPr="00487AC1">
        <w:rPr>
          <w:rStyle w:val="Strong"/>
          <w:rFonts w:ascii="Times New Roman" w:hAnsi="Times New Roman"/>
          <w:b w:val="0"/>
        </w:rPr>
        <w:t xml:space="preserve"> 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487AC1">
        <w:rPr>
          <w:rStyle w:val="Strong"/>
          <w:rFonts w:ascii="Times New Roman" w:hAnsi="Times New Roman"/>
          <w:b w:val="0"/>
          <w:i/>
        </w:rPr>
        <w:t>Uvedený príklad je ilustračný.</w:t>
      </w:r>
    </w:p>
    <w:p w:rsidR="00487AC1" w:rsidRPr="00210487" w:rsidP="00487AC1">
      <w:pPr>
        <w:bidi w:val="0"/>
        <w:rPr>
          <w:rFonts w:ascii="Times New Roman" w:hAnsi="Times New Roman"/>
        </w:rPr>
      </w:pPr>
    </w:p>
    <w:p w:rsidR="00487AC1" w:rsidRPr="00786FED" w:rsidP="00487AC1">
      <w:pPr>
        <w:bidi w:val="0"/>
        <w:rPr>
          <w:rFonts w:ascii="Times New Roman" w:hAnsi="Times New Roman"/>
          <w:b/>
        </w:rPr>
      </w:pPr>
      <w:r w:rsidRPr="00786FED">
        <w:rPr>
          <w:rFonts w:ascii="Times New Roman" w:hAnsi="Times New Roman"/>
          <w:b/>
        </w:rPr>
        <w:t>Výnos z investovania</w:t>
      </w:r>
    </w:p>
    <w:p w:rsidR="00487AC1" w:rsidRPr="00FA594A" w:rsidP="00487AC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prípade, že nechcete aby Vám bol z II. piliera vyplácaný dôchodok, môžete ponechať prostriedky v dôchodkovej správcovskej spoločnosti a zvoliť si priebežné </w:t>
      </w:r>
      <w:r w:rsidRPr="00FA594A">
        <w:rPr>
          <w:rFonts w:ascii="Times New Roman" w:hAnsi="Times New Roman"/>
        </w:rPr>
        <w:t>vypláca</w:t>
      </w:r>
      <w:r>
        <w:rPr>
          <w:rFonts w:ascii="Times New Roman" w:hAnsi="Times New Roman"/>
        </w:rPr>
        <w:t>nie</w:t>
      </w:r>
      <w:r w:rsidRPr="00FA594A">
        <w:rPr>
          <w:rFonts w:ascii="Times New Roman" w:hAnsi="Times New Roman"/>
        </w:rPr>
        <w:t xml:space="preserve"> výnos</w:t>
      </w:r>
      <w:r>
        <w:rPr>
          <w:rFonts w:ascii="Times New Roman" w:hAnsi="Times New Roman"/>
        </w:rPr>
        <w:t>ov</w:t>
      </w:r>
      <w:r w:rsidRPr="00FA594A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> </w:t>
      </w:r>
      <w:r w:rsidRPr="00FA594A">
        <w:rPr>
          <w:rFonts w:ascii="Times New Roman" w:hAnsi="Times New Roman"/>
        </w:rPr>
        <w:t>investovania</w:t>
      </w:r>
      <w:r>
        <w:rPr>
          <w:rFonts w:ascii="Times New Roman" w:hAnsi="Times New Roman"/>
        </w:rPr>
        <w:t xml:space="preserve"> Vášho</w:t>
      </w:r>
      <w:r w:rsidRPr="00FA594A">
        <w:rPr>
          <w:rFonts w:ascii="Times New Roman" w:hAnsi="Times New Roman"/>
        </w:rPr>
        <w:t xml:space="preserve"> majetku v dôchodkovom fonde</w:t>
      </w:r>
      <w:r>
        <w:rPr>
          <w:rFonts w:ascii="Times New Roman" w:hAnsi="Times New Roman"/>
        </w:rPr>
        <w:t xml:space="preserve">. Vaše nasporené prostriedky ostanú v dôchodkovom fonde, kde sa budú ďalej zhodnocovať. Zhodnotenie Vám bude následne vyplácané podľa dohody s dôchodkovou správcovskou spoločnosťou. Výnos v tomto prípade však nie je garantovaný! V závislosti od vývoja výkonnosti Vášho dôchodkového fondu môže suma, ktorá Vám bude Vaša dôchodková správcovská spoločnosť každoročne vyplácať, kolísať a v prípade, že by došlo k znehodnoteniu prostriedkov, nebude Vám v daný rok vyplatená žiaden výnos z investovania. Dávka výnos z investovania nie je považovaná za dôchodok, a </w:t>
      </w:r>
      <w:r w:rsidRPr="00F37ADF">
        <w:rPr>
          <w:rFonts w:ascii="Times New Roman" w:hAnsi="Times New Roman"/>
        </w:rPr>
        <w:t xml:space="preserve">nárok na dávku v hmotnej núdzi Vám </w:t>
      </w:r>
      <w:r>
        <w:rPr>
          <w:rFonts w:ascii="Times New Roman" w:hAnsi="Times New Roman"/>
        </w:rPr>
        <w:t xml:space="preserve">v prípade poberania výnosu z investovania </w:t>
      </w:r>
      <w:r w:rsidRPr="00F37ADF">
        <w:rPr>
          <w:rFonts w:ascii="Times New Roman" w:hAnsi="Times New Roman"/>
        </w:rPr>
        <w:t>nebude môcť vzniknúť.</w:t>
      </w:r>
      <w:r>
        <w:rPr>
          <w:rFonts w:ascii="Times New Roman" w:hAnsi="Times New Roman"/>
        </w:rPr>
        <w:t xml:space="preserve"> Vyplácania dávky výnos z investovania môžete kedykoľvek ukončiť a požiadať o vyplácanie starobného dôchodku z II. piliera. Ak počas poberania dávky výnosu z investovania dôjde k Vášmu úmrtiu, prostriedky na Vašom osobnom dôchodkovom účte budú predmetom dedenia.</w:t>
      </w:r>
    </w:p>
    <w:p w:rsidR="00487AC1" w:rsidP="00487AC1">
      <w:pPr>
        <w:bidi w:val="0"/>
        <w:rPr>
          <w:rFonts w:ascii="Times New Roman" w:hAnsi="Times New Roman"/>
        </w:rPr>
      </w:pP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487AC1">
        <w:rPr>
          <w:rStyle w:val="Strong"/>
          <w:rFonts w:ascii="Times New Roman" w:hAnsi="Times New Roman"/>
          <w:b w:val="0"/>
          <w:i/>
        </w:rPr>
        <w:t>Príklad: Pán XY si nasporil 20 000 € a zároveň dovŕšil dôchodkový vek. Rozhodol sa však, že  ešte o dôchodok z II. piliera nepožiada, ale našetrené prostriedky si zatiaľ ponechá na svojom osobnom dôchodkovom účte v dôchodkovej správcovskej spoločnosti. V takomto prípade si môže pán XY vybrať dávku „výnos z investovania“. Zo svojou dôchodkovou správcovskou spoločnosťou sa môže dohodnúť na vyplácaní výnosu z prostriedkov na jeho osobnom dôchodkovom účte napr. raz ročne ku koncu kalendárneho roka. Výška sumy, ktorá mu bude každoročne vyplatená bude závisieť od toho aké zhodnotenie dôchodkový fond, v ktorom má svoje dôchodkové úspory, v daný rok dosiahne. Ak napr. dôchodkový fond zarobí v danom roku 2 % p.a. pánovi XY vyplatí jeho dôchodková správcovská spoločnosť na konci príslušného roka výnos vo výške 400 €. Na jeho osobnom dôchodkovom účte teda opäť ostane suma 20 000 €, ktorá sa bude ďalej zhodnocovať (pozor, suma sa môže aj znehodnotiť!).</w:t>
      </w: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487AC1" w:rsidRP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  <w:r w:rsidRPr="00487AC1">
        <w:rPr>
          <w:rStyle w:val="Strong"/>
          <w:rFonts w:ascii="Times New Roman" w:hAnsi="Times New Roman"/>
          <w:b w:val="0"/>
          <w:i/>
        </w:rPr>
        <w:t>Uvedený príklad je ilustračný.</w:t>
      </w:r>
    </w:p>
    <w:p w:rsid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p w:rsidR="00487AC1" w:rsidP="00487AC1">
      <w:pPr>
        <w:bidi w:val="0"/>
        <w:jc w:val="both"/>
        <w:rPr>
          <w:rStyle w:val="Strong"/>
          <w:rFonts w:ascii="Times New Roman" w:hAnsi="Times New Roman"/>
          <w:b w:val="0"/>
          <w:i/>
        </w:rPr>
      </w:pPr>
    </w:p>
    <w:tbl>
      <w:tblPr>
        <w:tblStyle w:val="TableGrid"/>
        <w:tblpPr w:leftFromText="141" w:rightFromText="141" w:vertAnchor="text" w:horzAnchor="margin" w:tblpXSpec="center" w:tblpY="25"/>
        <w:tblW w:w="10598" w:type="dxa"/>
        <w:tblLook w:val="04A0"/>
      </w:tblPr>
      <w:tblGrid>
        <w:gridCol w:w="10598"/>
      </w:tblGrid>
      <w:tr>
        <w:tblPrEx>
          <w:tblW w:w="10598" w:type="dxa"/>
          <w:tblLook w:val="04A0"/>
        </w:tblPrEx>
        <w:trPr>
          <w:trHeight w:val="66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5348"/>
            <w:textDirection w:val="lrTb"/>
            <w:vAlign w:val="center"/>
          </w:tcPr>
          <w:p w:rsidR="00487AC1" w:rsidRPr="009F33AE" w:rsidP="00786FED">
            <w:pPr>
              <w:bidi w:val="0"/>
              <w:spacing w:before="120" w:after="120"/>
              <w:rPr>
                <w:rFonts w:ascii="Times New Roman" w:hAnsi="Times New Roman"/>
                <w:b/>
                <w:color w:val="FFFFFF" w:themeColor="bg1" w:themeShade="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FFFF" w:themeColor="bg1" w:themeShade="FF"/>
                <w:sz w:val="36"/>
                <w:szCs w:val="22"/>
              </w:rPr>
              <w:t>Kde získate ďalšie informácie?</w:t>
            </w:r>
          </w:p>
        </w:tc>
      </w:tr>
    </w:tbl>
    <w:p w:rsidR="00487AC1" w:rsidP="00487AC1">
      <w:pPr>
        <w:bidi w:val="0"/>
        <w:jc w:val="both"/>
        <w:rPr>
          <w:rFonts w:ascii="Times New Roman" w:hAnsi="Times New Roman"/>
          <w:b/>
        </w:rPr>
      </w:pPr>
    </w:p>
    <w:p w:rsidR="00487AC1" w:rsidRPr="001354F5" w:rsidP="00487AC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prípade akýchkoľvek otázok neváhajte kontaktovať Vašu dôchodkovú správcovskú spoločnosť alebo navštíviť najbližšiu pobočku Sociálnej poisťovne. Prípadne navštívte internetovú stránku Centrálneho informačného ponukového systému, kde nájdete ďalšie informácie a kontakty.</w:t>
      </w:r>
    </w:p>
    <w:p w:rsidR="00487AC1" w:rsidP="00487AC1">
      <w:pPr>
        <w:bidi w:val="0"/>
        <w:jc w:val="both"/>
        <w:rPr>
          <w:rFonts w:ascii="Times New Roman" w:hAnsi="Times New Roman"/>
          <w:b/>
        </w:rPr>
      </w:pPr>
    </w:p>
    <w:p w:rsidR="00487AC1" w:rsidP="00487AC1">
      <w:pPr>
        <w:bidi w:val="0"/>
        <w:rPr>
          <w:rFonts w:ascii="Times New Roman" w:hAnsi="Times New Roman"/>
          <w:b/>
        </w:rPr>
      </w:pPr>
    </w:p>
    <w:p w:rsidR="00487AC1" w:rsidRPr="00210487" w:rsidP="00487AC1">
      <w:pPr>
        <w:bidi w:val="0"/>
        <w:rPr>
          <w:rFonts w:ascii="Times New Roman" w:hAnsi="Times New Roman"/>
          <w:b/>
        </w:rPr>
      </w:pPr>
    </w:p>
    <w:p w:rsidR="00487AC1" w:rsidP="00417744">
      <w:pPr>
        <w:bidi w:val="0"/>
        <w:jc w:val="center"/>
        <w:rPr>
          <w:rFonts w:ascii="Times New Roman" w:hAnsi="Times New Roman"/>
        </w:rPr>
      </w:pPr>
    </w:p>
    <w:sectPr w:rsidSect="00487AC1">
      <w:headerReference w:type="default" r:id="rId10"/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3F">
    <w:pPr>
      <w:pStyle w:val="Footer"/>
      <w:bidi w:val="0"/>
      <w:jc w:val="center"/>
      <w:rPr>
        <w:rFonts w:ascii="Times New Roman" w:hAnsi="Times New Roman"/>
      </w:rPr>
    </w:pPr>
    <w:r w:rsidR="00BF6D04">
      <w:rPr>
        <w:rFonts w:ascii="Times New Roman" w:hAnsi="Times New Roman"/>
      </w:rPr>
      <w:fldChar w:fldCharType="begin"/>
    </w:r>
    <w:r w:rsidR="00BF6D04">
      <w:rPr>
        <w:rFonts w:ascii="Times New Roman" w:hAnsi="Times New Roman"/>
      </w:rPr>
      <w:instrText xml:space="preserve"> PAGE   \* MERGEFORMAT </w:instrText>
    </w:r>
    <w:r w:rsidR="00BF6D04">
      <w:rPr>
        <w:rFonts w:ascii="Times New Roman" w:hAnsi="Times New Roman"/>
      </w:rPr>
      <w:fldChar w:fldCharType="separate"/>
    </w:r>
    <w:r w:rsidR="005E165E">
      <w:rPr>
        <w:rFonts w:ascii="Times New Roman" w:hAnsi="Times New Roman"/>
        <w:noProof/>
      </w:rPr>
      <w:t>1</w:t>
    </w:r>
    <w:r w:rsidR="00BF6D04">
      <w:rPr>
        <w:rFonts w:ascii="Times New Roman" w:hAnsi="Times New Roman"/>
      </w:rPr>
      <w:fldChar w:fldCharType="end"/>
    </w:r>
  </w:p>
  <w:p w:rsidR="009F173F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D8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E165E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4D2BD8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C1" w:rsidP="004D2BD8">
    <w:pPr>
      <w:pStyle w:val="Header"/>
      <w:tabs>
        <w:tab w:val="left" w:pos="2187"/>
        <w:tab w:val="clear" w:pos="4536"/>
        <w:tab w:val="clear" w:pos="9072"/>
      </w:tabs>
      <w:bidi w:val="0"/>
      <w:rPr>
        <w:rFonts w:ascii="Times New Roman" w:hAnsi="Times New Roman"/>
      </w:rPr>
    </w:pPr>
    <w:r w:rsidR="004D2BD8">
      <w:rPr>
        <w:rFonts w:ascii="Times New Roman" w:hAnsi="Times New Roman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D8" w:rsidP="004D2BD8">
    <w:pPr>
      <w:pStyle w:val="Header"/>
      <w:tabs>
        <w:tab w:val="left" w:pos="2187"/>
        <w:tab w:val="clear" w:pos="4536"/>
        <w:tab w:val="clear" w:pos="9072"/>
      </w:tabs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t>Príloha č.1 k opatreniu č. ... /2014</w:t>
    </w:r>
  </w:p>
  <w:p w:rsidR="004D2BD8" w:rsidP="004D2BD8">
    <w:pPr>
      <w:pStyle w:val="Header"/>
      <w:tabs>
        <w:tab w:val="left" w:pos="2187"/>
        <w:tab w:val="clear" w:pos="4536"/>
        <w:tab w:val="clear" w:pos="9072"/>
      </w:tabs>
      <w:bidi w:val="0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23" o:spid="_x0000_s2049" type="#_x0000_t75" alt="logo-socialna-poistovna-s-nazvom_07.png" style="width:113.3pt;height:46.15pt;margin-top:7.6pt;margin-left:363.6pt;mso-position-horizontal-relative:margin;position:absolute;visibility:visible;z-index:-251656192" filled="f" stroked="f">
          <v:imagedata r:id="rId1" o:title=""/>
          <o:lock v:ext="edit" aspectratio="t"/>
          <w10:wrap type="tight"/>
        </v:shape>
      </w:pict>
    </w:r>
    <w:r>
      <w:rPr>
        <w:rFonts w:ascii="Times New Roman" w:hAnsi="Times New Roman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width:113.4pt;height:42.5pt;margin-top:-25.55pt;margin-left:24.75pt;mso-height-relative:margin;mso-position-horizontal-relative:margin;mso-position-vertical-relative:margin;mso-width-relative:margin;position:absolute;visibility:visible;z-index:-251655168">
          <v:stroke dashstyle="dash"/>
          <v:textbox>
            <w:txbxContent>
              <w:p w:rsidR="004D2BD8" w:rsidRPr="001E4EE7" w:rsidP="005F33B5">
                <w:pPr>
                  <w:bidi w:val="0"/>
                  <w:jc w:val="center"/>
                  <w:rPr>
                    <w:rFonts w:ascii="Times New Roman" w:hAnsi="Times New Roman"/>
                  </w:rPr>
                </w:pPr>
                <w:r w:rsidRPr="004D2BD8">
                  <w:rPr>
                    <w:rFonts w:ascii="Times New Roman" w:hAnsi="Times New Roman"/>
                  </w:rPr>
                  <w:t>Logo DSS</w:t>
                </w:r>
              </w:p>
            </w:txbxContent>
          </v:textbox>
          <w10:wrap type="square"/>
        </v:shape>
      </w:pict>
    </w:r>
    <w:r>
      <w:rPr>
        <w:rFonts w:ascii="Times New Roman" w:hAnsi="Times New Roman"/>
      </w:rPr>
      <w:t>Vzor</w:t>
    </w:r>
  </w:p>
  <w:p w:rsidR="004D2BD8" w:rsidP="004D2BD8">
    <w:pPr>
      <w:pStyle w:val="Header"/>
      <w:tabs>
        <w:tab w:val="left" w:pos="2187"/>
        <w:tab w:val="clear" w:pos="4536"/>
        <w:tab w:val="clear" w:pos="9072"/>
      </w:tabs>
      <w:bidi w:val="0"/>
      <w:rPr>
        <w:rFonts w:ascii="Times New Roman" w:hAnsi="Times New Roman"/>
      </w:rPr>
    </w:pPr>
  </w:p>
  <w:p w:rsidR="004D2BD8" w:rsidP="004D2BD8">
    <w:pPr>
      <w:pStyle w:val="Header"/>
      <w:tabs>
        <w:tab w:val="left" w:pos="2187"/>
        <w:tab w:val="clear" w:pos="4536"/>
        <w:tab w:val="clear" w:pos="9072"/>
      </w:tabs>
      <w:bidi w:val="0"/>
      <w:rPr>
        <w:rFonts w:ascii="Times New Roman" w:hAnsi="Times New Roman"/>
      </w:rPr>
    </w:pPr>
  </w:p>
  <w:p w:rsidR="004D2BD8" w:rsidP="004D2BD8">
    <w:pPr>
      <w:pStyle w:val="Header"/>
      <w:tabs>
        <w:tab w:val="left" w:pos="2187"/>
        <w:tab w:val="clear" w:pos="4536"/>
        <w:tab w:val="clear" w:pos="9072"/>
      </w:tabs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C1" w:rsidP="00487AC1">
    <w:pPr>
      <w:pStyle w:val="Header"/>
      <w:bidi w:val="0"/>
      <w:jc w:val="center"/>
      <w:rPr>
        <w:rFonts w:ascii="Times New Roman" w:hAnsi="Times New Roman"/>
      </w:rPr>
    </w:pPr>
  </w:p>
  <w:p w:rsidR="00487AC1" w:rsidP="00487AC1">
    <w:pPr>
      <w:pStyle w:val="Header"/>
      <w:bidi w:val="0"/>
      <w:jc w:val="center"/>
      <w:rPr>
        <w:rFonts w:ascii="Times New Roman" w:hAnsi="Times New Roman"/>
      </w:rPr>
    </w:pPr>
  </w:p>
  <w:p w:rsidR="00487AC1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23" o:spid="_x0000_s2051" type="#_x0000_t75" alt="logo-socialna-poistovna-s-nazvom_07.png" style="width:113.3pt;height:46.15pt;margin-top:-32pt;margin-left:351.6pt;mso-position-horizontal-relative:margin;position:absolute;visibility:visible;z-index:-251658240" filled="f" stroked="f">
          <v:imagedata r:id="rId1" o:title=""/>
          <o:lock v:ext="edit" aspectratio="t"/>
          <w10:wrap type="tight"/>
        </v:shape>
      </w:pict>
    </w:r>
    <w:r>
      <w:rPr>
        <w:rFonts w:ascii="Times New Roman" w:hAnsi="Times New Roman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113.4pt;height:42.5pt;margin-top:-43.5pt;margin-left:12.75pt;mso-height-relative:margin;mso-position-horizontal-relative:margin;mso-position-vertical-relative:margin;mso-width-relative:margin;position:absolute;visibility:visible;z-index:-251657216">
          <v:stroke dashstyle="dash"/>
          <v:textbox>
            <w:txbxContent>
              <w:p w:rsidR="00487AC1" w:rsidRPr="00487AC1" w:rsidP="005F33B5">
                <w:pPr>
                  <w:bidi w:val="0"/>
                  <w:jc w:val="center"/>
                  <w:rPr>
                    <w:rFonts w:ascii="Times New Roman" w:hAnsi="Times New Roman"/>
                  </w:rPr>
                </w:pPr>
                <w:r w:rsidRPr="00487AC1">
                  <w:rPr>
                    <w:rFonts w:ascii="Times New Roman" w:hAnsi="Times New Roman"/>
                  </w:rPr>
                  <w:t>Logo DSS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B6F"/>
    <w:multiLevelType w:val="hybridMultilevel"/>
    <w:tmpl w:val="8B0A85F0"/>
    <w:lvl w:ilvl="0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6E0726"/>
    <w:multiLevelType w:val="hybridMultilevel"/>
    <w:tmpl w:val="B01475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89F2EF0"/>
    <w:multiLevelType w:val="hybridMultilevel"/>
    <w:tmpl w:val="CC1CF396"/>
    <w:lvl w:ilvl="0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17B2D44"/>
    <w:multiLevelType w:val="hybridMultilevel"/>
    <w:tmpl w:val="7384FAC0"/>
    <w:lvl w:ilvl="0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75492"/>
    <w:rsid w:val="000243F2"/>
    <w:rsid w:val="000B42A3"/>
    <w:rsid w:val="000E6935"/>
    <w:rsid w:val="001046F9"/>
    <w:rsid w:val="001354F5"/>
    <w:rsid w:val="001E4EE7"/>
    <w:rsid w:val="002041C4"/>
    <w:rsid w:val="00210487"/>
    <w:rsid w:val="00250805"/>
    <w:rsid w:val="00275492"/>
    <w:rsid w:val="002C1C1F"/>
    <w:rsid w:val="00417744"/>
    <w:rsid w:val="00460369"/>
    <w:rsid w:val="00487AC1"/>
    <w:rsid w:val="00497391"/>
    <w:rsid w:val="004D2BD8"/>
    <w:rsid w:val="00565399"/>
    <w:rsid w:val="005E165E"/>
    <w:rsid w:val="005F33B5"/>
    <w:rsid w:val="006C2702"/>
    <w:rsid w:val="006C3B85"/>
    <w:rsid w:val="006E11ED"/>
    <w:rsid w:val="00714A1A"/>
    <w:rsid w:val="00786FED"/>
    <w:rsid w:val="00796632"/>
    <w:rsid w:val="009F173F"/>
    <w:rsid w:val="009F33AE"/>
    <w:rsid w:val="00A164CC"/>
    <w:rsid w:val="00A95553"/>
    <w:rsid w:val="00BC2EF1"/>
    <w:rsid w:val="00BF4AD0"/>
    <w:rsid w:val="00BF6D04"/>
    <w:rsid w:val="00C15025"/>
    <w:rsid w:val="00D712A3"/>
    <w:rsid w:val="00E7024E"/>
    <w:rsid w:val="00E854BE"/>
    <w:rsid w:val="00F27AD2"/>
    <w:rsid w:val="00F37ADF"/>
    <w:rsid w:val="00F83E5F"/>
    <w:rsid w:val="00FA594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9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5492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C1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C1F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487AC1"/>
    <w:rPr>
      <w:rFonts w:cs="Times New Roman"/>
      <w:b/>
      <w:bCs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87AC1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AC1"/>
    <w:pPr>
      <w:spacing w:after="20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7AC1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table" w:styleId="TableGrid">
    <w:name w:val="Table Grid"/>
    <w:basedOn w:val="TableNormal"/>
    <w:uiPriority w:val="59"/>
    <w:rsid w:val="00487AC1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7AC1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87AC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487AC1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87AC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emf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F3E4-74B0-4E1E-8A69-C5FE970F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2805</Words>
  <Characters>15995</Characters>
  <Application>Microsoft Office Word</Application>
  <DocSecurity>0</DocSecurity>
  <Lines>0</Lines>
  <Paragraphs>0</Paragraphs>
  <ScaleCrop>false</ScaleCrop>
  <Company>MPSVR</Company>
  <LinksUpToDate>false</LinksUpToDate>
  <CharactersWithSpaces>18763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Gašparíková, Jarmila</cp:lastModifiedBy>
  <cp:revision>2</cp:revision>
  <dcterms:created xsi:type="dcterms:W3CDTF">2014-02-27T14:33:00Z</dcterms:created>
  <dcterms:modified xsi:type="dcterms:W3CDTF">2014-02-27T14:33:00Z</dcterms:modified>
</cp:coreProperties>
</file>