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28DC" w:rsidP="004A2311">
      <w:pPr>
        <w:pStyle w:val="Title"/>
        <w:bidi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Sociálne vplyvy -  vplyvy na hospodárenie obyvateľstva, sociálnu exklúziu, rovnosť príležitostí a rodovú rovnosť  a na zamestnanosť</w:t>
      </w:r>
    </w:p>
    <w:p w:rsidR="00EC28DC" w:rsidP="00EC28DC">
      <w:pPr>
        <w:bidi w:val="0"/>
        <w:rPr>
          <w:rFonts w:ascii="Times New Roman" w:hAnsi="Times New Roman"/>
          <w:b/>
          <w:bCs/>
          <w:lang w:val="sk-SK"/>
        </w:rPr>
      </w:pPr>
    </w:p>
    <w:p w:rsidR="00EC28DC" w:rsidP="00EC28DC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Návrh zákona bude mať vplyv na všetkých sporiteľov v systéme starobného dôchodkového sporenia (t.</w:t>
            </w:r>
            <w:r w:rsidR="00B72A12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j. približne 1,4 mil. sporiteľov).</w:t>
            </w:r>
          </w:p>
          <w:p w:rsidR="00151034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8415A" w:rsidP="00151034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B72A12" w:rsidR="00151034">
              <w:rPr>
                <w:rFonts w:ascii="Times New Roman" w:hAnsi="Times New Roman"/>
                <w:b/>
                <w:lang w:val="sk-SK"/>
              </w:rPr>
              <w:t xml:space="preserve">Návrh zákona bude mať pozitívny vplyv na všetkých sporiteľov </w:t>
            </w:r>
            <w:r w:rsidR="00B72A12">
              <w:rPr>
                <w:rFonts w:ascii="Times New Roman" w:hAnsi="Times New Roman"/>
                <w:b/>
                <w:lang w:val="sk-SK"/>
              </w:rPr>
              <w:t xml:space="preserve">v systéme </w:t>
            </w:r>
            <w:r w:rsidRPr="00B72A12" w:rsidR="00151034">
              <w:rPr>
                <w:rFonts w:ascii="Times New Roman" w:hAnsi="Times New Roman"/>
                <w:b/>
                <w:lang w:val="sk-SK"/>
              </w:rPr>
              <w:t>starobného dôchodkového sporenia z</w:t>
            </w:r>
            <w:r w:rsidRPr="00B72A12">
              <w:rPr>
                <w:rFonts w:ascii="Times New Roman" w:hAnsi="Times New Roman"/>
                <w:b/>
                <w:lang w:val="sk-SK"/>
              </w:rPr>
              <w:t> </w:t>
            </w:r>
            <w:r w:rsidRPr="00B72A12" w:rsidR="00151034">
              <w:rPr>
                <w:rFonts w:ascii="Times New Roman" w:hAnsi="Times New Roman"/>
                <w:b/>
                <w:lang w:val="sk-SK"/>
              </w:rPr>
              <w:t>dôvodu</w:t>
            </w:r>
            <w:r w:rsidRPr="00B72A12">
              <w:rPr>
                <w:rFonts w:ascii="Times New Roman" w:hAnsi="Times New Roman"/>
                <w:b/>
                <w:lang w:val="sk-SK"/>
              </w:rPr>
              <w:t>:</w:t>
            </w:r>
          </w:p>
          <w:p w:rsidR="00B72A12" w:rsidRPr="00B72A12" w:rsidP="00151034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151034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38415A">
              <w:rPr>
                <w:rFonts w:ascii="Times New Roman" w:hAnsi="Times New Roman"/>
                <w:lang w:val="sk-SK"/>
              </w:rPr>
              <w:t xml:space="preserve">vypustenia minimálneho obdobia </w:t>
            </w:r>
            <w:r>
              <w:rPr>
                <w:rFonts w:ascii="Times New Roman" w:hAnsi="Times New Roman"/>
                <w:lang w:val="sk-SK"/>
              </w:rPr>
              <w:t xml:space="preserve">dôchodkového sporenia pre </w:t>
            </w:r>
            <w:r w:rsidR="00560749">
              <w:rPr>
                <w:rFonts w:ascii="Times New Roman" w:hAnsi="Times New Roman"/>
                <w:lang w:val="sk-SK"/>
              </w:rPr>
              <w:t>vyplácanie starobného dôchodku</w:t>
            </w:r>
            <w:r>
              <w:rPr>
                <w:rFonts w:ascii="Times New Roman" w:hAnsi="Times New Roman"/>
                <w:lang w:val="sk-SK"/>
              </w:rPr>
              <w:t xml:space="preserve"> z</w:t>
            </w:r>
            <w:r w:rsidR="003F07C6">
              <w:rPr>
                <w:rFonts w:ascii="Times New Roman" w:hAnsi="Times New Roman"/>
                <w:lang w:val="sk-SK"/>
              </w:rPr>
              <w:t>o systému starobného dôchodkového sporenia</w:t>
            </w:r>
            <w:r>
              <w:rPr>
                <w:rFonts w:ascii="Times New Roman" w:hAnsi="Times New Roman"/>
                <w:lang w:val="sk-SK"/>
              </w:rPr>
              <w:t xml:space="preserve"> (uvedená zmena umožní prístup k dôchodku </w:t>
            </w:r>
            <w:r w:rsidR="003F07C6">
              <w:rPr>
                <w:rFonts w:ascii="Times New Roman" w:hAnsi="Times New Roman"/>
                <w:lang w:val="sk-SK"/>
              </w:rPr>
              <w:t>z</w:t>
            </w:r>
            <w:r w:rsidR="00B72A12">
              <w:rPr>
                <w:rFonts w:ascii="Times New Roman" w:hAnsi="Times New Roman"/>
                <w:lang w:val="sk-SK"/>
              </w:rPr>
              <w:t>o systému starobného dôchodkového sporenia</w:t>
            </w:r>
            <w:r w:rsidR="003F07C6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aj tým sporiteľom, ktorí sú napr. poberateľmi invalidného dôchodku z</w:t>
            </w:r>
            <w:r w:rsidR="00A16B30">
              <w:rPr>
                <w:rFonts w:ascii="Times New Roman" w:hAnsi="Times New Roman"/>
                <w:lang w:val="sk-SK"/>
              </w:rPr>
              <w:t>o Sociálnej poisťovne</w:t>
            </w:r>
            <w:r>
              <w:rPr>
                <w:rFonts w:ascii="Times New Roman" w:hAnsi="Times New Roman"/>
                <w:lang w:val="sk-SK"/>
              </w:rPr>
              <w:t xml:space="preserve"> a neplatia už príspevky na starobného dôchodkové sporenie a z daného dôvodu </w:t>
            </w:r>
            <w:r w:rsidR="00B72A12">
              <w:rPr>
                <w:rFonts w:ascii="Times New Roman" w:hAnsi="Times New Roman"/>
                <w:lang w:val="sk-SK"/>
              </w:rPr>
              <w:t xml:space="preserve">by </w:t>
            </w:r>
            <w:r>
              <w:rPr>
                <w:rFonts w:ascii="Times New Roman" w:hAnsi="Times New Roman"/>
                <w:lang w:val="sk-SK"/>
              </w:rPr>
              <w:t>nedokázali splniť podmienku minimálne 10 rokov st</w:t>
            </w:r>
            <w:r w:rsidR="0038415A">
              <w:rPr>
                <w:rFonts w:ascii="Times New Roman" w:hAnsi="Times New Roman"/>
                <w:lang w:val="sk-SK"/>
              </w:rPr>
              <w:t>arobného dôchodkového sporenia);</w:t>
            </w:r>
          </w:p>
          <w:p w:rsidR="00305A29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odstráneni</w:t>
            </w:r>
            <w:r w:rsidR="00B6605F">
              <w:rPr>
                <w:rFonts w:ascii="Times New Roman" w:hAnsi="Times New Roman"/>
                <w:lang w:val="sk-SK"/>
              </w:rPr>
              <w:t>a</w:t>
            </w:r>
            <w:r>
              <w:rPr>
                <w:rFonts w:ascii="Times New Roman" w:hAnsi="Times New Roman"/>
                <w:lang w:val="sk-SK"/>
              </w:rPr>
              <w:t xml:space="preserve"> podmienky, že výška predčasného starobného dôchodku z</w:t>
            </w:r>
            <w:r w:rsidR="00F120DD">
              <w:rPr>
                <w:rFonts w:ascii="Times New Roman" w:hAnsi="Times New Roman"/>
                <w:lang w:val="sk-SK"/>
              </w:rPr>
              <w:t>o systému starobného dôchodkového sporenia</w:t>
            </w:r>
            <w:r>
              <w:rPr>
                <w:rFonts w:ascii="Times New Roman" w:hAnsi="Times New Roman"/>
                <w:lang w:val="sk-SK"/>
              </w:rPr>
              <w:t xml:space="preserve"> musí dosahovať najmenej 0,6</w:t>
            </w:r>
            <w:r w:rsidR="00B869F1">
              <w:rPr>
                <w:rFonts w:ascii="Times New Roman" w:hAnsi="Times New Roman"/>
                <w:lang w:val="sk-SK"/>
              </w:rPr>
              <w:t>-</w:t>
            </w:r>
            <w:r>
              <w:rPr>
                <w:rFonts w:ascii="Times New Roman" w:hAnsi="Times New Roman"/>
                <w:lang w:val="sk-SK"/>
              </w:rPr>
              <w:t>násobok sumy životného minima</w:t>
            </w:r>
            <w:r w:rsidR="00F120DD">
              <w:rPr>
                <w:rFonts w:ascii="Times New Roman" w:hAnsi="Times New Roman"/>
                <w:lang w:val="sk-SK"/>
              </w:rPr>
              <w:t xml:space="preserve"> pre jednu plnoletú fyzickú osobu;</w:t>
            </w:r>
          </w:p>
          <w:p w:rsidR="00276D67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zavedenia novej</w:t>
            </w:r>
            <w:r w:rsidR="003F07C6">
              <w:rPr>
                <w:rFonts w:ascii="Times New Roman" w:hAnsi="Times New Roman"/>
                <w:lang w:val="sk-SK"/>
              </w:rPr>
              <w:t xml:space="preserve"> formy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982DE0">
              <w:rPr>
                <w:rFonts w:ascii="Times New Roman" w:hAnsi="Times New Roman"/>
                <w:lang w:val="sk-SK"/>
              </w:rPr>
              <w:t>vyplácania dôchodku - tzv. dočasný dôchodok</w:t>
            </w:r>
            <w:r w:rsidR="003F07C6">
              <w:rPr>
                <w:rFonts w:ascii="Times New Roman" w:hAnsi="Times New Roman"/>
                <w:lang w:val="sk-SK"/>
              </w:rPr>
              <w:t>;</w:t>
            </w:r>
          </w:p>
          <w:p w:rsidR="00276D67" w:rsidRPr="00276D67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3F07C6">
              <w:rPr>
                <w:rFonts w:ascii="Times New Roman" w:hAnsi="Times New Roman"/>
                <w:lang w:val="sk-SK"/>
              </w:rPr>
              <w:t>zavedenia</w:t>
            </w:r>
            <w:r>
              <w:rPr>
                <w:rFonts w:ascii="Times New Roman" w:hAnsi="Times New Roman"/>
                <w:lang w:val="sk-SK"/>
              </w:rPr>
              <w:t xml:space="preserve"> dobrovoľného </w:t>
            </w:r>
            <w:r w:rsidRPr="00276D67">
              <w:rPr>
                <w:rFonts w:ascii="Times New Roman" w:hAnsi="Times New Roman"/>
                <w:lang w:val="sk-SK"/>
              </w:rPr>
              <w:t xml:space="preserve">zvyšovania doživotného dôchodku (dôchodok so zvyšovaním bude síce v prvých rokoch nižší </w:t>
            </w:r>
            <w:r w:rsidR="001106F1">
              <w:rPr>
                <w:rFonts w:ascii="Times New Roman" w:hAnsi="Times New Roman"/>
                <w:lang w:val="sk-SK"/>
              </w:rPr>
              <w:t>ako</w:t>
            </w:r>
            <w:r w:rsidRPr="00276D67">
              <w:rPr>
                <w:rFonts w:ascii="Times New Roman" w:hAnsi="Times New Roman"/>
                <w:lang w:val="sk-SK"/>
              </w:rPr>
              <w:t xml:space="preserve"> dôchodok bez zvyšovania, ale naopak v ďalších rokoch poberania vplyvom nárastu bude efekt opačný);</w:t>
            </w:r>
          </w:p>
          <w:p w:rsidR="00276D67" w:rsidRPr="00276D67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276D67">
              <w:rPr>
                <w:rFonts w:ascii="Times New Roman" w:hAnsi="Times New Roman"/>
                <w:lang w:val="sk-SK"/>
              </w:rPr>
              <w:t>prerozdeľovania prebytk</w:t>
            </w:r>
            <w:r w:rsidR="00BD35DD">
              <w:rPr>
                <w:rFonts w:ascii="Times New Roman" w:hAnsi="Times New Roman"/>
                <w:lang w:val="sk-SK"/>
              </w:rPr>
              <w:t>ov</w:t>
            </w:r>
            <w:r w:rsidRPr="00276D67">
              <w:rPr>
                <w:rFonts w:ascii="Times New Roman" w:hAnsi="Times New Roman"/>
                <w:lang w:val="sk-SK"/>
              </w:rPr>
              <w:t xml:space="preserve"> </w:t>
            </w:r>
            <w:r w:rsidR="00BD35DD">
              <w:rPr>
                <w:rFonts w:ascii="Times New Roman" w:hAnsi="Times New Roman"/>
                <w:lang w:val="sk-SK"/>
              </w:rPr>
              <w:t xml:space="preserve">na </w:t>
            </w:r>
            <w:r w:rsidRPr="00276D67">
              <w:rPr>
                <w:rFonts w:ascii="Times New Roman" w:hAnsi="Times New Roman"/>
                <w:lang w:val="sk-SK"/>
              </w:rPr>
              <w:t>výnos</w:t>
            </w:r>
            <w:r w:rsidR="00BD35DD">
              <w:rPr>
                <w:rFonts w:ascii="Times New Roman" w:hAnsi="Times New Roman"/>
                <w:lang w:val="sk-SK"/>
              </w:rPr>
              <w:t>och</w:t>
            </w:r>
            <w:r w:rsidRPr="00276D67">
              <w:rPr>
                <w:rFonts w:ascii="Times New Roman" w:hAnsi="Times New Roman"/>
                <w:lang w:val="sk-SK"/>
              </w:rPr>
              <w:t>, a to minimálne na úrovni 80</w:t>
            </w:r>
            <w:r w:rsidR="00BD35DD">
              <w:rPr>
                <w:rFonts w:ascii="Times New Roman" w:hAnsi="Times New Roman"/>
                <w:lang w:val="sk-SK"/>
              </w:rPr>
              <w:t> </w:t>
            </w:r>
            <w:r w:rsidRPr="00276D67">
              <w:rPr>
                <w:rFonts w:ascii="Times New Roman" w:hAnsi="Times New Roman"/>
                <w:lang w:val="sk-SK"/>
              </w:rPr>
              <w:t>%, ktoré vzniknú lepším zhodnotením technických rezerv ako bolo pôvodne predpokladané pri kalkulácii dôchodku;</w:t>
            </w:r>
          </w:p>
          <w:p w:rsidR="00276D67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276D67">
              <w:rPr>
                <w:rFonts w:ascii="Times New Roman" w:hAnsi="Times New Roman"/>
                <w:lang w:val="sk-SK"/>
              </w:rPr>
              <w:t>uľahčeni</w:t>
            </w:r>
            <w:r w:rsidR="003F07C6">
              <w:rPr>
                <w:rFonts w:ascii="Times New Roman" w:hAnsi="Times New Roman"/>
                <w:lang w:val="sk-SK"/>
              </w:rPr>
              <w:t>a</w:t>
            </w:r>
            <w:r w:rsidRPr="00276D67">
              <w:rPr>
                <w:rFonts w:ascii="Times New Roman" w:hAnsi="Times New Roman"/>
                <w:lang w:val="sk-SK"/>
              </w:rPr>
              <w:t xml:space="preserve"> výberu dôchodku z</w:t>
            </w:r>
            <w:r w:rsidR="00B72A12">
              <w:rPr>
                <w:rFonts w:ascii="Times New Roman" w:hAnsi="Times New Roman"/>
                <w:lang w:val="sk-SK"/>
              </w:rPr>
              <w:t>o systému starobného dôchodkového sporenia</w:t>
            </w:r>
            <w:r w:rsidRPr="00276D67">
              <w:rPr>
                <w:rFonts w:ascii="Times New Roman" w:hAnsi="Times New Roman"/>
                <w:lang w:val="sk-SK"/>
              </w:rPr>
              <w:t xml:space="preserve"> prostredníctvom centrálneho elektronického ponukového systému</w:t>
            </w:r>
            <w:r w:rsidR="009C754C">
              <w:rPr>
                <w:rFonts w:ascii="Times New Roman" w:hAnsi="Times New Roman"/>
                <w:lang w:val="sk-SK"/>
              </w:rPr>
              <w:t>, t.</w:t>
            </w:r>
            <w:r w:rsidR="00BD35DD">
              <w:rPr>
                <w:rFonts w:ascii="Times New Roman" w:hAnsi="Times New Roman"/>
                <w:lang w:val="sk-SK"/>
              </w:rPr>
              <w:t> </w:t>
            </w:r>
            <w:r w:rsidR="009C754C">
              <w:rPr>
                <w:rFonts w:ascii="Times New Roman" w:hAnsi="Times New Roman"/>
                <w:lang w:val="sk-SK"/>
              </w:rPr>
              <w:t>j. dostupnosť všetkých ponúk pre sporiteľa na jednom mieste</w:t>
            </w:r>
            <w:r w:rsidRPr="00276D67">
              <w:rPr>
                <w:rFonts w:ascii="Times New Roman" w:hAnsi="Times New Roman"/>
                <w:lang w:val="sk-SK"/>
              </w:rPr>
              <w:t>;</w:t>
            </w:r>
          </w:p>
          <w:p w:rsidR="009A17E7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pri výpočte dôchodku z</w:t>
            </w:r>
            <w:r w:rsidR="00B72A12">
              <w:rPr>
                <w:rFonts w:ascii="Times New Roman" w:hAnsi="Times New Roman"/>
                <w:lang w:val="sk-SK"/>
              </w:rPr>
              <w:t>o systému starobného dôchodkového sporenia</w:t>
            </w:r>
            <w:r>
              <w:rPr>
                <w:rFonts w:ascii="Times New Roman" w:hAnsi="Times New Roman"/>
                <w:lang w:val="sk-SK"/>
              </w:rPr>
              <w:t xml:space="preserve"> sa nebude posudzovať individuálne riziko sporiteľa</w:t>
            </w:r>
            <w:r w:rsidR="00B25F10">
              <w:rPr>
                <w:rFonts w:ascii="Times New Roman" w:hAnsi="Times New Roman"/>
                <w:lang w:val="sk-SK"/>
              </w:rPr>
              <w:t xml:space="preserve">, </w:t>
            </w:r>
            <w:r>
              <w:rPr>
                <w:rFonts w:ascii="Times New Roman" w:hAnsi="Times New Roman"/>
                <w:lang w:val="sk-SK"/>
              </w:rPr>
              <w:t>t. j. nebude sa prihliadať napr. na zdravotný stav sporiteľa</w:t>
            </w:r>
            <w:r w:rsidR="00B25F10">
              <w:rPr>
                <w:rFonts w:ascii="Times New Roman" w:hAnsi="Times New Roman"/>
                <w:lang w:val="sk-SK"/>
              </w:rPr>
              <w:t xml:space="preserve"> (</w:t>
            </w:r>
            <w:r w:rsidR="002C655B">
              <w:rPr>
                <w:rFonts w:ascii="Times New Roman" w:hAnsi="Times New Roman"/>
                <w:lang w:val="sk-SK"/>
              </w:rPr>
              <w:t xml:space="preserve">pozitívny vplyv pre sporiteľov s </w:t>
            </w:r>
            <w:r w:rsidR="00C418B1">
              <w:rPr>
                <w:rFonts w:ascii="Times New Roman" w:hAnsi="Times New Roman"/>
                <w:lang w:val="sk-SK"/>
              </w:rPr>
              <w:t>priaznivým</w:t>
            </w:r>
            <w:r w:rsidR="002C655B">
              <w:rPr>
                <w:rFonts w:ascii="Times New Roman" w:hAnsi="Times New Roman"/>
                <w:lang w:val="sk-SK"/>
              </w:rPr>
              <w:t xml:space="preserve"> zdravotným stavom</w:t>
            </w:r>
            <w:r w:rsidR="00112FEE">
              <w:rPr>
                <w:rFonts w:ascii="Times New Roman" w:hAnsi="Times New Roman"/>
                <w:lang w:val="sk-SK"/>
              </w:rPr>
              <w:t>)</w:t>
            </w:r>
            <w:r>
              <w:rPr>
                <w:rFonts w:ascii="Times New Roman" w:hAnsi="Times New Roman"/>
                <w:lang w:val="sk-SK"/>
              </w:rPr>
              <w:t>;</w:t>
            </w:r>
          </w:p>
          <w:p w:rsidR="009C754C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BD35DD">
              <w:rPr>
                <w:rFonts w:ascii="Times New Roman" w:hAnsi="Times New Roman"/>
                <w:lang w:val="sk-SK"/>
              </w:rPr>
              <w:t>nebude povolená sprostredkovateľská činnosť (t. j. zamedzenie zvyšovania nákladov na nákup dôchodku z</w:t>
            </w:r>
            <w:r w:rsidR="00B72A12">
              <w:rPr>
                <w:rFonts w:ascii="Times New Roman" w:hAnsi="Times New Roman"/>
                <w:lang w:val="sk-SK"/>
              </w:rPr>
              <w:t>o systému starobného dôchodkového sporen</w:t>
            </w:r>
            <w:r w:rsidR="00694F79">
              <w:rPr>
                <w:rFonts w:ascii="Times New Roman" w:hAnsi="Times New Roman"/>
                <w:lang w:val="sk-SK"/>
              </w:rPr>
              <w:t>i</w:t>
            </w:r>
            <w:r w:rsidR="00B72A12">
              <w:rPr>
                <w:rFonts w:ascii="Times New Roman" w:hAnsi="Times New Roman"/>
                <w:lang w:val="sk-SK"/>
              </w:rPr>
              <w:t>a</w:t>
            </w:r>
            <w:r w:rsidRPr="00BD35DD">
              <w:rPr>
                <w:rFonts w:ascii="Times New Roman" w:hAnsi="Times New Roman"/>
                <w:lang w:val="sk-SK"/>
              </w:rPr>
              <w:t xml:space="preserve"> z titulu sprostredkovateľskej činnosti);</w:t>
            </w:r>
          </w:p>
          <w:p w:rsidR="009D100C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možnos</w:t>
            </w:r>
            <w:r w:rsidR="00F120DD">
              <w:rPr>
                <w:rFonts w:ascii="Times New Roman" w:hAnsi="Times New Roman"/>
                <w:lang w:val="sk-SK"/>
              </w:rPr>
              <w:t xml:space="preserve">ti </w:t>
            </w:r>
            <w:r>
              <w:rPr>
                <w:rFonts w:ascii="Times New Roman" w:hAnsi="Times New Roman"/>
                <w:lang w:val="sk-SK"/>
              </w:rPr>
              <w:t>zvoliť si vyplácanie pozostalostného dôchodku</w:t>
            </w:r>
            <w:r w:rsidR="00F120DD">
              <w:rPr>
                <w:rFonts w:ascii="Times New Roman" w:hAnsi="Times New Roman"/>
                <w:lang w:val="sk-SK"/>
              </w:rPr>
              <w:t xml:space="preserve"> zo systému starobného dôchodkového sporenia </w:t>
            </w:r>
            <w:r w:rsidR="00A16B30">
              <w:rPr>
                <w:rFonts w:ascii="Times New Roman" w:hAnsi="Times New Roman"/>
                <w:lang w:val="sk-SK"/>
              </w:rPr>
              <w:t xml:space="preserve">a </w:t>
            </w:r>
            <w:r w:rsidR="00F120DD">
              <w:rPr>
                <w:rFonts w:ascii="Times New Roman" w:hAnsi="Times New Roman"/>
                <w:lang w:val="sk-SK"/>
              </w:rPr>
              <w:t>z dôvodu nových podmienok</w:t>
            </w:r>
            <w:r>
              <w:rPr>
                <w:rFonts w:ascii="Times New Roman" w:hAnsi="Times New Roman"/>
                <w:lang w:val="sk-SK"/>
              </w:rPr>
              <w:t xml:space="preserve"> ich vyplácania (vyššia suma </w:t>
            </w:r>
            <w:r w:rsidR="00982DE0">
              <w:rPr>
                <w:rFonts w:ascii="Times New Roman" w:hAnsi="Times New Roman"/>
                <w:lang w:val="sk-SK"/>
              </w:rPr>
              <w:t xml:space="preserve">starobného alebo predčasného starobného </w:t>
            </w:r>
            <w:r>
              <w:rPr>
                <w:rFonts w:ascii="Times New Roman" w:hAnsi="Times New Roman"/>
                <w:lang w:val="sk-SK"/>
              </w:rPr>
              <w:t>dôchodku</w:t>
            </w:r>
            <w:r w:rsidR="008C0B62">
              <w:rPr>
                <w:rFonts w:ascii="Times New Roman" w:hAnsi="Times New Roman"/>
                <w:lang w:val="sk-SK"/>
              </w:rPr>
              <w:t>)</w:t>
            </w:r>
            <w:r w:rsidR="00F120DD">
              <w:rPr>
                <w:rFonts w:ascii="Times New Roman" w:hAnsi="Times New Roman"/>
                <w:lang w:val="sk-SK"/>
              </w:rPr>
              <w:t>;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</w:p>
          <w:p w:rsidR="00560749" w:rsidP="004A2311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BA3DFB">
              <w:rPr>
                <w:rFonts w:ascii="Times New Roman" w:hAnsi="Times New Roman"/>
                <w:lang w:val="sk-SK"/>
              </w:rPr>
              <w:t xml:space="preserve">pri výbere </w:t>
            </w:r>
            <w:r w:rsidR="009D100C">
              <w:rPr>
                <w:rFonts w:ascii="Times New Roman" w:hAnsi="Times New Roman"/>
                <w:lang w:val="sk-SK"/>
              </w:rPr>
              <w:t>pozostalostných dôchodkov</w:t>
            </w:r>
            <w:r w:rsidR="00F120DD">
              <w:rPr>
                <w:rFonts w:ascii="Times New Roman" w:hAnsi="Times New Roman"/>
                <w:lang w:val="sk-SK"/>
              </w:rPr>
              <w:t xml:space="preserve"> zo systému starobného dôchodkového sporenia</w:t>
            </w:r>
            <w:r w:rsidR="00BA3DFB">
              <w:rPr>
                <w:rFonts w:ascii="Times New Roman" w:hAnsi="Times New Roman"/>
                <w:lang w:val="sk-SK"/>
              </w:rPr>
              <w:t xml:space="preserve"> je možné predĺžiť obdobie výplaty pozostalostného dôchodku až na dva roky</w:t>
            </w:r>
            <w:r w:rsidR="00F120DD">
              <w:rPr>
                <w:rFonts w:ascii="Times New Roman" w:hAnsi="Times New Roman"/>
                <w:lang w:val="sk-SK"/>
              </w:rPr>
              <w:t>;</w:t>
            </w:r>
          </w:p>
          <w:p w:rsidR="003A1624" w:rsidP="00151034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953292" w:rsidR="00305A29">
              <w:rPr>
                <w:rFonts w:ascii="Times New Roman" w:hAnsi="Times New Roman"/>
                <w:lang w:val="sk-SK"/>
              </w:rPr>
              <w:t>po smrti sporiteľa, ktorý poberal dôchodok formou programového výberu sa nebude vyplácať pozostalostný dôchodok</w:t>
            </w:r>
            <w:r w:rsidRPr="00953292" w:rsidR="008C0B62">
              <w:rPr>
                <w:rFonts w:ascii="Times New Roman" w:hAnsi="Times New Roman"/>
                <w:lang w:val="sk-SK"/>
              </w:rPr>
              <w:t>;</w:t>
            </w:r>
            <w:r w:rsidRPr="00953292" w:rsidR="00305A29">
              <w:rPr>
                <w:rFonts w:ascii="Times New Roman" w:hAnsi="Times New Roman"/>
                <w:lang w:val="sk-SK"/>
              </w:rPr>
              <w:t xml:space="preserve"> disponibilný zostatok bude predmetom dedenia</w:t>
            </w:r>
            <w:r>
              <w:rPr>
                <w:rFonts w:ascii="Times New Roman" w:hAnsi="Times New Roman"/>
                <w:lang w:val="sk-SK"/>
              </w:rPr>
              <w:t>;</w:t>
            </w:r>
          </w:p>
          <w:p w:rsidR="00267C64" w:rsidP="001920E0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1920E0" w:rsidR="003A1624">
              <w:rPr>
                <w:rFonts w:ascii="Times New Roman" w:hAnsi="Times New Roman"/>
                <w:lang w:val="sk-SK"/>
              </w:rPr>
              <w:t>možnosti zvoliť si vyplácanie dobrovoľných príspevkov zaplatených do systému starobného dôchodkového sporenia formou programového výberu</w:t>
            </w:r>
            <w:r>
              <w:rPr>
                <w:rFonts w:ascii="Times New Roman" w:hAnsi="Times New Roman"/>
                <w:lang w:val="sk-SK"/>
              </w:rPr>
              <w:t>.</w:t>
            </w:r>
          </w:p>
          <w:p w:rsidR="00953292" w:rsidRPr="001920E0" w:rsidP="00267C64">
            <w:pPr>
              <w:bidi w:val="0"/>
              <w:ind w:left="170"/>
              <w:jc w:val="both"/>
              <w:rPr>
                <w:rFonts w:ascii="Times New Roman" w:hAnsi="Times New Roman"/>
                <w:lang w:val="sk-SK"/>
              </w:rPr>
            </w:pPr>
            <w:r w:rsidRPr="001920E0" w:rsidR="00191B63">
              <w:rPr>
                <w:rFonts w:ascii="Times New Roman" w:hAnsi="Times New Roman"/>
                <w:lang w:val="sk-SK"/>
              </w:rPr>
              <w:t xml:space="preserve"> </w:t>
            </w:r>
          </w:p>
          <w:p w:rsidR="00151034" w:rsidP="0015103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Návrh zákona bude mať pozitívny vplyv na úradníkov, ktorí odišli zo služieb </w:t>
            </w:r>
            <w:r w:rsidR="00851329">
              <w:rPr>
                <w:rFonts w:ascii="Times New Roman" w:hAnsi="Times New Roman"/>
                <w:lang w:val="sk-SK"/>
              </w:rPr>
              <w:t>inštitúcie alebo orgánu EÚ</w:t>
            </w:r>
            <w:r>
              <w:rPr>
                <w:rFonts w:ascii="Times New Roman" w:hAnsi="Times New Roman"/>
                <w:lang w:val="sk-SK"/>
              </w:rPr>
              <w:t>, a to z</w:t>
            </w:r>
            <w:r w:rsidR="00BD35DD">
              <w:rPr>
                <w:rFonts w:ascii="Times New Roman" w:hAnsi="Times New Roman"/>
                <w:lang w:val="sk-SK"/>
              </w:rPr>
              <w:t> </w:t>
            </w:r>
            <w:r>
              <w:rPr>
                <w:rFonts w:ascii="Times New Roman" w:hAnsi="Times New Roman"/>
                <w:lang w:val="sk-SK"/>
              </w:rPr>
              <w:t>dôvodu</w:t>
            </w:r>
            <w:r w:rsidR="00BD35DD">
              <w:rPr>
                <w:rFonts w:ascii="Times New Roman" w:hAnsi="Times New Roman"/>
                <w:lang w:val="sk-SK"/>
              </w:rPr>
              <w:t>,</w:t>
            </w:r>
            <w:r>
              <w:rPr>
                <w:rFonts w:ascii="Times New Roman" w:hAnsi="Times New Roman"/>
                <w:lang w:val="sk-SK"/>
              </w:rPr>
              <w:t xml:space="preserve"> že môžu požiadať o prevod poistno-matematického ekvivalentu práv na starobný dôchodok získaných v dôchodkov systéme EÚ do dôchodkového systému </w:t>
            </w:r>
            <w:r w:rsidR="00851329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SR (t. j. uvedený ekvivalent bude zohľadnený pri posudzovaní nároku na starobný dôchodok z dôchodkového systému v SR).</w:t>
            </w:r>
          </w:p>
          <w:p w:rsidR="00E54F52" w:rsidP="0015103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54F52" w:rsidP="0015103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Návrh zákona bude mať pozitívny vplyv na </w:t>
            </w:r>
            <w:r w:rsidR="006C418F">
              <w:rPr>
                <w:rFonts w:ascii="Times New Roman" w:hAnsi="Times New Roman"/>
                <w:lang w:val="sk-SK"/>
              </w:rPr>
              <w:t xml:space="preserve">sporiteľov, ktorí sú </w:t>
            </w:r>
            <w:r>
              <w:rPr>
                <w:rFonts w:ascii="Times New Roman" w:hAnsi="Times New Roman"/>
                <w:lang w:val="sk-SK"/>
              </w:rPr>
              <w:t>poberateľ</w:t>
            </w:r>
            <w:r w:rsidR="006C418F">
              <w:rPr>
                <w:rFonts w:ascii="Times New Roman" w:hAnsi="Times New Roman"/>
                <w:lang w:val="sk-SK"/>
              </w:rPr>
              <w:t>mi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1920E0">
              <w:rPr>
                <w:rFonts w:ascii="Times New Roman" w:hAnsi="Times New Roman"/>
                <w:lang w:val="sk-SK"/>
              </w:rPr>
              <w:t>dôchodkov z osobitného systému sociálneho zabezpečenia policajtov a vojakov ako aj dôchodkov vyplácaných z cudziny</w:t>
            </w:r>
            <w:r w:rsidR="006C418F">
              <w:rPr>
                <w:rFonts w:ascii="Times New Roman" w:hAnsi="Times New Roman"/>
                <w:lang w:val="sk-SK"/>
              </w:rPr>
              <w:t>.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1920E0">
              <w:rPr>
                <w:rFonts w:ascii="Times New Roman" w:hAnsi="Times New Roman"/>
                <w:lang w:val="sk-SK"/>
              </w:rPr>
              <w:t>na účely</w:t>
            </w:r>
            <w:r w:rsidR="006C418F">
              <w:rPr>
                <w:rFonts w:ascii="Times New Roman" w:hAnsi="Times New Roman"/>
                <w:lang w:val="sk-SK"/>
              </w:rPr>
              <w:t xml:space="preserve"> splneni</w:t>
            </w:r>
            <w:r w:rsidR="001920E0">
              <w:rPr>
                <w:rFonts w:ascii="Times New Roman" w:hAnsi="Times New Roman"/>
                <w:lang w:val="sk-SK"/>
              </w:rPr>
              <w:t>a</w:t>
            </w:r>
            <w:r w:rsidR="006C418F">
              <w:rPr>
                <w:rFonts w:ascii="Times New Roman" w:hAnsi="Times New Roman"/>
                <w:lang w:val="sk-SK"/>
              </w:rPr>
              <w:t xml:space="preserve"> podmien</w:t>
            </w:r>
            <w:r w:rsidR="00DE0E13">
              <w:rPr>
                <w:rFonts w:ascii="Times New Roman" w:hAnsi="Times New Roman"/>
                <w:lang w:val="sk-SK"/>
              </w:rPr>
              <w:t>o</w:t>
            </w:r>
            <w:r w:rsidR="006C418F">
              <w:rPr>
                <w:rFonts w:ascii="Times New Roman" w:hAnsi="Times New Roman"/>
                <w:lang w:val="sk-SK"/>
              </w:rPr>
              <w:t>k na vypl</w:t>
            </w:r>
            <w:r w:rsidR="001920E0">
              <w:rPr>
                <w:rFonts w:ascii="Times New Roman" w:hAnsi="Times New Roman"/>
                <w:lang w:val="sk-SK"/>
              </w:rPr>
              <w:t>ácanie</w:t>
            </w:r>
            <w:r w:rsidR="006C418F">
              <w:rPr>
                <w:rFonts w:ascii="Times New Roman" w:hAnsi="Times New Roman"/>
                <w:lang w:val="sk-SK"/>
              </w:rPr>
              <w:t xml:space="preserve"> starobného dôchodku formou programového výberu</w:t>
            </w:r>
            <w:r w:rsidR="008C6533">
              <w:rPr>
                <w:rFonts w:ascii="Times New Roman" w:hAnsi="Times New Roman"/>
                <w:lang w:val="sk-SK"/>
              </w:rPr>
              <w:t>,</w:t>
            </w:r>
            <w:r w:rsidR="006C418F">
              <w:rPr>
                <w:rFonts w:ascii="Times New Roman" w:hAnsi="Times New Roman"/>
                <w:lang w:val="sk-SK"/>
              </w:rPr>
              <w:t xml:space="preserve"> resp. dočasného dôchodku</w:t>
            </w:r>
            <w:r w:rsidR="00DE0E13">
              <w:rPr>
                <w:rFonts w:ascii="Times New Roman" w:hAnsi="Times New Roman"/>
                <w:lang w:val="sk-SK"/>
              </w:rPr>
              <w:t>.</w:t>
            </w:r>
          </w:p>
          <w:p w:rsidR="00EC28DC" w:rsidP="0015103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05A29" w:rsidP="00305A29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B72A12">
              <w:rPr>
                <w:rFonts w:ascii="Times New Roman" w:hAnsi="Times New Roman"/>
                <w:b/>
                <w:lang w:val="sk-SK"/>
              </w:rPr>
              <w:t xml:space="preserve">Návrh zákona bude mať </w:t>
            </w:r>
            <w:r>
              <w:rPr>
                <w:rFonts w:ascii="Times New Roman" w:hAnsi="Times New Roman"/>
                <w:b/>
                <w:lang w:val="sk-SK"/>
              </w:rPr>
              <w:t>negatívny</w:t>
            </w:r>
            <w:r w:rsidRPr="00B72A12">
              <w:rPr>
                <w:rFonts w:ascii="Times New Roman" w:hAnsi="Times New Roman"/>
                <w:b/>
                <w:lang w:val="sk-SK"/>
              </w:rPr>
              <w:t xml:space="preserve"> vplyv na všetkých sporiteľov </w:t>
            </w:r>
            <w:r>
              <w:rPr>
                <w:rFonts w:ascii="Times New Roman" w:hAnsi="Times New Roman"/>
                <w:b/>
                <w:lang w:val="sk-SK"/>
              </w:rPr>
              <w:t xml:space="preserve">v systéme </w:t>
            </w:r>
            <w:r w:rsidRPr="00B72A12">
              <w:rPr>
                <w:rFonts w:ascii="Times New Roman" w:hAnsi="Times New Roman"/>
                <w:b/>
                <w:lang w:val="sk-SK"/>
              </w:rPr>
              <w:t>starobného dôchodkového sporenia z dôvodu:</w:t>
            </w:r>
          </w:p>
          <w:p w:rsidR="00F120DD" w:rsidP="00305A29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305A29" w:rsidRPr="00F120DD" w:rsidP="00F120DD">
            <w:pPr>
              <w:pStyle w:val="ListParagraph"/>
              <w:numPr>
                <w:numId w:val="34"/>
              </w:numPr>
              <w:bidi w:val="0"/>
              <w:ind w:left="130" w:hanging="141"/>
              <w:jc w:val="both"/>
              <w:rPr>
                <w:rFonts w:ascii="Times New Roman" w:hAnsi="Times New Roman"/>
              </w:rPr>
            </w:pPr>
            <w:r w:rsidR="00F120DD">
              <w:rPr>
                <w:rFonts w:ascii="Times New Roman" w:hAnsi="Times New Roman"/>
              </w:rPr>
              <w:t>s</w:t>
            </w:r>
            <w:r w:rsidRPr="00F120DD">
              <w:rPr>
                <w:rFonts w:ascii="Times New Roman" w:hAnsi="Times New Roman"/>
              </w:rPr>
              <w:t>prísneni</w:t>
            </w:r>
            <w:r w:rsidR="00F120DD">
              <w:rPr>
                <w:rFonts w:ascii="Times New Roman" w:hAnsi="Times New Roman"/>
              </w:rPr>
              <w:t>a</w:t>
            </w:r>
            <w:r w:rsidRPr="00F120DD">
              <w:rPr>
                <w:rFonts w:ascii="Times New Roman" w:hAnsi="Times New Roman"/>
              </w:rPr>
              <w:t xml:space="preserve"> podmienok na vyplácanie predčasného starobného dôchodku zo sociálneho poistenia (sledovanie úhrnu </w:t>
            </w:r>
            <w:r w:rsidR="00F120DD">
              <w:rPr>
                <w:rFonts w:ascii="Times New Roman" w:hAnsi="Times New Roman"/>
              </w:rPr>
              <w:t>predčasného starobného dôchodku z</w:t>
            </w:r>
            <w:r w:rsidR="00A16B30">
              <w:rPr>
                <w:rFonts w:ascii="Times New Roman" w:hAnsi="Times New Roman"/>
              </w:rPr>
              <w:t>o sociálneho poistenia</w:t>
            </w:r>
            <w:r w:rsidR="00F120DD">
              <w:rPr>
                <w:rFonts w:ascii="Times New Roman" w:hAnsi="Times New Roman"/>
              </w:rPr>
              <w:t xml:space="preserve"> a zo systému starobného dôchodkového sporenia najmenej</w:t>
            </w:r>
            <w:r w:rsidRPr="00F120DD">
              <w:rPr>
                <w:rFonts w:ascii="Times New Roman" w:hAnsi="Times New Roman"/>
              </w:rPr>
              <w:t xml:space="preserve"> vo výške 1,2</w:t>
            </w:r>
            <w:r w:rsidR="00B869F1">
              <w:rPr>
                <w:rFonts w:ascii="Times New Roman" w:hAnsi="Times New Roman"/>
              </w:rPr>
              <w:t>-</w:t>
            </w:r>
            <w:r w:rsidRPr="00F120DD">
              <w:rPr>
                <w:rFonts w:ascii="Times New Roman" w:hAnsi="Times New Roman"/>
              </w:rPr>
              <w:t>náso</w:t>
            </w:r>
            <w:r w:rsidR="00F120DD">
              <w:rPr>
                <w:rFonts w:ascii="Times New Roman" w:hAnsi="Times New Roman"/>
              </w:rPr>
              <w:t>bku sumy životného minima pre jednu plnoletú fyzickú osobu</w:t>
            </w:r>
            <w:r w:rsidR="00953292">
              <w:rPr>
                <w:rFonts w:ascii="Times New Roman" w:hAnsi="Times New Roman"/>
              </w:rPr>
              <w:t>)</w:t>
            </w:r>
            <w:r w:rsidR="00F120DD">
              <w:rPr>
                <w:rFonts w:ascii="Times New Roman" w:hAnsi="Times New Roman"/>
              </w:rPr>
              <w:t>;</w:t>
            </w:r>
          </w:p>
          <w:p w:rsidR="00305A29" w:rsidRPr="00972667" w:rsidP="00F120DD">
            <w:pPr>
              <w:pStyle w:val="ListParagraph"/>
              <w:numPr>
                <w:numId w:val="34"/>
              </w:numPr>
              <w:bidi w:val="0"/>
              <w:ind w:left="130" w:hanging="141"/>
              <w:jc w:val="both"/>
              <w:rPr>
                <w:rFonts w:ascii="Times New Roman" w:hAnsi="Times New Roman"/>
              </w:rPr>
            </w:pPr>
            <w:r w:rsidRPr="00972667" w:rsidR="00F120DD">
              <w:rPr>
                <w:rFonts w:ascii="Times New Roman" w:hAnsi="Times New Roman"/>
              </w:rPr>
              <w:t>s</w:t>
            </w:r>
            <w:r w:rsidRPr="00972667">
              <w:rPr>
                <w:rFonts w:ascii="Times New Roman" w:hAnsi="Times New Roman"/>
              </w:rPr>
              <w:t>prísneni</w:t>
            </w:r>
            <w:r w:rsidRPr="00972667" w:rsidR="00F120DD">
              <w:rPr>
                <w:rFonts w:ascii="Times New Roman" w:hAnsi="Times New Roman"/>
              </w:rPr>
              <w:t>a</w:t>
            </w:r>
            <w:r w:rsidRPr="00972667">
              <w:rPr>
                <w:rFonts w:ascii="Times New Roman" w:hAnsi="Times New Roman"/>
              </w:rPr>
              <w:t xml:space="preserve"> podmienok vyplácania dôchodku </w:t>
            </w:r>
            <w:r w:rsidRPr="00972667" w:rsidR="00F120DD">
              <w:rPr>
                <w:rFonts w:ascii="Times New Roman" w:hAnsi="Times New Roman"/>
              </w:rPr>
              <w:t xml:space="preserve">formou </w:t>
            </w:r>
            <w:r w:rsidRPr="00972667">
              <w:rPr>
                <w:rFonts w:ascii="Times New Roman" w:hAnsi="Times New Roman"/>
              </w:rPr>
              <w:t>programov</w:t>
            </w:r>
            <w:r w:rsidRPr="00972667" w:rsidR="00A16B30">
              <w:rPr>
                <w:rFonts w:ascii="Times New Roman" w:hAnsi="Times New Roman"/>
              </w:rPr>
              <w:t xml:space="preserve">ého </w:t>
            </w:r>
            <w:r w:rsidRPr="00972667">
              <w:rPr>
                <w:rFonts w:ascii="Times New Roman" w:hAnsi="Times New Roman"/>
              </w:rPr>
              <w:t>výber</w:t>
            </w:r>
            <w:r w:rsidRPr="00972667" w:rsidR="00A16B30">
              <w:rPr>
                <w:rFonts w:ascii="Times New Roman" w:hAnsi="Times New Roman"/>
              </w:rPr>
              <w:t>u</w:t>
            </w:r>
            <w:r w:rsidRPr="00972667">
              <w:rPr>
                <w:rFonts w:ascii="Times New Roman" w:hAnsi="Times New Roman"/>
              </w:rPr>
              <w:t xml:space="preserve"> </w:t>
            </w:r>
            <w:r w:rsidRPr="00972667" w:rsidR="00F120DD">
              <w:rPr>
                <w:rFonts w:ascii="Times New Roman" w:hAnsi="Times New Roman"/>
              </w:rPr>
              <w:t>zo systému starobného dôchodkového sporenia;</w:t>
            </w:r>
          </w:p>
          <w:p w:rsidR="00112FEE" w:rsidP="00F120DD">
            <w:pPr>
              <w:pStyle w:val="ListParagraph"/>
              <w:numPr>
                <w:numId w:val="34"/>
              </w:numPr>
              <w:bidi w:val="0"/>
              <w:ind w:left="130" w:hanging="141"/>
              <w:jc w:val="both"/>
              <w:rPr>
                <w:rFonts w:ascii="Times New Roman" w:hAnsi="Times New Roman"/>
              </w:rPr>
            </w:pPr>
            <w:r w:rsidR="00F120DD">
              <w:rPr>
                <w:rFonts w:ascii="Times New Roman" w:hAnsi="Times New Roman"/>
              </w:rPr>
              <w:t>nemožnosti</w:t>
            </w:r>
            <w:r w:rsidRPr="00F120DD" w:rsidR="0062438B">
              <w:rPr>
                <w:rFonts w:ascii="Times New Roman" w:hAnsi="Times New Roman"/>
              </w:rPr>
              <w:t xml:space="preserve"> prestupovať počas vyplácania programového výberu</w:t>
            </w:r>
            <w:r w:rsidR="00F120DD">
              <w:rPr>
                <w:rFonts w:ascii="Times New Roman" w:hAnsi="Times New Roman"/>
              </w:rPr>
              <w:t>, resp.</w:t>
            </w:r>
            <w:r w:rsidRPr="00F120DD" w:rsidR="0062438B">
              <w:rPr>
                <w:rFonts w:ascii="Times New Roman" w:hAnsi="Times New Roman"/>
              </w:rPr>
              <w:t xml:space="preserve">  vôbec počas výplatnej fázy</w:t>
            </w:r>
            <w:r>
              <w:rPr>
                <w:rFonts w:ascii="Times New Roman" w:hAnsi="Times New Roman"/>
              </w:rPr>
              <w:t>;</w:t>
            </w:r>
          </w:p>
          <w:p w:rsidR="00112FEE" w:rsidP="00112FEE">
            <w:pPr>
              <w:numPr>
                <w:numId w:val="32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pri výpočte dôchodku zo systému starobného dôchodkového sporenia sa nebude posudzovať individuálne riziko sporiteľa, t. j. nebude sa prihliadať napr. na zdravotný stav sporiteľa (negatívny vplyv pre sporiteľov s nepriaznivým zdravotným stavom).</w:t>
            </w:r>
          </w:p>
          <w:p w:rsidR="00305A29" w:rsidP="00112FEE">
            <w:pPr>
              <w:pStyle w:val="ListParagraph"/>
              <w:bidi w:val="0"/>
              <w:ind w:left="13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1B6" w:rsidP="00C731B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EC28DC">
              <w:rPr>
                <w:rFonts w:ascii="Times New Roman" w:hAnsi="Times New Roman"/>
                <w:lang w:val="sk-SK"/>
              </w:rPr>
              <w:t xml:space="preserve">V roku 2015 bude mať nárok na nákup </w:t>
            </w:r>
            <w:r w:rsidR="00DE582D">
              <w:rPr>
                <w:rFonts w:ascii="Times New Roman" w:hAnsi="Times New Roman"/>
                <w:lang w:val="sk-SK"/>
              </w:rPr>
              <w:t xml:space="preserve">doživotného </w:t>
            </w:r>
            <w:r w:rsidR="00AF6E87">
              <w:rPr>
                <w:rFonts w:ascii="Times New Roman" w:hAnsi="Times New Roman"/>
                <w:lang w:val="sk-SK"/>
              </w:rPr>
              <w:t xml:space="preserve">dôchodku </w:t>
            </w:r>
            <w:r w:rsidR="00833878">
              <w:rPr>
                <w:rFonts w:ascii="Times New Roman" w:hAnsi="Times New Roman"/>
                <w:lang w:val="sk-SK"/>
              </w:rPr>
              <w:t>z</w:t>
            </w:r>
            <w:r w:rsidR="00EC28DC">
              <w:rPr>
                <w:rFonts w:ascii="Times New Roman" w:hAnsi="Times New Roman"/>
                <w:lang w:val="sk-SK"/>
              </w:rPr>
              <w:t xml:space="preserve"> poisťovne približne 3 tisíc </w:t>
            </w:r>
            <w:r w:rsidRPr="005E4C81" w:rsidR="00EC28DC">
              <w:rPr>
                <w:rFonts w:ascii="Times New Roman" w:hAnsi="Times New Roman"/>
                <w:lang w:val="sk-SK"/>
              </w:rPr>
              <w:t>sporiteľov (s následným každoročným rastom počtu o</w:t>
            </w:r>
            <w:r w:rsidRPr="005E4C81" w:rsidR="005E4C81">
              <w:rPr>
                <w:rFonts w:ascii="Times New Roman" w:hAnsi="Times New Roman"/>
                <w:lang w:val="sk-SK"/>
              </w:rPr>
              <w:t xml:space="preserve"> 2 tisíc </w:t>
            </w:r>
            <w:r w:rsidRPr="005E4C81" w:rsidR="00EC28DC">
              <w:rPr>
                <w:rFonts w:ascii="Times New Roman" w:hAnsi="Times New Roman"/>
                <w:lang w:val="sk-SK"/>
              </w:rPr>
              <w:t xml:space="preserve">poberateľov), ktorí budú poberať </w:t>
            </w:r>
            <w:r w:rsidRPr="005E4C81" w:rsidR="00AF6E87">
              <w:rPr>
                <w:rFonts w:ascii="Times New Roman" w:hAnsi="Times New Roman"/>
                <w:lang w:val="sk-SK"/>
              </w:rPr>
              <w:t xml:space="preserve">dôchodok </w:t>
            </w:r>
            <w:r w:rsidRPr="005E4C81" w:rsidR="00EC28DC">
              <w:rPr>
                <w:rFonts w:ascii="Times New Roman" w:hAnsi="Times New Roman"/>
                <w:lang w:val="sk-SK"/>
              </w:rPr>
              <w:t xml:space="preserve">v priemernej </w:t>
            </w:r>
            <w:r w:rsidR="00694F79">
              <w:rPr>
                <w:rFonts w:ascii="Times New Roman" w:hAnsi="Times New Roman"/>
                <w:lang w:val="sk-SK"/>
              </w:rPr>
              <w:t xml:space="preserve">mesačnej </w:t>
            </w:r>
            <w:r w:rsidRPr="005E4C81" w:rsidR="00EC28DC">
              <w:rPr>
                <w:rFonts w:ascii="Times New Roman" w:hAnsi="Times New Roman"/>
                <w:lang w:val="sk-SK"/>
              </w:rPr>
              <w:t xml:space="preserve">výške približne </w:t>
            </w:r>
            <w:r w:rsidRPr="005E4C81" w:rsidR="005E4C81">
              <w:rPr>
                <w:rFonts w:ascii="Times New Roman" w:hAnsi="Times New Roman"/>
                <w:lang w:val="sk-SK"/>
              </w:rPr>
              <w:t>23,4</w:t>
            </w:r>
            <w:r w:rsidR="005E4C81">
              <w:rPr>
                <w:rFonts w:ascii="Times New Roman" w:hAnsi="Times New Roman"/>
                <w:lang w:val="sk-SK"/>
              </w:rPr>
              <w:t>0</w:t>
            </w:r>
            <w:r w:rsidRPr="005E4C81" w:rsidR="00EC28DC">
              <w:rPr>
                <w:rFonts w:ascii="Times New Roman" w:hAnsi="Times New Roman"/>
                <w:lang w:val="sk-SK"/>
              </w:rPr>
              <w:t xml:space="preserve"> eur</w:t>
            </w:r>
            <w:r w:rsidRPr="005E4C81" w:rsidR="005E4C81">
              <w:rPr>
                <w:rFonts w:ascii="Times New Roman" w:hAnsi="Times New Roman"/>
                <w:lang w:val="sk-SK"/>
              </w:rPr>
              <w:t>a</w:t>
            </w:r>
            <w:r>
              <w:rPr>
                <w:rStyle w:val="FootnoteReference"/>
                <w:rFonts w:ascii="Times New Roman" w:hAnsi="Times New Roman"/>
                <w:rtl w:val="0"/>
                <w:lang w:val="sk-SK"/>
              </w:rPr>
              <w:footnoteReference w:id="2"/>
            </w:r>
            <w:r w:rsidRPr="005E4C81" w:rsidR="00EC28DC">
              <w:rPr>
                <w:rFonts w:ascii="Times New Roman" w:hAnsi="Times New Roman"/>
                <w:lang w:val="sk-SK"/>
              </w:rPr>
              <w:t xml:space="preserve">. Uvedená výška dôchodku </w:t>
            </w:r>
            <w:r w:rsidRPr="005E4C81" w:rsidR="00F956E0">
              <w:rPr>
                <w:rFonts w:ascii="Times New Roman" w:hAnsi="Times New Roman"/>
                <w:lang w:val="sk-SK"/>
              </w:rPr>
              <w:t xml:space="preserve">predstavuje </w:t>
            </w:r>
            <w:r w:rsidRPr="005E4C81" w:rsidR="00EC28DC">
              <w:rPr>
                <w:rFonts w:ascii="Times New Roman" w:hAnsi="Times New Roman"/>
                <w:lang w:val="sk-SK"/>
              </w:rPr>
              <w:t xml:space="preserve">časť dôchodku výlučne zo </w:t>
            </w:r>
            <w:r w:rsidRPr="005E4C81" w:rsidR="00F956E0">
              <w:rPr>
                <w:rFonts w:ascii="Times New Roman" w:hAnsi="Times New Roman"/>
                <w:lang w:val="sk-SK"/>
              </w:rPr>
              <w:t xml:space="preserve">systému </w:t>
            </w:r>
            <w:r w:rsidRPr="005E4C81" w:rsidR="00EC28DC">
              <w:rPr>
                <w:rFonts w:ascii="Times New Roman" w:hAnsi="Times New Roman"/>
                <w:lang w:val="sk-SK"/>
              </w:rPr>
              <w:t>starobného</w:t>
            </w:r>
            <w:r w:rsidR="00EC28DC">
              <w:rPr>
                <w:rFonts w:ascii="Times New Roman" w:hAnsi="Times New Roman"/>
                <w:lang w:val="sk-SK"/>
              </w:rPr>
              <w:t xml:space="preserve"> dôchodkového sporenia. Na začiatku budú dôchodky zo </w:t>
            </w:r>
            <w:r w:rsidR="00F956E0">
              <w:rPr>
                <w:rFonts w:ascii="Times New Roman" w:hAnsi="Times New Roman"/>
                <w:lang w:val="sk-SK"/>
              </w:rPr>
              <w:t xml:space="preserve">systému </w:t>
            </w:r>
            <w:r w:rsidR="00EC28DC">
              <w:rPr>
                <w:rFonts w:ascii="Times New Roman" w:hAnsi="Times New Roman"/>
                <w:lang w:val="sk-SK"/>
              </w:rPr>
              <w:t xml:space="preserve">starobného dôchodkového sporenia tvoriť </w:t>
            </w:r>
            <w:r w:rsidR="00F956E0">
              <w:rPr>
                <w:rFonts w:ascii="Times New Roman" w:hAnsi="Times New Roman"/>
                <w:lang w:val="sk-SK"/>
              </w:rPr>
              <w:t xml:space="preserve">menšiu </w:t>
            </w:r>
            <w:r w:rsidR="00EC28DC">
              <w:rPr>
                <w:rFonts w:ascii="Times New Roman" w:hAnsi="Times New Roman"/>
                <w:lang w:val="sk-SK"/>
              </w:rPr>
              <w:t>časť z celkového dôchodku</w:t>
            </w:r>
            <w:r w:rsidR="00F956E0">
              <w:rPr>
                <w:rFonts w:ascii="Times New Roman" w:hAnsi="Times New Roman"/>
                <w:lang w:val="sk-SK"/>
              </w:rPr>
              <w:t xml:space="preserve"> poistenca a sporiteľa</w:t>
            </w:r>
            <w:r w:rsidR="00EC28DC">
              <w:rPr>
                <w:rFonts w:ascii="Times New Roman" w:hAnsi="Times New Roman"/>
                <w:lang w:val="sk-SK"/>
              </w:rPr>
              <w:t xml:space="preserve"> </w:t>
            </w:r>
            <w:r w:rsidR="00AF6E87">
              <w:rPr>
                <w:rFonts w:ascii="Times New Roman" w:hAnsi="Times New Roman"/>
                <w:lang w:val="sk-SK"/>
              </w:rPr>
              <w:t xml:space="preserve"> (</w:t>
            </w:r>
            <w:r w:rsidR="00440E25">
              <w:rPr>
                <w:rFonts w:ascii="Times New Roman" w:hAnsi="Times New Roman"/>
                <w:lang w:val="sk-SK"/>
              </w:rPr>
              <w:t xml:space="preserve">z dôvodu </w:t>
            </w:r>
            <w:r w:rsidR="00AA0E43">
              <w:rPr>
                <w:rFonts w:ascii="Times New Roman" w:hAnsi="Times New Roman"/>
                <w:lang w:val="sk-SK"/>
              </w:rPr>
              <w:t>prevahy  </w:t>
            </w:r>
            <w:r w:rsidR="00AF6E87">
              <w:rPr>
                <w:rFonts w:ascii="Times New Roman" w:hAnsi="Times New Roman"/>
                <w:lang w:val="sk-SK"/>
              </w:rPr>
              <w:t>d</w:t>
            </w:r>
            <w:r w:rsidR="00AA0E43">
              <w:rPr>
                <w:rFonts w:ascii="Times New Roman" w:hAnsi="Times New Roman"/>
                <w:lang w:val="sk-SK"/>
              </w:rPr>
              <w:t>ĺžky o</w:t>
            </w:r>
            <w:r w:rsidR="00AF6E87">
              <w:rPr>
                <w:rFonts w:ascii="Times New Roman" w:hAnsi="Times New Roman"/>
                <w:lang w:val="sk-SK"/>
              </w:rPr>
              <w:t>bdob</w:t>
            </w:r>
            <w:r w:rsidR="00440E25">
              <w:rPr>
                <w:rFonts w:ascii="Times New Roman" w:hAnsi="Times New Roman"/>
                <w:lang w:val="sk-SK"/>
              </w:rPr>
              <w:t>ia</w:t>
            </w:r>
            <w:r w:rsidR="00AF6E87">
              <w:rPr>
                <w:rFonts w:ascii="Times New Roman" w:hAnsi="Times New Roman"/>
                <w:lang w:val="sk-SK"/>
              </w:rPr>
              <w:t xml:space="preserve"> platenia poistného na dôchodkové poistenie </w:t>
            </w:r>
            <w:r w:rsidR="00440E25">
              <w:rPr>
                <w:rFonts w:ascii="Times New Roman" w:hAnsi="Times New Roman"/>
                <w:lang w:val="sk-SK"/>
              </w:rPr>
              <w:t xml:space="preserve">oproti obdobiu platenia </w:t>
            </w:r>
            <w:r w:rsidR="00F956E0">
              <w:rPr>
                <w:rFonts w:ascii="Times New Roman" w:hAnsi="Times New Roman"/>
                <w:lang w:val="sk-SK"/>
              </w:rPr>
              <w:t xml:space="preserve">príspevkov </w:t>
            </w:r>
            <w:r w:rsidR="00AF6E87">
              <w:rPr>
                <w:rFonts w:ascii="Times New Roman" w:hAnsi="Times New Roman"/>
                <w:lang w:val="sk-SK"/>
              </w:rPr>
              <w:t>na starobné dôchodkové sporenie)</w:t>
            </w:r>
            <w:r w:rsidR="00EC28DC">
              <w:rPr>
                <w:rFonts w:ascii="Times New Roman" w:hAnsi="Times New Roman"/>
                <w:lang w:val="sk-SK"/>
              </w:rPr>
              <w:t>.</w:t>
            </w:r>
            <w:r>
              <w:rPr>
                <w:rFonts w:ascii="Times New Roman" w:hAnsi="Times New Roman"/>
                <w:lang w:val="sk-SK"/>
              </w:rPr>
              <w:t xml:space="preserve"> V prípade, žeby nedošlo k vypusteniu minimálneho obdobia dôchodkového sporenia pre vyplácanie starobného dôchodku zo systému starobného dôchodkového sporenia, nárok na nákup doživotného dôchodku z poisťovne by malo približne 800 sporiteľov, ktorí by poberali dôchodok v priemernej mesačnej výške približne 45,90 eura.</w:t>
            </w:r>
          </w:p>
          <w:p w:rsidR="00E56B6B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56B6B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56B6B" w:rsidRPr="006E196D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B134C1">
              <w:rPr>
                <w:rFonts w:ascii="Times New Roman" w:hAnsi="Times New Roman"/>
                <w:lang w:val="sk-SK"/>
              </w:rPr>
              <w:t>Z náhodného výberu 1 428 sporiteľov</w:t>
            </w:r>
            <w:r>
              <w:rPr>
                <w:rStyle w:val="FootnoteReference"/>
                <w:rFonts w:ascii="Times New Roman" w:hAnsi="Times New Roman"/>
                <w:rtl w:val="0"/>
                <w:lang w:val="sk-SK"/>
              </w:rPr>
              <w:footnoteReference w:id="3"/>
            </w:r>
            <w:r w:rsidRPr="00B134C1">
              <w:rPr>
                <w:rFonts w:ascii="Times New Roman" w:hAnsi="Times New Roman"/>
                <w:lang w:val="sk-SK"/>
              </w:rPr>
              <w:t xml:space="preserve"> sa pre</w:t>
            </w:r>
            <w:r w:rsidRPr="00B134C1" w:rsidR="006E196D">
              <w:rPr>
                <w:rFonts w:ascii="Times New Roman" w:hAnsi="Times New Roman"/>
                <w:lang w:val="sk-SK"/>
              </w:rPr>
              <w:t>d</w:t>
            </w:r>
            <w:r w:rsidRPr="00B134C1">
              <w:rPr>
                <w:rFonts w:ascii="Times New Roman" w:hAnsi="Times New Roman"/>
                <w:lang w:val="sk-SK"/>
              </w:rPr>
              <w:t xml:space="preserve">pokladá, že v roku 2015  splní podmienky programového výberu </w:t>
            </w:r>
            <w:r w:rsidRPr="00B134C1" w:rsidR="006E196D">
              <w:rPr>
                <w:rFonts w:ascii="Times New Roman" w:hAnsi="Times New Roman"/>
                <w:lang w:val="sk-SK"/>
              </w:rPr>
              <w:t xml:space="preserve">približne </w:t>
            </w:r>
            <w:r w:rsidRPr="00B134C1" w:rsidR="00B134C1">
              <w:rPr>
                <w:rFonts w:ascii="Times New Roman" w:hAnsi="Times New Roman"/>
                <w:color w:val="000000" w:themeColor="tx1" w:themeShade="FF"/>
                <w:lang w:val="sk-SK"/>
              </w:rPr>
              <w:t>2,2 %</w:t>
            </w:r>
            <w:r w:rsidRPr="00B134C1">
              <w:rPr>
                <w:rFonts w:ascii="Times New Roman" w:hAnsi="Times New Roman"/>
                <w:lang w:val="sk-SK"/>
              </w:rPr>
              <w:t xml:space="preserve"> sporiteľov</w:t>
            </w:r>
            <w:r w:rsidRPr="00B134C1" w:rsidR="004C1CAF">
              <w:rPr>
                <w:rFonts w:ascii="Times New Roman" w:hAnsi="Times New Roman"/>
                <w:lang w:val="sk-SK"/>
              </w:rPr>
              <w:t xml:space="preserve">, ktorých výška dôchodku z I. piliera </w:t>
            </w:r>
            <w:r w:rsidRPr="00B134C1" w:rsidR="00972667">
              <w:rPr>
                <w:rFonts w:ascii="Times New Roman" w:hAnsi="Times New Roman"/>
                <w:lang w:val="sk-SK"/>
              </w:rPr>
              <w:t>bude najmenej v sume 4-násobku sumy životného minima pre jednu plnoletú fyzickú osobu</w:t>
            </w:r>
            <w:r w:rsidR="00972667">
              <w:rPr>
                <w:rFonts w:ascii="Times New Roman" w:hAnsi="Times New Roman"/>
                <w:lang w:val="sk-SK"/>
              </w:rPr>
              <w:t>, resp. celková výška dôchodku z I. piliera</w:t>
            </w:r>
            <w:r w:rsidRPr="00B134C1" w:rsidR="00972667">
              <w:rPr>
                <w:rFonts w:ascii="Times New Roman" w:hAnsi="Times New Roman"/>
                <w:lang w:val="sk-SK"/>
              </w:rPr>
              <w:t xml:space="preserve"> </w:t>
            </w:r>
            <w:r w:rsidRPr="00B134C1" w:rsidR="004C1CAF">
              <w:rPr>
                <w:rFonts w:ascii="Times New Roman" w:hAnsi="Times New Roman"/>
                <w:lang w:val="sk-SK"/>
              </w:rPr>
              <w:t>a zo systému starobného dôchodkového sporenia bude najmenej v sume 4-násobku sumy životného minima pre jednu plnoletú fyzickú osobu</w:t>
            </w:r>
            <w:r w:rsidRPr="00B134C1" w:rsidR="00C34AD1">
              <w:rPr>
                <w:rFonts w:ascii="Times New Roman" w:hAnsi="Times New Roman"/>
                <w:lang w:val="sk-SK"/>
              </w:rPr>
              <w:t xml:space="preserve">. </w:t>
            </w:r>
            <w:r w:rsidRPr="00AC1803" w:rsidR="001703A3">
              <w:rPr>
                <w:rFonts w:ascii="Times New Roman" w:hAnsi="Times New Roman"/>
                <w:lang w:val="sk-SK"/>
              </w:rPr>
              <w:t>Bez zmeny podmienok nároku na programový výber by z rovnakej vzorky splnilo podmienku v roku 2015</w:t>
            </w:r>
            <w:r w:rsidRPr="00AC1803" w:rsidR="006E196D">
              <w:rPr>
                <w:rFonts w:ascii="Times New Roman" w:hAnsi="Times New Roman"/>
                <w:lang w:val="sk-SK"/>
              </w:rPr>
              <w:t xml:space="preserve"> približne</w:t>
            </w:r>
            <w:r w:rsidRPr="00AC1803" w:rsidR="001703A3">
              <w:rPr>
                <w:rFonts w:ascii="Times New Roman" w:hAnsi="Times New Roman"/>
                <w:lang w:val="sk-SK"/>
              </w:rPr>
              <w:t xml:space="preserve"> </w:t>
            </w:r>
            <w:r w:rsidRPr="00AC1803" w:rsidR="006F3CB5">
              <w:rPr>
                <w:rFonts w:ascii="Times New Roman" w:hAnsi="Times New Roman"/>
                <w:lang w:val="sk-SK"/>
              </w:rPr>
              <w:t>1,3 %</w:t>
            </w:r>
            <w:r w:rsidRPr="00AC1803" w:rsidR="001703A3">
              <w:rPr>
                <w:rFonts w:ascii="Times New Roman" w:hAnsi="Times New Roman"/>
                <w:lang w:val="sk-SK"/>
              </w:rPr>
              <w:t xml:space="preserve"> sporiteľov</w:t>
            </w:r>
            <w:r w:rsidRPr="00AC1803" w:rsidR="00C34AD1">
              <w:rPr>
                <w:rFonts w:ascii="Times New Roman" w:hAnsi="Times New Roman"/>
                <w:lang w:val="sk-SK"/>
              </w:rPr>
              <w:t>.</w:t>
            </w:r>
            <w:r w:rsidRPr="00AC1803" w:rsidR="00D43A3D">
              <w:rPr>
                <w:rFonts w:ascii="Times New Roman" w:hAnsi="Times New Roman"/>
                <w:lang w:val="sk-SK"/>
              </w:rPr>
              <w:t xml:space="preserve"> </w:t>
            </w:r>
          </w:p>
          <w:p w:rsidR="00EC28DC" w:rsidP="00D43A3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EC28DC" w:rsidP="00F21AC7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Návrhom zákona sa sporiteľom umožní vybrať si </w:t>
            </w:r>
            <w:r w:rsidR="00AF6E87">
              <w:rPr>
                <w:rFonts w:ascii="Times New Roman" w:hAnsi="Times New Roman"/>
                <w:lang w:val="sk-SK"/>
              </w:rPr>
              <w:t xml:space="preserve">starobný, resp. predčasný starobný </w:t>
            </w:r>
            <w:r>
              <w:rPr>
                <w:rFonts w:ascii="Times New Roman" w:hAnsi="Times New Roman"/>
                <w:lang w:val="sk-SK"/>
              </w:rPr>
              <w:t xml:space="preserve">dôchodok zo starobného dôchodkového sporenia </w:t>
            </w:r>
            <w:r w:rsidR="00AF6E87">
              <w:rPr>
                <w:rFonts w:ascii="Times New Roman" w:hAnsi="Times New Roman"/>
                <w:lang w:val="sk-SK"/>
              </w:rPr>
              <w:t xml:space="preserve">v nasledovných formách: </w:t>
            </w:r>
          </w:p>
          <w:p w:rsidR="00EC28DC" w:rsidP="00A079C1">
            <w:pPr>
              <w:numPr>
                <w:numId w:val="30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doživotný dôchodok</w:t>
            </w:r>
            <w:r w:rsidR="006C531B">
              <w:rPr>
                <w:rFonts w:ascii="Times New Roman" w:hAnsi="Times New Roman"/>
                <w:lang w:val="sk-SK"/>
              </w:rPr>
              <w:t xml:space="preserve"> (nová právna úprava v prípade predčasného starobného dôchodku),</w:t>
            </w:r>
          </w:p>
          <w:p w:rsidR="00EC28DC" w:rsidP="00A079C1">
            <w:pPr>
              <w:numPr>
                <w:numId w:val="30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dočasný dôchodok</w:t>
            </w:r>
            <w:r w:rsidR="006C531B">
              <w:rPr>
                <w:rFonts w:ascii="Times New Roman" w:hAnsi="Times New Roman"/>
                <w:lang w:val="sk-SK"/>
              </w:rPr>
              <w:t xml:space="preserve"> (</w:t>
            </w:r>
            <w:r w:rsidR="009F12DC">
              <w:rPr>
                <w:rFonts w:ascii="Times New Roman" w:hAnsi="Times New Roman"/>
                <w:lang w:val="sk-SK"/>
              </w:rPr>
              <w:t xml:space="preserve">zavádza sa nová </w:t>
            </w:r>
            <w:r w:rsidR="000B075F">
              <w:rPr>
                <w:rFonts w:ascii="Times New Roman" w:hAnsi="Times New Roman"/>
                <w:lang w:val="sk-SK"/>
              </w:rPr>
              <w:t xml:space="preserve">forma </w:t>
            </w:r>
            <w:r w:rsidR="009F12DC">
              <w:rPr>
                <w:rFonts w:ascii="Times New Roman" w:hAnsi="Times New Roman"/>
                <w:lang w:val="sk-SK"/>
              </w:rPr>
              <w:t>dôchodkov</w:t>
            </w:r>
            <w:r w:rsidR="000B075F">
              <w:rPr>
                <w:rFonts w:ascii="Times New Roman" w:hAnsi="Times New Roman"/>
                <w:lang w:val="sk-SK"/>
              </w:rPr>
              <w:t>ej dávky</w:t>
            </w:r>
            <w:r w:rsidR="009F12DC">
              <w:rPr>
                <w:rFonts w:ascii="Times New Roman" w:hAnsi="Times New Roman"/>
                <w:lang w:val="sk-SK"/>
              </w:rPr>
              <w:t xml:space="preserve"> v systéme starobného dôchodkového sporenia</w:t>
            </w:r>
            <w:r w:rsidR="006C531B">
              <w:rPr>
                <w:rFonts w:ascii="Times New Roman" w:hAnsi="Times New Roman"/>
                <w:lang w:val="sk-SK"/>
              </w:rPr>
              <w:t>),</w:t>
            </w:r>
          </w:p>
          <w:p w:rsidR="00EC28DC" w:rsidP="00A079C1">
            <w:pPr>
              <w:numPr>
                <w:numId w:val="30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programový výber</w:t>
            </w:r>
            <w:r w:rsidR="006C531B">
              <w:rPr>
                <w:rFonts w:ascii="Times New Roman" w:hAnsi="Times New Roman"/>
                <w:lang w:val="sk-SK"/>
              </w:rPr>
              <w:t xml:space="preserve"> (nová právna úprava v porovnaní so súčasným právnym stavom),</w:t>
            </w:r>
          </w:p>
          <w:p w:rsidR="00EC28DC" w:rsidP="00A079C1">
            <w:pPr>
              <w:numPr>
                <w:numId w:val="30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pozostalostné dôchodky (vdovský, vdovecký, sirotský</w:t>
            </w:r>
            <w:r w:rsidR="009F12DC">
              <w:rPr>
                <w:rFonts w:ascii="Times New Roman" w:hAnsi="Times New Roman"/>
                <w:lang w:val="sk-SK"/>
              </w:rPr>
              <w:t xml:space="preserve"> – nová právna úprava v prípade pozostalostných dôchodkov</w:t>
            </w:r>
            <w:r>
              <w:rPr>
                <w:rFonts w:ascii="Times New Roman" w:hAnsi="Times New Roman"/>
                <w:lang w:val="sk-SK"/>
              </w:rPr>
              <w:t>)</w:t>
            </w:r>
            <w:r w:rsidR="006C531B">
              <w:rPr>
                <w:rFonts w:ascii="Times New Roman" w:hAnsi="Times New Roman"/>
                <w:lang w:val="sk-SK"/>
              </w:rPr>
              <w:t>.</w:t>
            </w:r>
          </w:p>
          <w:p w:rsidR="00B6605F" w:rsidP="00B6605F">
            <w:pPr>
              <w:bidi w:val="0"/>
              <w:ind w:left="170"/>
              <w:jc w:val="both"/>
              <w:rPr>
                <w:rFonts w:ascii="Times New Roman" w:hAnsi="Times New Roman"/>
                <w:lang w:val="sk-SK"/>
              </w:rPr>
            </w:pPr>
          </w:p>
          <w:p w:rsidR="0010262C" w:rsidP="0010262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Návrh</w:t>
            </w:r>
            <w:r w:rsidR="00BA37AD">
              <w:rPr>
                <w:rFonts w:ascii="Times New Roman" w:hAnsi="Times New Roman"/>
                <w:lang w:val="sk-SK"/>
              </w:rPr>
              <w:t>om</w:t>
            </w:r>
            <w:r>
              <w:rPr>
                <w:rFonts w:ascii="Times New Roman" w:hAnsi="Times New Roman"/>
                <w:lang w:val="sk-SK"/>
              </w:rPr>
              <w:t xml:space="preserve"> zákona </w:t>
            </w:r>
            <w:r w:rsidR="00BA37AD">
              <w:rPr>
                <w:rFonts w:ascii="Times New Roman" w:hAnsi="Times New Roman"/>
                <w:lang w:val="sk-SK"/>
              </w:rPr>
              <w:t xml:space="preserve">sa umožní výplata nasporených prostriedkov formou </w:t>
            </w:r>
            <w:r w:rsidR="00B1660E">
              <w:rPr>
                <w:rFonts w:ascii="Times New Roman" w:hAnsi="Times New Roman"/>
                <w:lang w:val="sk-SK"/>
              </w:rPr>
              <w:t xml:space="preserve">vyplácania </w:t>
            </w:r>
            <w:r w:rsidR="00EA671E">
              <w:rPr>
                <w:rFonts w:ascii="Times New Roman" w:hAnsi="Times New Roman"/>
                <w:lang w:val="sk-SK"/>
              </w:rPr>
              <w:t xml:space="preserve">výnosov z investovania </w:t>
            </w:r>
            <w:r w:rsidR="00BA37AD">
              <w:rPr>
                <w:rFonts w:ascii="Times New Roman" w:hAnsi="Times New Roman"/>
                <w:lang w:val="sk-SK"/>
              </w:rPr>
              <w:t>z dôchodkovej správcovskej spoločnosti po dosiahnutí dôchodkového veku.</w:t>
            </w:r>
          </w:p>
          <w:p w:rsidR="00272125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903342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EC28DC">
              <w:rPr>
                <w:rFonts w:ascii="Times New Roman" w:hAnsi="Times New Roman"/>
                <w:lang w:val="sk-SK"/>
              </w:rPr>
              <w:t>Pri doživotnom dôchodku bude možné zvoliť si každoročné zvyšovanie dôchodku.</w:t>
            </w:r>
            <w:r w:rsidR="00276D67">
              <w:rPr>
                <w:rFonts w:ascii="Times New Roman" w:hAnsi="Times New Roman"/>
                <w:lang w:val="sk-SK"/>
              </w:rPr>
              <w:t xml:space="preserve"> </w:t>
            </w:r>
            <w:r w:rsidRPr="003F07C6" w:rsidR="00276D67">
              <w:rPr>
                <w:rFonts w:ascii="Times New Roman" w:hAnsi="Times New Roman"/>
                <w:lang w:val="sk-SK"/>
              </w:rPr>
              <w:t>Možnosť čerpať si dôchodok formou programového výberu alebo dočasného dôchodku si bude môcť uplatniť len sporiteľ</w:t>
            </w:r>
            <w:r>
              <w:rPr>
                <w:rFonts w:ascii="Times New Roman" w:hAnsi="Times New Roman"/>
                <w:lang w:val="sk-SK"/>
              </w:rPr>
              <w:t>:</w:t>
            </w:r>
          </w:p>
          <w:p w:rsidR="00EC28DC" w:rsidP="00903342">
            <w:pPr>
              <w:pStyle w:val="ListParagraph"/>
              <w:numPr>
                <w:numId w:val="35"/>
              </w:numPr>
              <w:bidi w:val="0"/>
              <w:ind w:left="130" w:hanging="141"/>
              <w:jc w:val="both"/>
              <w:rPr>
                <w:rFonts w:ascii="Times New Roman" w:hAnsi="Times New Roman"/>
              </w:rPr>
            </w:pPr>
            <w:r w:rsidR="00903342">
              <w:rPr>
                <w:rFonts w:ascii="Times New Roman" w:hAnsi="Times New Roman"/>
              </w:rPr>
              <w:t xml:space="preserve"> </w:t>
            </w:r>
            <w:r w:rsidRPr="00903342" w:rsidR="00276D67">
              <w:rPr>
                <w:rFonts w:ascii="Times New Roman" w:hAnsi="Times New Roman"/>
              </w:rPr>
              <w:t>ktorý poberá starobný dôchodok, predčasný starobný dôchodok alebo invalidný dôchodok z I. piliera</w:t>
            </w:r>
            <w:r w:rsidR="00903342">
              <w:rPr>
                <w:rFonts w:ascii="Times New Roman" w:hAnsi="Times New Roman"/>
              </w:rPr>
              <w:t xml:space="preserve"> najmenej v</w:t>
            </w:r>
            <w:r w:rsidRPr="00903342" w:rsidR="00276D67">
              <w:rPr>
                <w:rFonts w:ascii="Times New Roman" w:hAnsi="Times New Roman"/>
              </w:rPr>
              <w:t> sume 4-násobku životného minima pre jednu plnoletú fyzickú osobu</w:t>
            </w:r>
            <w:r w:rsidR="00903342">
              <w:rPr>
                <w:rFonts w:ascii="Times New Roman" w:hAnsi="Times New Roman"/>
              </w:rPr>
              <w:t>, resp. celková výška dôchodku z I. piliera</w:t>
            </w:r>
            <w:r w:rsidRPr="00B134C1" w:rsidR="00903342">
              <w:rPr>
                <w:rFonts w:ascii="Times New Roman" w:hAnsi="Times New Roman"/>
              </w:rPr>
              <w:t xml:space="preserve"> a zo systému starobného dôchodkového sporenia bude najmenej v sume 4-násobku sumy životného minima pre jednu plnoletú fyzickú osobu</w:t>
            </w:r>
            <w:r w:rsidR="00B6605F">
              <w:rPr>
                <w:rFonts w:ascii="Times New Roman" w:hAnsi="Times New Roman"/>
              </w:rPr>
              <w:t>. Do 4-násobku sumy životného minima pre jednu plnoletú fyzickú osobu sa bude započítavať aj výška  dôchodku z osobitného systému</w:t>
            </w:r>
            <w:r w:rsidR="001920E0">
              <w:rPr>
                <w:rFonts w:ascii="Times New Roman" w:hAnsi="Times New Roman"/>
              </w:rPr>
              <w:t xml:space="preserve"> sociálneho zabezpečenia policajtov a vojakov ako aj dôchodok z cudziny</w:t>
            </w:r>
            <w:bookmarkStart w:id="0" w:name="_GoBack"/>
            <w:bookmarkEnd w:id="0"/>
            <w:r w:rsidR="00B6605F">
              <w:rPr>
                <w:rFonts w:ascii="Times New Roman" w:hAnsi="Times New Roman"/>
              </w:rPr>
              <w:t>.</w:t>
            </w:r>
            <w:r w:rsidR="00903342">
              <w:rPr>
                <w:rFonts w:ascii="Times New Roman" w:hAnsi="Times New Roman"/>
              </w:rPr>
              <w:t>;</w:t>
            </w:r>
          </w:p>
          <w:p w:rsidR="00903342" w:rsidRPr="00903342" w:rsidP="00903342">
            <w:pPr>
              <w:pStyle w:val="ListParagraph"/>
              <w:numPr>
                <w:numId w:val="35"/>
              </w:numPr>
              <w:bidi w:val="0"/>
              <w:ind w:left="130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ktorému poisťovne nepredložia ponuku na doživotný starobný dôchodok z dôvodu nízkej nasporenej sumy.</w:t>
            </w: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C28DC" w:rsidP="00AF6E8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V prípade, že sa všetci súčasní poberatelia starobného a predčasného starobného dôchodku</w:t>
            </w:r>
            <w:r w:rsidR="00AF6E87">
              <w:rPr>
                <w:rFonts w:ascii="Times New Roman" w:hAnsi="Times New Roman"/>
                <w:lang w:val="sk-SK"/>
              </w:rPr>
              <w:t xml:space="preserve"> z</w:t>
            </w:r>
            <w:r w:rsidR="00AA074F">
              <w:rPr>
                <w:rFonts w:ascii="Times New Roman" w:hAnsi="Times New Roman"/>
                <w:lang w:val="sk-SK"/>
              </w:rPr>
              <w:t>o Sociálnej poisťovne</w:t>
            </w:r>
            <w:r>
              <w:rPr>
                <w:rFonts w:ascii="Times New Roman" w:hAnsi="Times New Roman"/>
                <w:lang w:val="sk-SK"/>
              </w:rPr>
              <w:t xml:space="preserve">, ktorí sú zároveň sporiteľmi, rozhodnú pre nákup </w:t>
            </w:r>
            <w:r w:rsidR="00AF6E87">
              <w:rPr>
                <w:rFonts w:ascii="Times New Roman" w:hAnsi="Times New Roman"/>
                <w:lang w:val="sk-SK"/>
              </w:rPr>
              <w:t>dôchodku z</w:t>
            </w:r>
            <w:r w:rsidR="00272125">
              <w:rPr>
                <w:rFonts w:ascii="Times New Roman" w:hAnsi="Times New Roman"/>
                <w:lang w:val="sk-SK"/>
              </w:rPr>
              <w:t>o systému starobného dôchodkového sporenia</w:t>
            </w:r>
            <w:r>
              <w:rPr>
                <w:rFonts w:ascii="Times New Roman" w:hAnsi="Times New Roman"/>
                <w:lang w:val="sk-SK"/>
              </w:rPr>
              <w:t>,  od 1.1.2015 sa bude z</w:t>
            </w:r>
            <w:r w:rsidR="00630ACF">
              <w:rPr>
                <w:rFonts w:ascii="Times New Roman" w:hAnsi="Times New Roman"/>
                <w:lang w:val="sk-SK"/>
              </w:rPr>
              <w:t> celkového počtu 3 tisíc sporiteľov, ktorým vzn</w:t>
            </w:r>
            <w:r w:rsidR="00DA5FBC">
              <w:rPr>
                <w:rFonts w:ascii="Times New Roman" w:hAnsi="Times New Roman"/>
                <w:lang w:val="sk-SK"/>
              </w:rPr>
              <w:t>ikne nárok na výplatu dôchodku</w:t>
            </w:r>
            <w:r w:rsidR="00630ACF">
              <w:rPr>
                <w:rFonts w:ascii="Times New Roman" w:hAnsi="Times New Roman"/>
                <w:lang w:val="sk-SK"/>
              </w:rPr>
              <w:t xml:space="preserve"> </w:t>
            </w:r>
            <w:r w:rsidR="00DA5FBC">
              <w:rPr>
                <w:rFonts w:ascii="Times New Roman" w:hAnsi="Times New Roman"/>
                <w:lang w:val="sk-SK"/>
              </w:rPr>
              <w:t xml:space="preserve">zo systému starobného dôchodkového sporenia </w:t>
            </w:r>
            <w:r>
              <w:rPr>
                <w:rFonts w:ascii="Times New Roman" w:hAnsi="Times New Roman"/>
                <w:lang w:val="sk-SK"/>
              </w:rPr>
              <w:t xml:space="preserve">vyplácať </w:t>
            </w:r>
            <w:r w:rsidR="00AF6E87">
              <w:rPr>
                <w:rFonts w:ascii="Times New Roman" w:hAnsi="Times New Roman"/>
                <w:lang w:val="sk-SK"/>
              </w:rPr>
              <w:t xml:space="preserve">dôchodok </w:t>
            </w:r>
            <w:r>
              <w:rPr>
                <w:rFonts w:ascii="Times New Roman" w:hAnsi="Times New Roman"/>
                <w:lang w:val="sk-SK"/>
              </w:rPr>
              <w:t>v</w:t>
            </w:r>
            <w:r w:rsidR="005E4C81">
              <w:rPr>
                <w:rFonts w:ascii="Times New Roman" w:hAnsi="Times New Roman"/>
                <w:lang w:val="sk-SK"/>
              </w:rPr>
              <w:t xml:space="preserve"> priemernej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694F79">
              <w:rPr>
                <w:rFonts w:ascii="Times New Roman" w:hAnsi="Times New Roman"/>
                <w:lang w:val="sk-SK"/>
              </w:rPr>
              <w:t xml:space="preserve">mesačnej </w:t>
            </w:r>
            <w:r>
              <w:rPr>
                <w:rFonts w:ascii="Times New Roman" w:hAnsi="Times New Roman"/>
                <w:lang w:val="sk-SK"/>
              </w:rPr>
              <w:t xml:space="preserve">výške približne </w:t>
            </w:r>
            <w:r w:rsidR="005E4C81">
              <w:rPr>
                <w:rFonts w:ascii="Times New Roman" w:hAnsi="Times New Roman"/>
                <w:lang w:val="sk-SK"/>
              </w:rPr>
              <w:t>14,60</w:t>
            </w:r>
            <w:r>
              <w:rPr>
                <w:rFonts w:ascii="Times New Roman" w:hAnsi="Times New Roman"/>
                <w:lang w:val="sk-SK"/>
              </w:rPr>
              <w:t xml:space="preserve"> eur</w:t>
            </w:r>
            <w:r w:rsidR="00694F79">
              <w:rPr>
                <w:rFonts w:ascii="Times New Roman" w:hAnsi="Times New Roman"/>
                <w:lang w:val="sk-SK"/>
              </w:rPr>
              <w:t>a</w:t>
            </w:r>
            <w:r w:rsidR="001E01B2">
              <w:rPr>
                <w:rStyle w:val="FootnoteReference"/>
                <w:rFonts w:ascii="Times New Roman" w:hAnsi="Times New Roman"/>
                <w:lang w:val="sk-SK"/>
              </w:rPr>
              <w:t>1</w:t>
            </w:r>
            <w:r w:rsidR="00630ACF">
              <w:rPr>
                <w:rFonts w:ascii="Times New Roman" w:hAnsi="Times New Roman"/>
                <w:lang w:val="sk-SK"/>
              </w:rPr>
              <w:t xml:space="preserve"> 919 sporiteľom</w:t>
            </w:r>
            <w:r>
              <w:rPr>
                <w:rFonts w:ascii="Times New Roman" w:hAnsi="Times New Roman"/>
                <w:lang w:val="sk-SK"/>
              </w:rPr>
              <w:t>.</w:t>
            </w:r>
            <w:r w:rsidR="00630ACF">
              <w:rPr>
                <w:rFonts w:ascii="Times New Roman" w:hAnsi="Times New Roman"/>
                <w:lang w:val="sk-SK"/>
              </w:rPr>
              <w:t xml:space="preserve"> V tejto skupine sa nachádzajú aj dôchodcovia, ktorí budú poberať aj dočasný dôchodok alebo programový výber.  </w:t>
            </w:r>
          </w:p>
          <w:p w:rsidR="007607B7" w:rsidP="00AF6E8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155DA" w:rsidP="006E196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12FEE">
              <w:rPr>
                <w:rFonts w:ascii="Times New Roman" w:hAnsi="Times New Roman"/>
                <w:lang w:val="sk-SK"/>
              </w:rPr>
              <w:t xml:space="preserve">Návrh zákona </w:t>
            </w:r>
            <w:r w:rsidRPr="00112FEE" w:rsidR="00112FEE">
              <w:rPr>
                <w:rFonts w:ascii="Times New Roman" w:hAnsi="Times New Roman"/>
                <w:lang w:val="sk-SK"/>
              </w:rPr>
              <w:t>vytvorí</w:t>
            </w:r>
            <w:r w:rsidR="006E196D">
              <w:rPr>
                <w:rFonts w:ascii="Times New Roman" w:hAnsi="Times New Roman"/>
                <w:b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predpoklad</w:t>
            </w:r>
            <w:r w:rsidR="00112FEE">
              <w:rPr>
                <w:rFonts w:ascii="Times New Roman" w:hAnsi="Times New Roman"/>
                <w:lang w:val="sk-SK"/>
              </w:rPr>
              <w:t>y</w:t>
            </w:r>
            <w:r>
              <w:rPr>
                <w:rFonts w:ascii="Times New Roman" w:hAnsi="Times New Roman"/>
                <w:lang w:val="sk-SK"/>
              </w:rPr>
              <w:t xml:space="preserve"> pre zjednodušenie a zrozumiteľnosť výpisu z osobného dôchodkového účtu sporiteľa a lepši</w:t>
            </w:r>
            <w:r w:rsidR="00112FEE">
              <w:rPr>
                <w:rFonts w:ascii="Times New Roman" w:hAnsi="Times New Roman"/>
                <w:lang w:val="sk-SK"/>
              </w:rPr>
              <w:t>u</w:t>
            </w:r>
            <w:r>
              <w:rPr>
                <w:rFonts w:ascii="Times New Roman" w:hAnsi="Times New Roman"/>
                <w:lang w:val="sk-SK"/>
              </w:rPr>
              <w:t xml:space="preserve"> informovanosť sporiteľa pred vyplácaním dôchodku zo systému starobného dôchodkového sporenia (ponukový list, list obsahujúci informáciu o dôchodkoch)</w:t>
            </w:r>
            <w:r w:rsidR="00112FEE">
              <w:rPr>
                <w:rFonts w:ascii="Times New Roman" w:hAnsi="Times New Roman"/>
                <w:lang w:val="sk-SK"/>
              </w:rPr>
              <w:t>. Zároveň návrh zákona  skráti obdobie vybavenia žiadosti o dôchodok až po uzatvorenie zmluvy o poistení dôchodku alebo dohody o vyplácaní programového výberu z dôvodu návrhu postupu</w:t>
            </w:r>
            <w:r w:rsidR="006E196D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pri vrátení povinných príspevkov a penále postúpených bez právneho dôvodu</w:t>
            </w:r>
            <w:r w:rsidR="00112FEE">
              <w:rPr>
                <w:rFonts w:ascii="Times New Roman" w:hAnsi="Times New Roman"/>
                <w:lang w:val="sk-SK"/>
              </w:rPr>
              <w:t xml:space="preserve">.  Návrh zákona umožní </w:t>
            </w:r>
            <w:r>
              <w:rPr>
                <w:rFonts w:ascii="Times New Roman" w:hAnsi="Times New Roman"/>
                <w:lang w:val="sk-SK"/>
              </w:rPr>
              <w:t>plateni</w:t>
            </w:r>
            <w:r w:rsidR="00112FEE">
              <w:rPr>
                <w:rFonts w:ascii="Times New Roman" w:hAnsi="Times New Roman"/>
                <w:lang w:val="sk-SK"/>
              </w:rPr>
              <w:t>e</w:t>
            </w:r>
            <w:r>
              <w:rPr>
                <w:rFonts w:ascii="Times New Roman" w:hAnsi="Times New Roman"/>
                <w:lang w:val="sk-SK"/>
              </w:rPr>
              <w:t xml:space="preserve"> príspevkov na starobné dôchodkové sporenie v inom pomere ako je rozložený majetok v dôchodkovom fonde.</w:t>
            </w:r>
          </w:p>
          <w:p w:rsidR="00D155DA" w:rsidP="00AF6E8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155DA" w:rsidP="0040676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406764">
              <w:rPr>
                <w:rFonts w:ascii="Times New Roman" w:hAnsi="Times New Roman"/>
                <w:lang w:val="sk-SK"/>
              </w:rPr>
              <w:t xml:space="preserve">Návrh zákona umožňuje sporiteľovi neprijať predloženú ponuku a </w:t>
            </w:r>
            <w:r w:rsidRPr="00406764" w:rsidR="00406764">
              <w:rPr>
                <w:rFonts w:ascii="Times New Roman" w:hAnsi="Times New Roman"/>
                <w:lang w:val="sk-SK"/>
              </w:rPr>
              <w:t>neuzavrieť  zmluvu s</w:t>
            </w:r>
            <w:r w:rsidR="006E196D">
              <w:rPr>
                <w:rFonts w:ascii="Times New Roman" w:hAnsi="Times New Roman"/>
                <w:lang w:val="sk-SK"/>
              </w:rPr>
              <w:t> </w:t>
            </w:r>
            <w:r w:rsidRPr="00406764" w:rsidR="00406764">
              <w:rPr>
                <w:rFonts w:ascii="Times New Roman" w:hAnsi="Times New Roman"/>
                <w:lang w:val="sk-SK"/>
              </w:rPr>
              <w:t>poisťovňou</w:t>
            </w:r>
            <w:r w:rsidR="006E196D">
              <w:rPr>
                <w:rFonts w:ascii="Times New Roman" w:hAnsi="Times New Roman"/>
                <w:lang w:val="sk-SK"/>
              </w:rPr>
              <w:t>,</w:t>
            </w:r>
            <w:r w:rsidR="00406764">
              <w:rPr>
                <w:rFonts w:ascii="Times New Roman" w:hAnsi="Times New Roman"/>
                <w:lang w:val="sk-SK"/>
              </w:rPr>
              <w:t xml:space="preserve"> resp. dohodu o vyplácaní programového výberu s dôchodkovou správcovskou spoločnosťou.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C28DC" w:rsidRPr="00327BC4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327BC4">
              <w:rPr>
                <w:rFonts w:ascii="Times New Roman" w:hAnsi="Times New Roman"/>
                <w:lang w:val="sk-SK"/>
              </w:rPr>
              <w:t>Návrh zákona nemá vplyv na rodovú rovnosť</w:t>
            </w:r>
            <w:r w:rsidR="00AF6E87">
              <w:rPr>
                <w:rFonts w:ascii="Times New Roman" w:hAnsi="Times New Roman"/>
                <w:lang w:val="sk-SK"/>
              </w:rPr>
              <w:t xml:space="preserve"> a rovnosť príležitostí</w:t>
            </w:r>
            <w:r w:rsidRPr="00327BC4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327BC4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327BC4">
              <w:rPr>
                <w:rFonts w:ascii="Times New Roman" w:hAnsi="Times New Roman"/>
                <w:lang w:val="sk-SK"/>
              </w:rPr>
              <w:t>Návrh zákona nemá vplyv na zamestnanosť.</w:t>
            </w: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C28DC" w:rsidP="00F21A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DE582D" w:rsidP="0039466F">
      <w:pPr>
        <w:pStyle w:val="BodyText"/>
        <w:bidi w:val="0"/>
        <w:rPr>
          <w:rFonts w:ascii="Times New Roman" w:hAnsi="Times New Roman"/>
          <w:bCs/>
          <w:sz w:val="28"/>
          <w:szCs w:val="28"/>
        </w:rPr>
      </w:pPr>
    </w:p>
    <w:sectPr w:rsidSect="00DE582D">
      <w:headerReference w:type="default" r:id="rId10"/>
      <w:footerReference w:type="default" r:id="rId11"/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6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5389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9466F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A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B129A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1E01B2">
      <w:pPr>
        <w:pStyle w:val="FootnoteText"/>
        <w:bidi w:val="0"/>
        <w:jc w:val="both"/>
        <w:rPr>
          <w:rFonts w:ascii="Times New Roman" w:hAnsi="Times New Roman"/>
        </w:rPr>
      </w:pPr>
      <w:r w:rsidR="004F6E31">
        <w:rPr>
          <w:rStyle w:val="FootnoteReference"/>
          <w:rFonts w:ascii="Times New Roman" w:hAnsi="Times New Roman"/>
        </w:rPr>
        <w:footnoteRef/>
      </w:r>
      <w:r w:rsidR="004F6E31">
        <w:rPr>
          <w:rFonts w:ascii="Times New Roman" w:hAnsi="Times New Roman"/>
        </w:rPr>
        <w:t xml:space="preserve">  Na účely výpočtu priemernej mesačnej sumy dôchodku zo systému starobného dôchodkového sporenia bol použitý vzorec zo súčasného znenia zákona o starobnom dôchodkovom sporení využívajúci štandardné poistno-matematické metódy pre výpočet doživotného dôchodku. pričom sa abstrahovalo od poplatkov týkajúcich sa výplaty dôchodkov zo systému starobného dôchodkového sporenia a bola využitá technická úroková miera určená Národnou bankou Slovenska.</w:t>
      </w:r>
    </w:p>
  </w:footnote>
  <w:footnote w:id="3">
    <w:p>
      <w:pPr>
        <w:pStyle w:val="FootnoteText"/>
        <w:bidi w:val="0"/>
        <w:jc w:val="both"/>
        <w:rPr>
          <w:rFonts w:ascii="Times New Roman" w:hAnsi="Times New Roman"/>
        </w:rPr>
      </w:pPr>
      <w:r w:rsidR="004F6E31">
        <w:rPr>
          <w:rStyle w:val="FootnoteReference"/>
          <w:rFonts w:ascii="Times New Roman" w:hAnsi="Times New Roman"/>
        </w:rPr>
        <w:footnoteRef/>
      </w:r>
      <w:r w:rsidR="004F6E31">
        <w:rPr>
          <w:rFonts w:ascii="Times New Roman" w:hAnsi="Times New Roman"/>
        </w:rPr>
        <w:t xml:space="preserve"> Náhodný výber pozostáva zo vzorky sporiteľov, ktorí sú už v súčasnosti poberateľmi starobného alebo predčasného starobného dôchodku zo sociálneho poistenia a zárobkovo činných osôb, ktorí sú sporiteľmi a v roku 2015 splnia podmienky pre vyplácanie dôchodku zo systému starobného dôchodkového sporenia. Kvantifikácie abstrahujú od tých sporiteľov, ktorí si zvolia programový výber z dôvodu, že im poisťovne nepredložia ponuku na doživotný starobný dôchodok z dôvodu nízkej nasporenej sumy.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31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34E4F2B"/>
    <w:multiLevelType w:val="multilevel"/>
    <w:tmpl w:val="B23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0FA54B1"/>
    <w:multiLevelType w:val="hybridMultilevel"/>
    <w:tmpl w:val="8FFA024A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7D824E1"/>
    <w:multiLevelType w:val="hybridMultilevel"/>
    <w:tmpl w:val="2E1A0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96616"/>
    <w:multiLevelType w:val="hybridMultilevel"/>
    <w:tmpl w:val="5AA85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C5166"/>
    <w:multiLevelType w:val="hybridMultilevel"/>
    <w:tmpl w:val="0200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A6BC3"/>
    <w:multiLevelType w:val="hybridMultilevel"/>
    <w:tmpl w:val="E716D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B55DE"/>
    <w:multiLevelType w:val="hybridMultilevel"/>
    <w:tmpl w:val="E0FA9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5E540BE9"/>
    <w:multiLevelType w:val="hybridMultilevel"/>
    <w:tmpl w:val="49746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6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427369"/>
    <w:multiLevelType w:val="hybridMultilevel"/>
    <w:tmpl w:val="A16A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9"/>
  </w:num>
  <w:num w:numId="17">
    <w:abstractNumId w:val="5"/>
  </w:num>
  <w:num w:numId="18">
    <w:abstractNumId w:val="18"/>
  </w:num>
  <w:num w:numId="19">
    <w:abstractNumId w:val="20"/>
  </w:num>
  <w:num w:numId="20">
    <w:abstractNumId w:val="1"/>
  </w:num>
  <w:num w:numId="21">
    <w:abstractNumId w:val="13"/>
  </w:num>
  <w:num w:numId="22">
    <w:abstractNumId w:val="3"/>
  </w:num>
  <w:num w:numId="23">
    <w:abstractNumId w:val="2"/>
  </w:num>
  <w:num w:numId="24">
    <w:abstractNumId w:val="7"/>
  </w:num>
  <w:num w:numId="25">
    <w:abstractNumId w:val="16"/>
  </w:num>
  <w:num w:numId="26">
    <w:abstractNumId w:val="12"/>
  </w:num>
  <w:num w:numId="27">
    <w:abstractNumId w:val="8"/>
  </w:num>
  <w:num w:numId="28">
    <w:abstractNumId w:val="10"/>
  </w:num>
  <w:num w:numId="29">
    <w:abstractNumId w:val="14"/>
  </w:num>
  <w:num w:numId="30">
    <w:abstractNumId w:val="17"/>
  </w:num>
  <w:num w:numId="31">
    <w:abstractNumId w:val="15"/>
  </w:num>
  <w:num w:numId="32">
    <w:abstractNumId w:val="6"/>
  </w:num>
  <w:num w:numId="33">
    <w:abstractNumId w:val="4"/>
  </w:num>
  <w:num w:numId="34">
    <w:abstractNumId w:val="11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3B0B8B"/>
    <w:rsid w:val="00015B98"/>
    <w:rsid w:val="00024A81"/>
    <w:rsid w:val="00024AEC"/>
    <w:rsid w:val="0004463C"/>
    <w:rsid w:val="00046F92"/>
    <w:rsid w:val="00057B5B"/>
    <w:rsid w:val="00076D39"/>
    <w:rsid w:val="0008130C"/>
    <w:rsid w:val="0009011A"/>
    <w:rsid w:val="000A4754"/>
    <w:rsid w:val="000B075F"/>
    <w:rsid w:val="000B585A"/>
    <w:rsid w:val="000C3170"/>
    <w:rsid w:val="000D416F"/>
    <w:rsid w:val="0010262C"/>
    <w:rsid w:val="001106F1"/>
    <w:rsid w:val="00112FEE"/>
    <w:rsid w:val="00142037"/>
    <w:rsid w:val="00151034"/>
    <w:rsid w:val="00151CB3"/>
    <w:rsid w:val="00156C18"/>
    <w:rsid w:val="001703A3"/>
    <w:rsid w:val="00191B63"/>
    <w:rsid w:val="001920E0"/>
    <w:rsid w:val="0019547C"/>
    <w:rsid w:val="001A6C4A"/>
    <w:rsid w:val="001C471C"/>
    <w:rsid w:val="001D17F7"/>
    <w:rsid w:val="001D3006"/>
    <w:rsid w:val="001E01B2"/>
    <w:rsid w:val="001E1E5F"/>
    <w:rsid w:val="001E684A"/>
    <w:rsid w:val="002026D0"/>
    <w:rsid w:val="00202B54"/>
    <w:rsid w:val="0023474C"/>
    <w:rsid w:val="00235A61"/>
    <w:rsid w:val="00245F73"/>
    <w:rsid w:val="00267C64"/>
    <w:rsid w:val="00270C87"/>
    <w:rsid w:val="00272125"/>
    <w:rsid w:val="0027519C"/>
    <w:rsid w:val="00276AD0"/>
    <w:rsid w:val="00276D67"/>
    <w:rsid w:val="002C1F64"/>
    <w:rsid w:val="002C655B"/>
    <w:rsid w:val="002D2F83"/>
    <w:rsid w:val="002F19B8"/>
    <w:rsid w:val="002F2EAC"/>
    <w:rsid w:val="002F57D6"/>
    <w:rsid w:val="00305A29"/>
    <w:rsid w:val="00320102"/>
    <w:rsid w:val="00327BC4"/>
    <w:rsid w:val="00340121"/>
    <w:rsid w:val="00360BC6"/>
    <w:rsid w:val="00365797"/>
    <w:rsid w:val="0037700F"/>
    <w:rsid w:val="0038415A"/>
    <w:rsid w:val="00384608"/>
    <w:rsid w:val="003930A8"/>
    <w:rsid w:val="0039466F"/>
    <w:rsid w:val="003A1624"/>
    <w:rsid w:val="003B0B8B"/>
    <w:rsid w:val="003C37D5"/>
    <w:rsid w:val="003C59BF"/>
    <w:rsid w:val="003F07C6"/>
    <w:rsid w:val="00406764"/>
    <w:rsid w:val="00440E25"/>
    <w:rsid w:val="00457BED"/>
    <w:rsid w:val="00466826"/>
    <w:rsid w:val="00492B4C"/>
    <w:rsid w:val="004A2311"/>
    <w:rsid w:val="004C1CAF"/>
    <w:rsid w:val="004C1DB4"/>
    <w:rsid w:val="004C596E"/>
    <w:rsid w:val="004F2C79"/>
    <w:rsid w:val="004F6E31"/>
    <w:rsid w:val="0050115C"/>
    <w:rsid w:val="0051064A"/>
    <w:rsid w:val="00530D16"/>
    <w:rsid w:val="005554BE"/>
    <w:rsid w:val="00557411"/>
    <w:rsid w:val="00560749"/>
    <w:rsid w:val="0058351B"/>
    <w:rsid w:val="005A45FE"/>
    <w:rsid w:val="005A5419"/>
    <w:rsid w:val="005B5E16"/>
    <w:rsid w:val="005E4C81"/>
    <w:rsid w:val="006035CC"/>
    <w:rsid w:val="00615BDB"/>
    <w:rsid w:val="0062438B"/>
    <w:rsid w:val="00630ACF"/>
    <w:rsid w:val="00632169"/>
    <w:rsid w:val="00651713"/>
    <w:rsid w:val="006632B9"/>
    <w:rsid w:val="00667DBB"/>
    <w:rsid w:val="00694F79"/>
    <w:rsid w:val="006B7F5A"/>
    <w:rsid w:val="006C418F"/>
    <w:rsid w:val="006C531B"/>
    <w:rsid w:val="006C5DA0"/>
    <w:rsid w:val="006E196D"/>
    <w:rsid w:val="006F1963"/>
    <w:rsid w:val="006F3CB5"/>
    <w:rsid w:val="006F6A99"/>
    <w:rsid w:val="006F7577"/>
    <w:rsid w:val="00705A21"/>
    <w:rsid w:val="00705FF4"/>
    <w:rsid w:val="00730117"/>
    <w:rsid w:val="007607B7"/>
    <w:rsid w:val="00764227"/>
    <w:rsid w:val="00771282"/>
    <w:rsid w:val="007A18AE"/>
    <w:rsid w:val="007B0A52"/>
    <w:rsid w:val="007B770C"/>
    <w:rsid w:val="007E475F"/>
    <w:rsid w:val="008234C3"/>
    <w:rsid w:val="00833878"/>
    <w:rsid w:val="008357E2"/>
    <w:rsid w:val="0084776E"/>
    <w:rsid w:val="00847B1A"/>
    <w:rsid w:val="00851329"/>
    <w:rsid w:val="0085629D"/>
    <w:rsid w:val="00860350"/>
    <w:rsid w:val="008652F9"/>
    <w:rsid w:val="00883741"/>
    <w:rsid w:val="00897E55"/>
    <w:rsid w:val="008A2198"/>
    <w:rsid w:val="008A50B4"/>
    <w:rsid w:val="008B56BA"/>
    <w:rsid w:val="008C0B62"/>
    <w:rsid w:val="008C6533"/>
    <w:rsid w:val="008E46BD"/>
    <w:rsid w:val="00903342"/>
    <w:rsid w:val="00933E5C"/>
    <w:rsid w:val="009340EE"/>
    <w:rsid w:val="00937266"/>
    <w:rsid w:val="00953292"/>
    <w:rsid w:val="00972667"/>
    <w:rsid w:val="0097330F"/>
    <w:rsid w:val="009764E6"/>
    <w:rsid w:val="00982DE0"/>
    <w:rsid w:val="00984982"/>
    <w:rsid w:val="009A17E7"/>
    <w:rsid w:val="009A2014"/>
    <w:rsid w:val="009A74B2"/>
    <w:rsid w:val="009B16EB"/>
    <w:rsid w:val="009C754C"/>
    <w:rsid w:val="009D100C"/>
    <w:rsid w:val="009D2AD4"/>
    <w:rsid w:val="009D6F10"/>
    <w:rsid w:val="009E1AEC"/>
    <w:rsid w:val="009F12DC"/>
    <w:rsid w:val="009F360E"/>
    <w:rsid w:val="00A01607"/>
    <w:rsid w:val="00A079C1"/>
    <w:rsid w:val="00A16B30"/>
    <w:rsid w:val="00A51F3B"/>
    <w:rsid w:val="00A55DE6"/>
    <w:rsid w:val="00A63024"/>
    <w:rsid w:val="00A6523C"/>
    <w:rsid w:val="00A67D9C"/>
    <w:rsid w:val="00A769BC"/>
    <w:rsid w:val="00A818D0"/>
    <w:rsid w:val="00A920DE"/>
    <w:rsid w:val="00AA074F"/>
    <w:rsid w:val="00AA0E43"/>
    <w:rsid w:val="00AA2459"/>
    <w:rsid w:val="00AA36B5"/>
    <w:rsid w:val="00AB4BE0"/>
    <w:rsid w:val="00AC1803"/>
    <w:rsid w:val="00AC70DB"/>
    <w:rsid w:val="00AD173B"/>
    <w:rsid w:val="00AE1864"/>
    <w:rsid w:val="00AF6E87"/>
    <w:rsid w:val="00B061E1"/>
    <w:rsid w:val="00B129A0"/>
    <w:rsid w:val="00B134C1"/>
    <w:rsid w:val="00B1660E"/>
    <w:rsid w:val="00B234CA"/>
    <w:rsid w:val="00B25476"/>
    <w:rsid w:val="00B25F10"/>
    <w:rsid w:val="00B262C8"/>
    <w:rsid w:val="00B3534A"/>
    <w:rsid w:val="00B36A7F"/>
    <w:rsid w:val="00B45CAB"/>
    <w:rsid w:val="00B538F1"/>
    <w:rsid w:val="00B60DEB"/>
    <w:rsid w:val="00B64712"/>
    <w:rsid w:val="00B6605F"/>
    <w:rsid w:val="00B727E5"/>
    <w:rsid w:val="00B72A12"/>
    <w:rsid w:val="00B753B3"/>
    <w:rsid w:val="00B869F1"/>
    <w:rsid w:val="00BA37AD"/>
    <w:rsid w:val="00BA3DFB"/>
    <w:rsid w:val="00BA4EC4"/>
    <w:rsid w:val="00BD35DD"/>
    <w:rsid w:val="00BD7FD1"/>
    <w:rsid w:val="00BE1927"/>
    <w:rsid w:val="00BF704F"/>
    <w:rsid w:val="00C002D3"/>
    <w:rsid w:val="00C14D8A"/>
    <w:rsid w:val="00C21DFD"/>
    <w:rsid w:val="00C3304E"/>
    <w:rsid w:val="00C34AD1"/>
    <w:rsid w:val="00C37A96"/>
    <w:rsid w:val="00C41826"/>
    <w:rsid w:val="00C418B1"/>
    <w:rsid w:val="00C47F38"/>
    <w:rsid w:val="00C573B5"/>
    <w:rsid w:val="00C731B6"/>
    <w:rsid w:val="00CA0D43"/>
    <w:rsid w:val="00CC068F"/>
    <w:rsid w:val="00D155DA"/>
    <w:rsid w:val="00D22FE1"/>
    <w:rsid w:val="00D31423"/>
    <w:rsid w:val="00D3793A"/>
    <w:rsid w:val="00D43A3D"/>
    <w:rsid w:val="00D5385E"/>
    <w:rsid w:val="00D56C29"/>
    <w:rsid w:val="00D60635"/>
    <w:rsid w:val="00D629B7"/>
    <w:rsid w:val="00D67D13"/>
    <w:rsid w:val="00D8232D"/>
    <w:rsid w:val="00D93118"/>
    <w:rsid w:val="00DA5FBC"/>
    <w:rsid w:val="00DB0BE7"/>
    <w:rsid w:val="00DC552A"/>
    <w:rsid w:val="00DE0E13"/>
    <w:rsid w:val="00DE582D"/>
    <w:rsid w:val="00DF12C2"/>
    <w:rsid w:val="00DF579D"/>
    <w:rsid w:val="00E46F00"/>
    <w:rsid w:val="00E54F52"/>
    <w:rsid w:val="00E56B6B"/>
    <w:rsid w:val="00E64539"/>
    <w:rsid w:val="00E67A7B"/>
    <w:rsid w:val="00E753A0"/>
    <w:rsid w:val="00E81AA4"/>
    <w:rsid w:val="00E90DEE"/>
    <w:rsid w:val="00EA671E"/>
    <w:rsid w:val="00EC28DC"/>
    <w:rsid w:val="00ED360F"/>
    <w:rsid w:val="00EE18B5"/>
    <w:rsid w:val="00EF3E5B"/>
    <w:rsid w:val="00EF736B"/>
    <w:rsid w:val="00F006F9"/>
    <w:rsid w:val="00F04218"/>
    <w:rsid w:val="00F120DD"/>
    <w:rsid w:val="00F14222"/>
    <w:rsid w:val="00F21AC7"/>
    <w:rsid w:val="00F500BB"/>
    <w:rsid w:val="00F53894"/>
    <w:rsid w:val="00F81E17"/>
    <w:rsid w:val="00F849FD"/>
    <w:rsid w:val="00F956E0"/>
    <w:rsid w:val="00FC0097"/>
    <w:rsid w:val="00FC237A"/>
    <w:rsid w:val="00FD3480"/>
    <w:rsid w:val="00FE4EA4"/>
    <w:rsid w:val="00FF72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page number" w:uiPriority="99"/>
    <w:lsdException w:name="List Number" w:uiPriority="99"/>
    <w:lsdException w:name="Title" w:uiPriority="10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F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rsid w:val="00245F73"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rsid w:val="00245F73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locked/>
    <w:rsid w:val="00D93118"/>
    <w:rPr>
      <w:rFonts w:cs="Times New Roman"/>
      <w:b/>
      <w:kern w:val="28"/>
      <w:sz w:val="28"/>
      <w:rtl w:val="0"/>
      <w:cs w:val="0"/>
      <w:lang w:val="en-GB" w:eastAsia="en-US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D93118"/>
    <w:rPr>
      <w:rFonts w:cs="Times New Roman"/>
      <w:b/>
      <w:bCs/>
      <w:sz w:val="22"/>
      <w:szCs w:val="22"/>
      <w:rtl w:val="0"/>
      <w:cs w:val="0"/>
      <w:lang w:val="en-US" w:eastAsia="x-none"/>
    </w:rPr>
  </w:style>
  <w:style w:type="paragraph" w:styleId="BodyText">
    <w:name w:val="Body Text"/>
    <w:basedOn w:val="Normal"/>
    <w:link w:val="ZkladntextChar"/>
    <w:uiPriority w:val="99"/>
    <w:rsid w:val="00245F73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C28DC"/>
    <w:rPr>
      <w:rFonts w:cs="Times New Roman"/>
      <w:b/>
      <w:sz w:val="24"/>
      <w:rtl w:val="0"/>
      <w:cs w:val="0"/>
    </w:rPr>
  </w:style>
  <w:style w:type="paragraph" w:styleId="ListNumber">
    <w:name w:val="List Number"/>
    <w:basedOn w:val="Normal"/>
    <w:uiPriority w:val="99"/>
    <w:rsid w:val="00245F73"/>
    <w:p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3C37D5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245F73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D93118"/>
    <w:rPr>
      <w:rFonts w:cs="Times New Roman"/>
      <w:sz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245F7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93118"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sid w:val="003C37D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245F7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3118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rsid w:val="00245F73"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sid w:val="00D93118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3C37D5"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rsid w:val="00245F73"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rsid w:val="00245F73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93118"/>
    <w:rPr>
      <w:rFonts w:cs="Times New Roman"/>
      <w:sz w:val="16"/>
      <w:szCs w:val="16"/>
      <w:rtl w:val="0"/>
      <w:cs w:val="0"/>
      <w:lang w:val="en-US" w:eastAsia="x-none"/>
    </w:rPr>
  </w:style>
  <w:style w:type="paragraph" w:customStyle="1" w:styleId="odrazka">
    <w:name w:val="odrazka"/>
    <w:basedOn w:val="Normal"/>
    <w:rsid w:val="00245F73"/>
    <w:pPr>
      <w:tabs>
        <w:tab w:val="num" w:pos="720"/>
        <w:tab w:val="left" w:pos="851"/>
      </w:tabs>
      <w:spacing w:before="120"/>
      <w:ind w:left="720" w:hanging="7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rsid w:val="00245F73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rsid w:val="00245F7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93118"/>
    <w:rPr>
      <w:rFonts w:cs="Times New Roman"/>
      <w:sz w:val="24"/>
      <w:szCs w:val="24"/>
      <w:rtl w:val="0"/>
      <w:cs w:val="0"/>
      <w:lang w:val="en-US" w:eastAsia="x-none"/>
    </w:rPr>
  </w:style>
  <w:style w:type="paragraph" w:styleId="BodyText2">
    <w:name w:val="Body Text 2"/>
    <w:basedOn w:val="Normal"/>
    <w:link w:val="Zkladntext2Char"/>
    <w:uiPriority w:val="99"/>
    <w:rsid w:val="00245F7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C28DC"/>
    <w:rPr>
      <w:rFonts w:cs="Times New Roman"/>
      <w:sz w:val="24"/>
      <w:szCs w:val="24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245F73"/>
    <w:pPr>
      <w:ind w:left="708"/>
      <w:jc w:val="left"/>
    </w:pPr>
    <w:rPr>
      <w:lang w:val="sk-SK"/>
    </w:rPr>
  </w:style>
  <w:style w:type="character" w:styleId="CommentReference">
    <w:name w:val="annotation reference"/>
    <w:basedOn w:val="DefaultParagraphFont"/>
    <w:uiPriority w:val="99"/>
    <w:rsid w:val="00EC28D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245F7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C28DC"/>
    <w:rPr>
      <w:rFonts w:cs="Times New Roman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245F7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D6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6205-5443-469C-B9C5-024BC39C5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6462A-8884-428A-B81C-8FF18402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7B5AC1-1C12-4335-A1CF-232C11DC8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4DCC-A090-461A-95DA-170871D1120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BA9D2FC-0817-4B10-BE7C-C359DEDF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1315</Words>
  <Characters>8648</Characters>
  <Application>Microsoft Office Word</Application>
  <DocSecurity>0</DocSecurity>
  <Lines>0</Lines>
  <Paragraphs>0</Paragraphs>
  <ScaleCrop>false</ScaleCrop>
  <Company>mhsr</Company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cebulakova</cp:lastModifiedBy>
  <cp:revision>2</cp:revision>
  <cp:lastPrinted>2013-11-14T13:30:00Z</cp:lastPrinted>
  <dcterms:created xsi:type="dcterms:W3CDTF">2014-02-06T10:48:00Z</dcterms:created>
  <dcterms:modified xsi:type="dcterms:W3CDTF">2014-02-06T10:48:00Z</dcterms:modified>
</cp:coreProperties>
</file>