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0B8B" w:rsidP="0009011A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  <w:lang w:val="sk-SK"/>
        </w:rPr>
        <w:t>Vplyvy na podnikateľské prostredie</w:t>
      </w:r>
    </w:p>
    <w:p w:rsidR="003B0B8B">
      <w:pPr>
        <w:bidi w:val="0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3B0B8B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195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040"/>
      </w:tblGrid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3B0B8B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Vplyvy na podnikateľské prostredie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3.1</w:t>
            </w:r>
            <w:r>
              <w:rPr>
                <w:rFonts w:ascii="Times New Roman" w:hAnsi="Times New Roman"/>
                <w:lang w:val="sk-SK"/>
              </w:rPr>
              <w:t>. Ktoré podnikateľské subjekty budú predkladaným návrhom ovplyvnené a aký je ich počet?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7330F" w:rsidP="0097330F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97330F" w:rsidP="00AE1864">
            <w:pPr>
              <w:numPr>
                <w:numId w:val="27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="009D6F10">
              <w:rPr>
                <w:rFonts w:ascii="Times New Roman" w:hAnsi="Times New Roman"/>
                <w:lang w:val="sk-SK"/>
              </w:rPr>
              <w:t xml:space="preserve">6 </w:t>
            </w:r>
            <w:r w:rsidR="00DF12C2">
              <w:rPr>
                <w:rFonts w:ascii="Times New Roman" w:hAnsi="Times New Roman"/>
                <w:lang w:val="sk-SK"/>
              </w:rPr>
              <w:t>dôchodkov</w:t>
            </w:r>
            <w:r w:rsidR="009D6F10">
              <w:rPr>
                <w:rFonts w:ascii="Times New Roman" w:hAnsi="Times New Roman"/>
                <w:lang w:val="sk-SK"/>
              </w:rPr>
              <w:t>ých</w:t>
            </w:r>
            <w:r w:rsidR="00DF12C2">
              <w:rPr>
                <w:rFonts w:ascii="Times New Roman" w:hAnsi="Times New Roman"/>
                <w:lang w:val="sk-SK"/>
              </w:rPr>
              <w:t xml:space="preserve"> správcovsk</w:t>
            </w:r>
            <w:r w:rsidR="009D6F10">
              <w:rPr>
                <w:rFonts w:ascii="Times New Roman" w:hAnsi="Times New Roman"/>
                <w:lang w:val="sk-SK"/>
              </w:rPr>
              <w:t>ých</w:t>
            </w:r>
            <w:r w:rsidR="00DF12C2">
              <w:rPr>
                <w:rFonts w:ascii="Times New Roman" w:hAnsi="Times New Roman"/>
                <w:lang w:val="sk-SK"/>
              </w:rPr>
              <w:t xml:space="preserve"> spoločnosti</w:t>
            </w:r>
          </w:p>
          <w:p w:rsidR="003B0B8B" w:rsidP="00AE1864">
            <w:pPr>
              <w:numPr>
                <w:numId w:val="27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="007B0A52">
              <w:rPr>
                <w:rFonts w:ascii="Times New Roman" w:hAnsi="Times New Roman"/>
                <w:lang w:val="sk-SK"/>
              </w:rPr>
              <w:t>poisťovne</w:t>
            </w:r>
          </w:p>
          <w:p w:rsidR="00DF12C2" w:rsidP="00AE186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7B0A52" w:rsidP="00AE186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DF12C2">
              <w:rPr>
                <w:rFonts w:ascii="Times New Roman" w:hAnsi="Times New Roman"/>
                <w:lang w:val="sk-SK"/>
              </w:rPr>
              <w:t>Celkový p</w:t>
            </w:r>
            <w:r>
              <w:rPr>
                <w:rFonts w:ascii="Times New Roman" w:hAnsi="Times New Roman"/>
                <w:lang w:val="sk-SK"/>
              </w:rPr>
              <w:t xml:space="preserve">očet dotknutých subjektov </w:t>
            </w:r>
            <w:r w:rsidR="009D6F10">
              <w:rPr>
                <w:rFonts w:ascii="Times New Roman" w:hAnsi="Times New Roman"/>
                <w:lang w:val="sk-SK"/>
              </w:rPr>
              <w:t xml:space="preserve">v rámci okruhu  poisťovní </w:t>
            </w:r>
            <w:r>
              <w:rPr>
                <w:rFonts w:ascii="Times New Roman" w:hAnsi="Times New Roman"/>
                <w:lang w:val="sk-SK"/>
              </w:rPr>
              <w:t xml:space="preserve">nie je známy z dôvodu, že </w:t>
            </w:r>
            <w:r w:rsidR="009D6F10">
              <w:rPr>
                <w:rFonts w:ascii="Times New Roman" w:hAnsi="Times New Roman"/>
                <w:lang w:val="sk-SK"/>
              </w:rPr>
              <w:t>pôjde o nové poistné odvetvie</w:t>
            </w:r>
            <w:r w:rsidR="00AE1864">
              <w:rPr>
                <w:rFonts w:ascii="Times New Roman" w:hAnsi="Times New Roman"/>
                <w:lang w:val="sk-SK"/>
              </w:rPr>
              <w:t xml:space="preserve"> (poisteni</w:t>
            </w:r>
            <w:r w:rsidR="009F12DC">
              <w:rPr>
                <w:rFonts w:ascii="Times New Roman" w:hAnsi="Times New Roman"/>
                <w:lang w:val="sk-SK"/>
              </w:rPr>
              <w:t>e</w:t>
            </w:r>
            <w:r w:rsidR="00AE1864">
              <w:rPr>
                <w:rFonts w:ascii="Times New Roman" w:hAnsi="Times New Roman"/>
                <w:lang w:val="sk-SK"/>
              </w:rPr>
              <w:t xml:space="preserve"> </w:t>
            </w:r>
            <w:r w:rsidRPr="009B16EB" w:rsidR="00AE1864">
              <w:rPr>
                <w:rFonts w:ascii="Times New Roman" w:hAnsi="Times New Roman"/>
                <w:lang w:val="sk-SK"/>
              </w:rPr>
              <w:t>týkajúce sa dĺžky ľudského života</w:t>
            </w:r>
            <w:r w:rsidR="00AE1864">
              <w:rPr>
                <w:rFonts w:ascii="Times New Roman" w:hAnsi="Times New Roman"/>
                <w:lang w:val="sk-SK"/>
              </w:rPr>
              <w:t>)</w:t>
            </w:r>
            <w:r w:rsidR="009D6F10">
              <w:rPr>
                <w:rFonts w:ascii="Times New Roman" w:hAnsi="Times New Roman"/>
                <w:lang w:val="sk-SK"/>
              </w:rPr>
              <w:t>.</w:t>
            </w:r>
          </w:p>
          <w:p w:rsidR="00DF12C2" w:rsidP="00DF12C2">
            <w:pPr>
              <w:bidi w:val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276AD0">
              <w:rPr>
                <w:rFonts w:ascii="Times New Roman" w:hAnsi="Times New Roman"/>
                <w:lang w:val="sk-SK"/>
              </w:rPr>
              <w:t>3.2</w:t>
            </w:r>
            <w:r>
              <w:rPr>
                <w:rFonts w:ascii="Times New Roman" w:hAnsi="Times New Roman"/>
                <w:lang w:val="sk-SK"/>
              </w:rPr>
              <w:t>. Aký je predpokladaný charakter a rozsah nákladov a prínosov?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F12C2" w:rsidRPr="002F57D6" w:rsidP="00AE1864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  <w:r w:rsidRPr="002F57D6">
              <w:rPr>
                <w:rFonts w:ascii="Times New Roman" w:hAnsi="Times New Roman"/>
                <w:b/>
                <w:lang w:val="sk-SK"/>
              </w:rPr>
              <w:t>Návrh zákona bude mať nasledovné pozitívne vplyvy na poisťovne</w:t>
            </w:r>
            <w:r w:rsidR="00883741">
              <w:rPr>
                <w:rFonts w:ascii="Times New Roman" w:hAnsi="Times New Roman"/>
                <w:b/>
                <w:lang w:val="sk-SK"/>
              </w:rPr>
              <w:t>:</w:t>
            </w:r>
          </w:p>
          <w:p w:rsidR="00DF12C2" w:rsidP="00AE186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F956E0" w:rsidP="00AE1864">
            <w:pPr>
              <w:numPr>
                <w:numId w:val="24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="009A17E7">
              <w:rPr>
                <w:rFonts w:ascii="Times New Roman" w:hAnsi="Times New Roman"/>
                <w:lang w:val="sk-SK"/>
              </w:rPr>
              <w:t>keďže poisťovne na seba preberajú riziko dlhovekosti</w:t>
            </w:r>
            <w:r w:rsidR="00982DE0">
              <w:rPr>
                <w:rFonts w:ascii="Times New Roman" w:hAnsi="Times New Roman"/>
                <w:lang w:val="sk-SK"/>
              </w:rPr>
              <w:t>,</w:t>
            </w:r>
            <w:r w:rsidR="009A17E7">
              <w:rPr>
                <w:rFonts w:ascii="Times New Roman" w:hAnsi="Times New Roman"/>
                <w:lang w:val="sk-SK"/>
              </w:rPr>
              <w:t> pre ocenenie tohto rizika im budú slúžiť vlastné úmrtnostné tabuľky zohľadňujúce aj budúci demografický vývoj;</w:t>
            </w:r>
          </w:p>
          <w:p w:rsidR="005A5419" w:rsidP="00AE1864">
            <w:pPr>
              <w:numPr>
                <w:numId w:val="24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deregulácia spôsobu výpočtu doživotného a dočasného dôchodku</w:t>
            </w:r>
            <w:r w:rsidR="00F120DD">
              <w:rPr>
                <w:rFonts w:ascii="Times New Roman" w:hAnsi="Times New Roman"/>
                <w:lang w:val="sk-SK"/>
              </w:rPr>
              <w:t xml:space="preserve"> zo systému starobného dôchodkového sporenia;</w:t>
            </w:r>
          </w:p>
          <w:p w:rsidR="00FF72C0" w:rsidP="00AE1864">
            <w:pPr>
              <w:numPr>
                <w:numId w:val="24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="005A5419">
              <w:rPr>
                <w:rFonts w:ascii="Times New Roman" w:hAnsi="Times New Roman"/>
                <w:lang w:val="sk-SK"/>
              </w:rPr>
              <w:t>zavedenie dočasného dôchodku ako novej formy vyplácania starobného dôchodku a predčasného starobného dôchodku</w:t>
            </w:r>
            <w:r w:rsidR="00F120DD">
              <w:rPr>
                <w:rFonts w:ascii="Times New Roman" w:hAnsi="Times New Roman"/>
                <w:lang w:val="sk-SK"/>
              </w:rPr>
              <w:t xml:space="preserve"> zo systému starobného dôchodkového sporenia;</w:t>
            </w:r>
          </w:p>
          <w:p w:rsidR="009C754C" w:rsidP="00AE1864">
            <w:pPr>
              <w:numPr>
                <w:numId w:val="24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="00FF72C0">
              <w:rPr>
                <w:rFonts w:ascii="Times New Roman" w:hAnsi="Times New Roman"/>
                <w:lang w:val="sk-SK"/>
              </w:rPr>
              <w:t xml:space="preserve">nové podmienky vyplácania pozostalostných dôchodkov </w:t>
            </w:r>
            <w:r w:rsidR="00F120DD">
              <w:rPr>
                <w:rFonts w:ascii="Times New Roman" w:hAnsi="Times New Roman"/>
                <w:lang w:val="sk-SK"/>
              </w:rPr>
              <w:t xml:space="preserve">zo systému starobného dôchodkového sporenia </w:t>
            </w:r>
            <w:r w:rsidR="00FF72C0">
              <w:rPr>
                <w:rFonts w:ascii="Times New Roman" w:hAnsi="Times New Roman"/>
                <w:lang w:val="sk-SK"/>
              </w:rPr>
              <w:t>– ustanovenie maximálneho obdobia poberania</w:t>
            </w:r>
            <w:r w:rsidR="00B45CAB">
              <w:rPr>
                <w:rFonts w:ascii="Times New Roman" w:hAnsi="Times New Roman"/>
                <w:lang w:val="sk-SK"/>
              </w:rPr>
              <w:t xml:space="preserve"> pozostalostného</w:t>
            </w:r>
            <w:r w:rsidR="00FF72C0">
              <w:rPr>
                <w:rFonts w:ascii="Times New Roman" w:hAnsi="Times New Roman"/>
                <w:lang w:val="sk-SK"/>
              </w:rPr>
              <w:t xml:space="preserve"> dôchodku</w:t>
            </w:r>
            <w:r w:rsidR="003F07C6">
              <w:rPr>
                <w:rFonts w:ascii="Times New Roman" w:hAnsi="Times New Roman"/>
                <w:lang w:val="sk-SK"/>
              </w:rPr>
              <w:t>.</w:t>
            </w:r>
          </w:p>
          <w:p w:rsidR="00B538F1" w:rsidP="00B538F1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2F57D6" w:rsidRPr="002F57D6" w:rsidP="00AE1864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  <w:r w:rsidRPr="002F57D6">
              <w:rPr>
                <w:rFonts w:ascii="Times New Roman" w:hAnsi="Times New Roman"/>
                <w:b/>
                <w:lang w:val="sk-SK"/>
              </w:rPr>
              <w:t>Návrh zákona bude mať nasledovné negatívne vplyvy na poisťovne</w:t>
            </w:r>
            <w:r w:rsidR="00B72A12">
              <w:rPr>
                <w:rFonts w:ascii="Times New Roman" w:hAnsi="Times New Roman"/>
                <w:b/>
                <w:lang w:val="sk-SK"/>
              </w:rPr>
              <w:t>:</w:t>
            </w:r>
          </w:p>
          <w:p w:rsidR="00DF12C2" w:rsidP="00AE186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9B16EB" w:rsidP="00AE1864">
            <w:pPr>
              <w:numPr>
                <w:numId w:val="26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jednorazové administratívne náklady súvisiace s</w:t>
            </w:r>
            <w:r w:rsidR="00530D16">
              <w:rPr>
                <w:rFonts w:ascii="Times New Roman" w:hAnsi="Times New Roman"/>
                <w:lang w:val="sk-SK"/>
              </w:rPr>
              <w:t xml:space="preserve">o vstupom do </w:t>
            </w:r>
            <w:r>
              <w:rPr>
                <w:rFonts w:ascii="Times New Roman" w:hAnsi="Times New Roman"/>
                <w:lang w:val="sk-SK"/>
              </w:rPr>
              <w:t>nového poistného odvetvia (</w:t>
            </w:r>
            <w:r w:rsidR="00057B5B">
              <w:rPr>
                <w:rFonts w:ascii="Times New Roman" w:hAnsi="Times New Roman"/>
                <w:lang w:val="sk-SK"/>
              </w:rPr>
              <w:t xml:space="preserve">najmä </w:t>
            </w:r>
            <w:r>
              <w:rPr>
                <w:rFonts w:ascii="Times New Roman" w:hAnsi="Times New Roman"/>
                <w:lang w:val="sk-SK"/>
              </w:rPr>
              <w:t xml:space="preserve">získanie licencie na vykonávanie poistenia </w:t>
            </w:r>
            <w:r w:rsidRPr="009B16EB">
              <w:rPr>
                <w:rFonts w:ascii="Times New Roman" w:hAnsi="Times New Roman"/>
                <w:lang w:val="sk-SK"/>
              </w:rPr>
              <w:t>týkajúce</w:t>
            </w:r>
            <w:r w:rsidR="00B72A12">
              <w:rPr>
                <w:rFonts w:ascii="Times New Roman" w:hAnsi="Times New Roman"/>
                <w:lang w:val="sk-SK"/>
              </w:rPr>
              <w:t>ho</w:t>
            </w:r>
            <w:r w:rsidRPr="009B16EB">
              <w:rPr>
                <w:rFonts w:ascii="Times New Roman" w:hAnsi="Times New Roman"/>
                <w:lang w:val="sk-SK"/>
              </w:rPr>
              <w:t xml:space="preserve"> sa dĺžky ľudského života</w:t>
            </w:r>
            <w:r>
              <w:rPr>
                <w:rFonts w:ascii="Times New Roman" w:hAnsi="Times New Roman"/>
                <w:lang w:val="sk-SK"/>
              </w:rPr>
              <w:t>, tlač poistných zmlúv, školenie zamestnancov</w:t>
            </w:r>
            <w:r w:rsidR="00530D16">
              <w:rPr>
                <w:rFonts w:ascii="Times New Roman" w:hAnsi="Times New Roman"/>
                <w:lang w:val="sk-SK"/>
              </w:rPr>
              <w:t>, náklady na zamestnancov</w:t>
            </w:r>
            <w:r>
              <w:rPr>
                <w:rFonts w:ascii="Times New Roman" w:hAnsi="Times New Roman"/>
                <w:lang w:val="sk-SK"/>
              </w:rPr>
              <w:t>)</w:t>
            </w:r>
            <w:r w:rsidR="00B72A12">
              <w:rPr>
                <w:rFonts w:ascii="Times New Roman" w:hAnsi="Times New Roman"/>
                <w:lang w:val="sk-SK"/>
              </w:rPr>
              <w:t>;</w:t>
            </w:r>
          </w:p>
          <w:p w:rsidR="00AE1864" w:rsidP="00AE1864">
            <w:pPr>
              <w:numPr>
                <w:numId w:val="25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jednorazové ako aj prevádzkové (každoročné) náklady vyplývajúce z vytvorenia centrálneho elektronického ponukového systému a s tým spojenej elektronickej komunikácie </w:t>
            </w:r>
            <w:r w:rsidR="00B72A12">
              <w:rPr>
                <w:rFonts w:ascii="Times New Roman" w:hAnsi="Times New Roman"/>
                <w:lang w:val="sk-SK"/>
              </w:rPr>
              <w:t xml:space="preserve"> </w:t>
            </w:r>
            <w:r>
              <w:rPr>
                <w:rFonts w:ascii="Times New Roman" w:hAnsi="Times New Roman"/>
                <w:lang w:val="sk-SK"/>
              </w:rPr>
              <w:t xml:space="preserve">so Sociálnou poisťovňou </w:t>
            </w:r>
            <w:r w:rsidRPr="00B538F1">
              <w:rPr>
                <w:rFonts w:ascii="Times New Roman" w:hAnsi="Times New Roman"/>
                <w:i/>
                <w:lang w:val="sk-SK"/>
              </w:rPr>
              <w:t>(v rámci  zadávania ponúk do centrálneho elektronického ponukového systému)</w:t>
            </w:r>
            <w:r>
              <w:rPr>
                <w:rFonts w:ascii="Times New Roman" w:hAnsi="Times New Roman"/>
                <w:lang w:val="sk-SK"/>
              </w:rPr>
              <w:t xml:space="preserve"> a s dôchodkovými správcovskými spoločnosťami</w:t>
            </w:r>
            <w:r w:rsidR="00B72A12">
              <w:rPr>
                <w:rFonts w:ascii="Times New Roman" w:hAnsi="Times New Roman"/>
                <w:lang w:val="sk-SK"/>
              </w:rPr>
              <w:t>;</w:t>
            </w:r>
          </w:p>
          <w:p w:rsidR="00F120DD" w:rsidP="00AA36B5">
            <w:pPr>
              <w:numPr>
                <w:numId w:val="26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="005A5419">
              <w:rPr>
                <w:rFonts w:ascii="Times New Roman" w:hAnsi="Times New Roman"/>
                <w:lang w:val="sk-SK"/>
              </w:rPr>
              <w:t xml:space="preserve"> zákaz predaja poistného produktu prostredníctvom finančných sprostredkovateľov</w:t>
            </w:r>
            <w:r>
              <w:rPr>
                <w:rFonts w:ascii="Times New Roman" w:hAnsi="Times New Roman"/>
                <w:lang w:val="sk-SK"/>
              </w:rPr>
              <w:t>;</w:t>
            </w:r>
          </w:p>
          <w:p w:rsidR="0022609F" w:rsidP="00AA36B5">
            <w:pPr>
              <w:numPr>
                <w:numId w:val="26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Pr="00B538F1" w:rsidR="009C754C">
              <w:rPr>
                <w:rFonts w:ascii="Times New Roman" w:hAnsi="Times New Roman"/>
                <w:lang w:val="sk-SK"/>
              </w:rPr>
              <w:t>povinnosť vykonáv</w:t>
            </w:r>
            <w:r w:rsidRPr="00B538F1" w:rsidR="00AA36B5">
              <w:rPr>
                <w:rFonts w:ascii="Times New Roman" w:hAnsi="Times New Roman"/>
                <w:lang w:val="sk-SK"/>
              </w:rPr>
              <w:t>a</w:t>
            </w:r>
            <w:r w:rsidRPr="00B538F1" w:rsidR="009C754C">
              <w:rPr>
                <w:rFonts w:ascii="Times New Roman" w:hAnsi="Times New Roman"/>
                <w:lang w:val="sk-SK"/>
              </w:rPr>
              <w:t>ť správu súvisiacu s predmetným poistným odvetvím oddelene od správy ostatných poistných produktov poisťovne tak, aby aktíva (majetok) a technické rezervy naviazané na toto poistné odvetvie boli jasne odlíšiteľné od ostatných aktív a technických rezerv poisťovne</w:t>
            </w:r>
            <w:r w:rsidR="00C14F6E">
              <w:rPr>
                <w:rFonts w:ascii="Times New Roman" w:hAnsi="Times New Roman"/>
                <w:lang w:val="sk-SK"/>
              </w:rPr>
              <w:t>, ako aj dodatočné náklady, ktoré si zavedenie takejto oddelenej správy vyžiada</w:t>
            </w:r>
            <w:r>
              <w:rPr>
                <w:rFonts w:ascii="Times New Roman" w:hAnsi="Times New Roman"/>
                <w:lang w:val="sk-SK"/>
              </w:rPr>
              <w:t>;</w:t>
            </w:r>
          </w:p>
          <w:p w:rsidR="009C754C" w:rsidRPr="00B538F1" w:rsidP="00AA36B5">
            <w:pPr>
              <w:numPr>
                <w:numId w:val="26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="0022609F">
              <w:rPr>
                <w:rFonts w:ascii="Times New Roman" w:hAnsi="Times New Roman"/>
                <w:lang w:val="sk-SK"/>
              </w:rPr>
              <w:t>umožnením vyplácania dobrovoľných príspevkov zaplatených na starobné dôchodkové sporenie formou programového výberu sa predpokladá zníženie objemu prostriedkov prevedených do poisťovní</w:t>
            </w:r>
            <w:r w:rsidR="00B72A12">
              <w:rPr>
                <w:rFonts w:ascii="Times New Roman" w:hAnsi="Times New Roman"/>
                <w:lang w:val="sk-SK"/>
              </w:rPr>
              <w:t>.</w:t>
            </w:r>
          </w:p>
          <w:p w:rsidR="009C754C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9C0B9B" w:rsidP="001D3006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</w:p>
          <w:p w:rsidR="001D3006" w:rsidP="001D3006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  <w:r w:rsidRPr="002F57D6">
              <w:rPr>
                <w:rFonts w:ascii="Times New Roman" w:hAnsi="Times New Roman"/>
                <w:b/>
                <w:lang w:val="sk-SK"/>
              </w:rPr>
              <w:t>Návrh zákona bude mať nasledovné negatívne vplyvy na </w:t>
            </w:r>
            <w:r>
              <w:rPr>
                <w:rFonts w:ascii="Times New Roman" w:hAnsi="Times New Roman"/>
                <w:b/>
                <w:lang w:val="sk-SK"/>
              </w:rPr>
              <w:t>dôchodkové správcovské spoločnosti</w:t>
            </w:r>
            <w:r w:rsidR="00B72A12">
              <w:rPr>
                <w:rFonts w:ascii="Times New Roman" w:hAnsi="Times New Roman"/>
                <w:b/>
                <w:lang w:val="sk-SK"/>
              </w:rPr>
              <w:t>:</w:t>
            </w:r>
          </w:p>
          <w:p w:rsidR="001D3006" w:rsidRPr="002F57D6" w:rsidP="001D3006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</w:p>
          <w:p w:rsidR="00FF72C0" w:rsidP="001D3006">
            <w:pPr>
              <w:numPr>
                <w:numId w:val="25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="001D3006">
              <w:rPr>
                <w:rFonts w:ascii="Times New Roman" w:hAnsi="Times New Roman"/>
                <w:lang w:val="sk-SK"/>
              </w:rPr>
              <w:t xml:space="preserve">jednorazové ako aj prevádzkové (každoročné) náklady vyplývajúce z vytvorenia centrálneho elektronického ponukového systému a s tým spojenej elektronickej komunikácie  so Sociálnou poisťovňou </w:t>
            </w:r>
            <w:r w:rsidRPr="00024A81" w:rsidR="001D3006">
              <w:rPr>
                <w:rFonts w:ascii="Times New Roman" w:hAnsi="Times New Roman"/>
                <w:i/>
                <w:lang w:val="sk-SK"/>
              </w:rPr>
              <w:t>(v rámci  zadávania ponúk do centrálneho elektronického ponukového systému)</w:t>
            </w:r>
            <w:r w:rsidR="00F120DD">
              <w:rPr>
                <w:rFonts w:ascii="Times New Roman" w:hAnsi="Times New Roman"/>
                <w:lang w:val="sk-SK"/>
              </w:rPr>
              <w:t xml:space="preserve"> a s </w:t>
            </w:r>
            <w:r w:rsidR="001D3006">
              <w:rPr>
                <w:rFonts w:ascii="Times New Roman" w:hAnsi="Times New Roman"/>
                <w:lang w:val="sk-SK"/>
              </w:rPr>
              <w:t>poisťovňami</w:t>
            </w:r>
            <w:r w:rsidR="00F120DD">
              <w:rPr>
                <w:rFonts w:ascii="Times New Roman" w:hAnsi="Times New Roman"/>
                <w:lang w:val="sk-SK"/>
              </w:rPr>
              <w:t>;</w:t>
            </w:r>
          </w:p>
          <w:p w:rsidR="00305A29" w:rsidP="001D3006">
            <w:pPr>
              <w:numPr>
                <w:numId w:val="25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="00FF72C0">
              <w:rPr>
                <w:rFonts w:ascii="Times New Roman" w:hAnsi="Times New Roman"/>
                <w:lang w:val="sk-SK"/>
              </w:rPr>
              <w:t xml:space="preserve">povinné príspevky na starobné dôchodkové sporenie sa </w:t>
            </w:r>
            <w:r w:rsidR="00560749">
              <w:rPr>
                <w:rFonts w:ascii="Times New Roman" w:hAnsi="Times New Roman"/>
                <w:lang w:val="sk-SK"/>
              </w:rPr>
              <w:t>nebudú platiť</w:t>
            </w:r>
            <w:r w:rsidR="00FF72C0">
              <w:rPr>
                <w:rFonts w:ascii="Times New Roman" w:hAnsi="Times New Roman"/>
                <w:lang w:val="sk-SK"/>
              </w:rPr>
              <w:t xml:space="preserve"> za sporiteľa, ktorému sa vypláca dôchodok formou programového výberu, ak popri poberaní dôchodku vykonáva zárobkovú činnosť, z ktorej je dôchodkov</w:t>
            </w:r>
            <w:r w:rsidR="00F120DD">
              <w:rPr>
                <w:rFonts w:ascii="Times New Roman" w:hAnsi="Times New Roman"/>
                <w:lang w:val="sk-SK"/>
              </w:rPr>
              <w:t>o</w:t>
            </w:r>
            <w:r w:rsidR="00FF72C0">
              <w:rPr>
                <w:rFonts w:ascii="Times New Roman" w:hAnsi="Times New Roman"/>
                <w:lang w:val="sk-SK"/>
              </w:rPr>
              <w:t xml:space="preserve"> poistený v</w:t>
            </w:r>
            <w:r w:rsidR="00F120DD">
              <w:rPr>
                <w:rFonts w:ascii="Times New Roman" w:hAnsi="Times New Roman"/>
                <w:lang w:val="sk-SK"/>
              </w:rPr>
              <w:t> systéme sociálneho poistenia;</w:t>
            </w:r>
          </w:p>
          <w:p w:rsidR="0062438B" w:rsidRPr="00B45CAB" w:rsidP="001D3006">
            <w:pPr>
              <w:numPr>
                <w:numId w:val="25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Pr="00B45CAB" w:rsidR="00305A29">
              <w:rPr>
                <w:rFonts w:ascii="Times New Roman" w:hAnsi="Times New Roman"/>
                <w:lang w:val="sk-SK"/>
              </w:rPr>
              <w:t>po smrti sporiteľa, ktorý poberal dôchodok formou programového výberu sa nebude vyplácať pozostalostný dôchodok</w:t>
            </w:r>
            <w:r w:rsidR="00982DE0">
              <w:rPr>
                <w:rFonts w:ascii="Times New Roman" w:hAnsi="Times New Roman"/>
                <w:lang w:val="sk-SK"/>
              </w:rPr>
              <w:t>, ale disponibilný zostatok bude predmetom dedenia</w:t>
            </w:r>
            <w:r w:rsidRPr="00B45CAB" w:rsidR="00F120DD">
              <w:rPr>
                <w:rFonts w:ascii="Times New Roman" w:hAnsi="Times New Roman"/>
                <w:lang w:val="sk-SK"/>
              </w:rPr>
              <w:t>;</w:t>
            </w:r>
          </w:p>
          <w:p w:rsidR="0062438B" w:rsidP="0062438B">
            <w:pPr>
              <w:numPr>
                <w:numId w:val="25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náklady na zmenu informačných systémov z dôvodu zavedenia nového výpisu z osobného </w:t>
            </w:r>
            <w:r w:rsidR="00A16B30">
              <w:rPr>
                <w:rFonts w:ascii="Times New Roman" w:hAnsi="Times New Roman"/>
                <w:lang w:val="sk-SK"/>
              </w:rPr>
              <w:t xml:space="preserve">dôchodkového </w:t>
            </w:r>
            <w:r>
              <w:rPr>
                <w:rFonts w:ascii="Times New Roman" w:hAnsi="Times New Roman"/>
                <w:lang w:val="sk-SK"/>
              </w:rPr>
              <w:t xml:space="preserve">účtu </w:t>
            </w:r>
            <w:r w:rsidR="00F120DD">
              <w:rPr>
                <w:rFonts w:ascii="Times New Roman" w:hAnsi="Times New Roman"/>
                <w:lang w:val="sk-SK"/>
              </w:rPr>
              <w:t>sporiteľa;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</w:p>
          <w:p w:rsidR="00FC0097" w:rsidP="0062438B">
            <w:pPr>
              <w:numPr>
                <w:numId w:val="25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Pr="0062438B" w:rsidR="0062438B">
              <w:rPr>
                <w:rFonts w:ascii="Times New Roman" w:hAnsi="Times New Roman"/>
                <w:lang w:val="sk-SK"/>
              </w:rPr>
              <w:t>náklady na zasielanie list</w:t>
            </w:r>
            <w:r w:rsidR="0062438B">
              <w:rPr>
                <w:rFonts w:ascii="Times New Roman" w:hAnsi="Times New Roman"/>
                <w:lang w:val="sk-SK"/>
              </w:rPr>
              <w:t>u</w:t>
            </w:r>
            <w:r w:rsidRPr="0062438B" w:rsidR="0062438B">
              <w:rPr>
                <w:rFonts w:ascii="Times New Roman" w:hAnsi="Times New Roman"/>
                <w:lang w:val="sk-SK"/>
              </w:rPr>
              <w:t xml:space="preserve"> obsahujúc</w:t>
            </w:r>
            <w:r w:rsidR="0062438B">
              <w:rPr>
                <w:rFonts w:ascii="Times New Roman" w:hAnsi="Times New Roman"/>
                <w:lang w:val="sk-SK"/>
              </w:rPr>
              <w:t>eho</w:t>
            </w:r>
            <w:r w:rsidRPr="0062438B" w:rsidR="0062438B">
              <w:rPr>
                <w:rFonts w:ascii="Times New Roman" w:hAnsi="Times New Roman"/>
                <w:lang w:val="sk-SK"/>
              </w:rPr>
              <w:t xml:space="preserve"> informáciu o</w:t>
            </w:r>
            <w:r w:rsidR="0062438B">
              <w:rPr>
                <w:rFonts w:ascii="Times New Roman" w:hAnsi="Times New Roman"/>
                <w:lang w:val="sk-SK"/>
              </w:rPr>
              <w:t> </w:t>
            </w:r>
            <w:r w:rsidRPr="0062438B" w:rsidR="0062438B">
              <w:rPr>
                <w:rFonts w:ascii="Times New Roman" w:hAnsi="Times New Roman"/>
                <w:lang w:val="sk-SK"/>
              </w:rPr>
              <w:t>dôchodkoch</w:t>
            </w:r>
            <w:r w:rsidR="0062438B">
              <w:rPr>
                <w:rFonts w:ascii="Times New Roman" w:hAnsi="Times New Roman"/>
                <w:lang w:val="sk-SK"/>
              </w:rPr>
              <w:t xml:space="preserve"> pred dovŕšením dôchodkového veku</w:t>
            </w:r>
            <w:r>
              <w:rPr>
                <w:rFonts w:ascii="Times New Roman" w:hAnsi="Times New Roman"/>
                <w:lang w:val="sk-SK"/>
              </w:rPr>
              <w:t>;</w:t>
            </w:r>
          </w:p>
          <w:p w:rsidR="00C14D8A" w:rsidRPr="001A6C4A" w:rsidP="0062438B">
            <w:pPr>
              <w:numPr>
                <w:numId w:val="25"/>
              </w:numPr>
              <w:bidi w:val="0"/>
              <w:ind w:left="170" w:hanging="170"/>
              <w:jc w:val="both"/>
              <w:rPr>
                <w:rFonts w:ascii="Times New Roman" w:hAnsi="Times New Roman"/>
                <w:lang w:val="sk-SK"/>
              </w:rPr>
            </w:pPr>
            <w:r w:rsidRPr="001A6C4A" w:rsidR="00FC0097">
              <w:rPr>
                <w:rFonts w:ascii="Times New Roman" w:hAnsi="Times New Roman"/>
                <w:lang w:val="sk-SK"/>
              </w:rPr>
              <w:t>dôchodkové správcovské spoločnosti nebudú mať nárok na odplatu za správu osobného dôchodkového účtu v období po vydaní certifikátu, keďže dochádza k redemácií dôchodkových jednotiek</w:t>
            </w:r>
            <w:r w:rsidRPr="001A6C4A" w:rsidR="00F120DD">
              <w:rPr>
                <w:rFonts w:ascii="Times New Roman" w:hAnsi="Times New Roman"/>
                <w:lang w:val="sk-SK"/>
              </w:rPr>
              <w:t>.</w:t>
            </w:r>
          </w:p>
          <w:p w:rsidR="00276AD0" w:rsidRPr="00276AD0" w:rsidP="002F57D6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3.3</w:t>
            </w:r>
            <w:r>
              <w:rPr>
                <w:rFonts w:ascii="Times New Roman" w:hAnsi="Times New Roman"/>
                <w:lang w:val="sk-SK"/>
              </w:rPr>
              <w:t>. Aká je predpokladaná výška administratívnych nákladov, ktoré podniky vynaložia v súvislosti s implementáciou návrhu?</w:t>
            </w:r>
          </w:p>
          <w:p w:rsidR="003B0B8B">
            <w:pPr>
              <w:bidi w:val="0"/>
              <w:ind w:left="360" w:hanging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457BED" w:rsidP="00457BED">
            <w:pPr>
              <w:bidi w:val="0"/>
              <w:rPr>
                <w:rFonts w:ascii="Times New Roman" w:hAnsi="Times New Roman"/>
                <w:lang w:val="sk-SK"/>
              </w:rPr>
            </w:pPr>
          </w:p>
          <w:p w:rsidR="003B0B8B" w:rsidP="00AE186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457BED" w:rsidR="00457BED">
              <w:rPr>
                <w:rFonts w:ascii="Times New Roman" w:hAnsi="Times New Roman"/>
                <w:lang w:val="sk-SK"/>
              </w:rPr>
              <w:t xml:space="preserve">Vplyvom navrhovaných legislatívnych zmien sa očakávajú </w:t>
            </w:r>
            <w:r w:rsidR="00AE1864">
              <w:rPr>
                <w:rFonts w:ascii="Times New Roman" w:hAnsi="Times New Roman"/>
                <w:lang w:val="sk-SK"/>
              </w:rPr>
              <w:t xml:space="preserve">najmä </w:t>
            </w:r>
            <w:r w:rsidRPr="00457BED" w:rsidR="00457BED">
              <w:rPr>
                <w:rFonts w:ascii="Times New Roman" w:hAnsi="Times New Roman"/>
                <w:lang w:val="sk-SK"/>
              </w:rPr>
              <w:t xml:space="preserve">jednorazové výdavky </w:t>
            </w:r>
            <w:r w:rsidR="00457BED">
              <w:rPr>
                <w:rFonts w:ascii="Times New Roman" w:hAnsi="Times New Roman"/>
                <w:lang w:val="sk-SK"/>
              </w:rPr>
              <w:t xml:space="preserve">dôchodkových správcovských spoločností a poisťovní </w:t>
            </w:r>
            <w:r w:rsidR="00A16B30">
              <w:rPr>
                <w:rFonts w:ascii="Times New Roman" w:hAnsi="Times New Roman"/>
                <w:lang w:val="sk-SK"/>
              </w:rPr>
              <w:t>hlavne</w:t>
            </w:r>
            <w:r w:rsidR="00457BED">
              <w:rPr>
                <w:rFonts w:ascii="Times New Roman" w:hAnsi="Times New Roman"/>
                <w:lang w:val="sk-SK"/>
              </w:rPr>
              <w:t xml:space="preserve"> z</w:t>
            </w:r>
            <w:r w:rsidRPr="00457BED" w:rsidR="00457BED">
              <w:rPr>
                <w:rFonts w:ascii="Times New Roman" w:hAnsi="Times New Roman"/>
                <w:lang w:val="sk-SK"/>
              </w:rPr>
              <w:t xml:space="preserve"> dôvodu </w:t>
            </w:r>
            <w:r w:rsidR="00457BED">
              <w:rPr>
                <w:rFonts w:ascii="Times New Roman" w:hAnsi="Times New Roman"/>
                <w:lang w:val="sk-SK"/>
              </w:rPr>
              <w:t>úpravy ich informačných systémov.</w:t>
            </w:r>
          </w:p>
          <w:p w:rsidR="00847B1A" w:rsidP="00AE186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847B1A" w:rsidP="00AE1864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V súvislosti so zasielaním listu sporiteľom obsahujúceho informáciu o dôchodkoch </w:t>
            </w:r>
            <w:r w:rsidR="003C59BF">
              <w:rPr>
                <w:rFonts w:ascii="Times New Roman" w:hAnsi="Times New Roman"/>
                <w:lang w:val="sk-SK"/>
              </w:rPr>
              <w:t xml:space="preserve">zo systému starobného dôchodkového sporenia </w:t>
            </w:r>
            <w:r>
              <w:rPr>
                <w:rFonts w:ascii="Times New Roman" w:hAnsi="Times New Roman"/>
                <w:lang w:val="sk-SK"/>
              </w:rPr>
              <w:t>pred dovŕšením dôchodkového veku sa predpokladajú nové administratívne povinnosti pre dôchodkové správcovské spoločnosti, avšak tieto listy budú súčasťou povinných výpisov osobného dôchodkového účtu sporiteľov vo veku 60 rokov.</w:t>
            </w:r>
          </w:p>
          <w:p w:rsidR="00457BED" w:rsidRPr="00457BED" w:rsidP="00457BED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3.4</w:t>
            </w:r>
            <w:r>
              <w:rPr>
                <w:rFonts w:ascii="Times New Roman" w:hAnsi="Times New Roman"/>
                <w:lang w:val="sk-SK"/>
              </w:rPr>
              <w:t>. Aké sú dôsledky pripravovaného návrhu pre fungovanie podnikateľských subjektov na slovenskom trhu (ako sa zmenia operácie na trhu?)</w:t>
            </w:r>
          </w:p>
          <w:p w:rsidR="003B0B8B">
            <w:pPr>
              <w:bidi w:val="0"/>
              <w:ind w:left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457BED" w:rsidP="00F120DD">
            <w:pPr>
              <w:bidi w:val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457BED" w:rsidR="00457BED">
              <w:rPr>
                <w:rFonts w:ascii="Times New Roman" w:hAnsi="Times New Roman"/>
                <w:lang w:val="sk-SK"/>
              </w:rPr>
              <w:t xml:space="preserve">Vplyvom navrhovaných zmien sa predpokladá </w:t>
            </w:r>
            <w:r w:rsidR="00A818D0">
              <w:rPr>
                <w:rFonts w:ascii="Times New Roman" w:hAnsi="Times New Roman"/>
                <w:lang w:val="sk-SK"/>
              </w:rPr>
              <w:t xml:space="preserve">pozitívny vplyv na </w:t>
            </w:r>
            <w:r w:rsidRPr="00457BED" w:rsidR="00457BED">
              <w:rPr>
                <w:rFonts w:ascii="Times New Roman" w:hAnsi="Times New Roman"/>
                <w:lang w:val="sk-SK"/>
              </w:rPr>
              <w:t xml:space="preserve"> fungovani</w:t>
            </w:r>
            <w:r w:rsidR="00A818D0">
              <w:rPr>
                <w:rFonts w:ascii="Times New Roman" w:hAnsi="Times New Roman"/>
                <w:lang w:val="sk-SK"/>
              </w:rPr>
              <w:t>e</w:t>
            </w:r>
            <w:r w:rsidRPr="00457BED" w:rsidR="00457BED">
              <w:rPr>
                <w:rFonts w:ascii="Times New Roman" w:hAnsi="Times New Roman"/>
                <w:lang w:val="sk-SK"/>
              </w:rPr>
              <w:t xml:space="preserve"> podnikateľských subjektov</w:t>
            </w:r>
            <w:r w:rsidR="00A818D0">
              <w:rPr>
                <w:rFonts w:ascii="Times New Roman" w:hAnsi="Times New Roman"/>
                <w:lang w:val="sk-SK"/>
              </w:rPr>
              <w:t xml:space="preserve"> (poisťovní)</w:t>
            </w:r>
            <w:r w:rsidRPr="00457BED" w:rsidR="00457BED">
              <w:rPr>
                <w:rFonts w:ascii="Times New Roman" w:hAnsi="Times New Roman"/>
                <w:lang w:val="sk-SK"/>
              </w:rPr>
              <w:t xml:space="preserve"> na slovenskom trhu</w:t>
            </w:r>
            <w:r w:rsidR="00A818D0">
              <w:rPr>
                <w:rFonts w:ascii="Times New Roman" w:hAnsi="Times New Roman"/>
                <w:lang w:val="sk-SK"/>
              </w:rPr>
              <w:t xml:space="preserve"> z dôvodu vytvorenia nové</w:t>
            </w:r>
            <w:r w:rsidR="00B72A12">
              <w:rPr>
                <w:rFonts w:ascii="Times New Roman" w:hAnsi="Times New Roman"/>
                <w:lang w:val="sk-SK"/>
              </w:rPr>
              <w:t>ho poistného odvetvia (poistenia</w:t>
            </w:r>
            <w:r w:rsidR="00A818D0">
              <w:rPr>
                <w:rFonts w:ascii="Times New Roman" w:hAnsi="Times New Roman"/>
                <w:lang w:val="sk-SK"/>
              </w:rPr>
              <w:t xml:space="preserve"> týkajúce</w:t>
            </w:r>
            <w:r w:rsidR="00B72A12">
              <w:rPr>
                <w:rFonts w:ascii="Times New Roman" w:hAnsi="Times New Roman"/>
                <w:lang w:val="sk-SK"/>
              </w:rPr>
              <w:t>ho</w:t>
            </w:r>
            <w:r w:rsidR="00A818D0">
              <w:rPr>
                <w:rFonts w:ascii="Times New Roman" w:hAnsi="Times New Roman"/>
                <w:lang w:val="sk-SK"/>
              </w:rPr>
              <w:t xml:space="preserve"> sa dĺžky ľudského života)</w:t>
            </w:r>
            <w:r w:rsidR="00B538F1">
              <w:rPr>
                <w:rFonts w:ascii="Times New Roman" w:hAnsi="Times New Roman"/>
                <w:lang w:val="sk-SK"/>
              </w:rPr>
              <w:t>,</w:t>
            </w:r>
            <w:r w:rsidR="00F956E0">
              <w:rPr>
                <w:rFonts w:ascii="Times New Roman" w:hAnsi="Times New Roman"/>
                <w:lang w:val="sk-SK"/>
              </w:rPr>
              <w:t xml:space="preserve"> ako aj z dôvodu vytvorenia komplexnej právnej úpravy vyplácania dôchodkov zo systému starobného dôchodkového sporenia</w:t>
            </w:r>
            <w:r w:rsidRPr="00457BED" w:rsidR="00457BED">
              <w:rPr>
                <w:rFonts w:ascii="Times New Roman" w:hAnsi="Times New Roman"/>
                <w:lang w:val="sk-SK"/>
              </w:rPr>
              <w:t>.</w:t>
            </w:r>
          </w:p>
        </w:tc>
      </w:tr>
      <w:tr>
        <w:tblPrEx>
          <w:tblW w:w="9195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3.5</w:t>
            </w:r>
            <w:r>
              <w:rPr>
                <w:rFonts w:ascii="Times New Roman" w:hAnsi="Times New Roman"/>
                <w:lang w:val="sk-SK"/>
              </w:rPr>
              <w:t>. Aké sú predpokladané spoločensko – ekonomické dôsledky pripravovaných regulácií?</w:t>
            </w:r>
          </w:p>
          <w:p w:rsidR="003B0B8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3B0B8B" w:rsidRPr="00F956E0" w:rsidP="00F956E0">
            <w:pPr>
              <w:bidi w:val="0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k-SK"/>
              </w:rPr>
            </w:pPr>
            <w:r w:rsidRPr="00F956E0" w:rsidR="00F956E0">
              <w:rPr>
                <w:rFonts w:ascii="Times New Roman" w:hAnsi="Times New Roman"/>
                <w:lang w:val="sk-SK"/>
              </w:rPr>
              <w:t>Návrhom zákona sa vytvára komplexná právna úprava  vyplácania dôchodkov zo systému starobného dôchodkového sporenia a</w:t>
            </w:r>
            <w:r w:rsidR="00F956E0">
              <w:rPr>
                <w:rFonts w:ascii="Times New Roman" w:hAnsi="Times New Roman"/>
                <w:lang w:val="sk-SK"/>
              </w:rPr>
              <w:t> vytvárajú sa predpoklady</w:t>
            </w:r>
            <w:r w:rsidRPr="00F956E0" w:rsidR="00F956E0">
              <w:rPr>
                <w:rFonts w:ascii="Times New Roman" w:hAnsi="Times New Roman"/>
                <w:lang w:val="sk-SK"/>
              </w:rPr>
              <w:t xml:space="preserve"> pre ich vyplácanie</w:t>
            </w:r>
            <w:r w:rsidR="00F956E0">
              <w:rPr>
                <w:rFonts w:ascii="Times New Roman" w:hAnsi="Times New Roman"/>
                <w:lang w:val="sk-SK"/>
              </w:rPr>
              <w:t>.</w:t>
            </w:r>
          </w:p>
        </w:tc>
      </w:tr>
    </w:tbl>
    <w:p w:rsidR="00F33671">
      <w:pPr>
        <w:pStyle w:val="Title"/>
        <w:bidi w:val="0"/>
        <w:jc w:val="left"/>
        <w:rPr>
          <w:rFonts w:ascii="Times New Roman" w:hAnsi="Times New Roman"/>
        </w:rPr>
      </w:pPr>
    </w:p>
    <w:sectPr w:rsidSect="00DE582D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05E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EF0E6F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3A205E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E31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57AF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8838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2">
    <w:nsid w:val="01107B31"/>
    <w:multiLevelType w:val="hybridMultilevel"/>
    <w:tmpl w:val="64F2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4">
    <w:nsid w:val="134E4F2B"/>
    <w:multiLevelType w:val="multilevel"/>
    <w:tmpl w:val="B23A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  <w:rtl w:val="0"/>
        <w:cs w:val="0"/>
      </w:rPr>
    </w:lvl>
  </w:abstractNum>
  <w:abstractNum w:abstractNumId="5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0FA54B1"/>
    <w:multiLevelType w:val="hybridMultilevel"/>
    <w:tmpl w:val="8FFA024A"/>
    <w:lvl w:ilvl="0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7D824E1"/>
    <w:multiLevelType w:val="hybridMultilevel"/>
    <w:tmpl w:val="2E1A01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196616"/>
    <w:multiLevelType w:val="hybridMultilevel"/>
    <w:tmpl w:val="5AA85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C5166"/>
    <w:multiLevelType w:val="hybridMultilevel"/>
    <w:tmpl w:val="02002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A6BC3"/>
    <w:multiLevelType w:val="hybridMultilevel"/>
    <w:tmpl w:val="E716D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B55DE"/>
    <w:multiLevelType w:val="hybridMultilevel"/>
    <w:tmpl w:val="E0FA96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>
    <w:nsid w:val="5E540BE9"/>
    <w:multiLevelType w:val="hybridMultilevel"/>
    <w:tmpl w:val="49746D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6C3FB2"/>
    <w:multiLevelType w:val="hybridMultilevel"/>
    <w:tmpl w:val="BAA02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29576C"/>
    <w:multiLevelType w:val="hybridMultilevel"/>
    <w:tmpl w:val="3D28BC90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7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427369"/>
    <w:multiLevelType w:val="hybridMultilevel"/>
    <w:tmpl w:val="A16A11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D0C12C8"/>
    <w:multiLevelType w:val="hybridMultilevel"/>
    <w:tmpl w:val="3A7044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2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3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4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5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6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7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8">
      <w:start w:val="0"/>
      <w:numFmt w:val="none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20"/>
  </w:num>
  <w:num w:numId="15">
    <w:abstractNumId w:val="5"/>
  </w:num>
  <w:num w:numId="16">
    <w:abstractNumId w:val="19"/>
  </w:num>
  <w:num w:numId="17">
    <w:abstractNumId w:val="21"/>
  </w:num>
  <w:num w:numId="18">
    <w:abstractNumId w:val="1"/>
  </w:num>
  <w:num w:numId="19">
    <w:abstractNumId w:val="13"/>
  </w:num>
  <w:num w:numId="20">
    <w:abstractNumId w:val="3"/>
  </w:num>
  <w:num w:numId="21">
    <w:abstractNumId w:val="2"/>
  </w:num>
  <w:num w:numId="22">
    <w:abstractNumId w:val="7"/>
  </w:num>
  <w:num w:numId="23">
    <w:abstractNumId w:val="17"/>
  </w:num>
  <w:num w:numId="24">
    <w:abstractNumId w:val="12"/>
  </w:num>
  <w:num w:numId="25">
    <w:abstractNumId w:val="8"/>
  </w:num>
  <w:num w:numId="26">
    <w:abstractNumId w:val="10"/>
  </w:num>
  <w:num w:numId="27">
    <w:abstractNumId w:val="14"/>
  </w:num>
  <w:num w:numId="28">
    <w:abstractNumId w:val="18"/>
  </w:num>
  <w:num w:numId="29">
    <w:abstractNumId w:val="16"/>
  </w:num>
  <w:num w:numId="30">
    <w:abstractNumId w:val="6"/>
  </w:num>
  <w:num w:numId="31">
    <w:abstractNumId w:val="4"/>
  </w:num>
  <w:num w:numId="32">
    <w:abstractNumId w:val="11"/>
  </w:num>
  <w:num w:numId="33">
    <w:abstractNumId w:val="9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oNotTrackMoves/>
  <w:defaultTabStop w:val="708"/>
  <w:hyphenationZone w:val="425"/>
  <w:characterSpacingControl w:val="doNotCompress"/>
  <w:compat/>
  <w:rsids>
    <w:rsidRoot w:val="003B0B8B"/>
    <w:rsid w:val="00015B98"/>
    <w:rsid w:val="00024A81"/>
    <w:rsid w:val="00024AEC"/>
    <w:rsid w:val="0004463C"/>
    <w:rsid w:val="00046F92"/>
    <w:rsid w:val="00057B5B"/>
    <w:rsid w:val="00076D39"/>
    <w:rsid w:val="0008130C"/>
    <w:rsid w:val="0009011A"/>
    <w:rsid w:val="000A4754"/>
    <w:rsid w:val="000B075F"/>
    <w:rsid w:val="000B50AA"/>
    <w:rsid w:val="000B585A"/>
    <w:rsid w:val="000C3170"/>
    <w:rsid w:val="000D416F"/>
    <w:rsid w:val="001106F1"/>
    <w:rsid w:val="00112FEE"/>
    <w:rsid w:val="00142037"/>
    <w:rsid w:val="00151034"/>
    <w:rsid w:val="00151CB3"/>
    <w:rsid w:val="001571F0"/>
    <w:rsid w:val="001703A3"/>
    <w:rsid w:val="00172ABE"/>
    <w:rsid w:val="0019547C"/>
    <w:rsid w:val="001A6C4A"/>
    <w:rsid w:val="001C471C"/>
    <w:rsid w:val="001D17F7"/>
    <w:rsid w:val="001D3006"/>
    <w:rsid w:val="001E01B2"/>
    <w:rsid w:val="001E1E5F"/>
    <w:rsid w:val="001E684A"/>
    <w:rsid w:val="002026D0"/>
    <w:rsid w:val="00202B54"/>
    <w:rsid w:val="0022609F"/>
    <w:rsid w:val="0023474C"/>
    <w:rsid w:val="00235A61"/>
    <w:rsid w:val="00270C87"/>
    <w:rsid w:val="00272125"/>
    <w:rsid w:val="0027519C"/>
    <w:rsid w:val="00276AD0"/>
    <w:rsid w:val="00276D67"/>
    <w:rsid w:val="002C1F64"/>
    <w:rsid w:val="002C655B"/>
    <w:rsid w:val="002D2F83"/>
    <w:rsid w:val="002F19B8"/>
    <w:rsid w:val="002F2EAC"/>
    <w:rsid w:val="002F57D6"/>
    <w:rsid w:val="00305A29"/>
    <w:rsid w:val="00320102"/>
    <w:rsid w:val="00327BC4"/>
    <w:rsid w:val="00340121"/>
    <w:rsid w:val="00360BC6"/>
    <w:rsid w:val="00365797"/>
    <w:rsid w:val="0037700F"/>
    <w:rsid w:val="0038415A"/>
    <w:rsid w:val="00384608"/>
    <w:rsid w:val="003930A8"/>
    <w:rsid w:val="003A205E"/>
    <w:rsid w:val="003B0B8B"/>
    <w:rsid w:val="003C37D5"/>
    <w:rsid w:val="003C59BF"/>
    <w:rsid w:val="003F07C6"/>
    <w:rsid w:val="00406764"/>
    <w:rsid w:val="00440E25"/>
    <w:rsid w:val="00457BED"/>
    <w:rsid w:val="00466826"/>
    <w:rsid w:val="00492B4C"/>
    <w:rsid w:val="004A2311"/>
    <w:rsid w:val="004A533F"/>
    <w:rsid w:val="004C1CAF"/>
    <w:rsid w:val="004C596E"/>
    <w:rsid w:val="004F2C79"/>
    <w:rsid w:val="004F5E63"/>
    <w:rsid w:val="004F6E31"/>
    <w:rsid w:val="0050115C"/>
    <w:rsid w:val="0051064A"/>
    <w:rsid w:val="00530D16"/>
    <w:rsid w:val="005554BE"/>
    <w:rsid w:val="00557411"/>
    <w:rsid w:val="00560749"/>
    <w:rsid w:val="0058351B"/>
    <w:rsid w:val="005A45FE"/>
    <w:rsid w:val="005A5419"/>
    <w:rsid w:val="005B5E16"/>
    <w:rsid w:val="005E4C81"/>
    <w:rsid w:val="006035CC"/>
    <w:rsid w:val="00615BDB"/>
    <w:rsid w:val="0062438B"/>
    <w:rsid w:val="00630ACF"/>
    <w:rsid w:val="00632169"/>
    <w:rsid w:val="00651713"/>
    <w:rsid w:val="006632B9"/>
    <w:rsid w:val="00667DBB"/>
    <w:rsid w:val="00694F79"/>
    <w:rsid w:val="006B7F5A"/>
    <w:rsid w:val="006C531B"/>
    <w:rsid w:val="006C5DA0"/>
    <w:rsid w:val="006E196D"/>
    <w:rsid w:val="006F1963"/>
    <w:rsid w:val="006F3CB5"/>
    <w:rsid w:val="006F6A99"/>
    <w:rsid w:val="006F7577"/>
    <w:rsid w:val="00705A21"/>
    <w:rsid w:val="00705FF4"/>
    <w:rsid w:val="00730117"/>
    <w:rsid w:val="007607B7"/>
    <w:rsid w:val="00764227"/>
    <w:rsid w:val="00771282"/>
    <w:rsid w:val="0077345A"/>
    <w:rsid w:val="007A18AE"/>
    <w:rsid w:val="007B0A52"/>
    <w:rsid w:val="007B770C"/>
    <w:rsid w:val="007E475F"/>
    <w:rsid w:val="008234C3"/>
    <w:rsid w:val="00825E2E"/>
    <w:rsid w:val="00833878"/>
    <w:rsid w:val="008357E2"/>
    <w:rsid w:val="0084776E"/>
    <w:rsid w:val="00847B1A"/>
    <w:rsid w:val="00851329"/>
    <w:rsid w:val="0085629D"/>
    <w:rsid w:val="00860350"/>
    <w:rsid w:val="008652F9"/>
    <w:rsid w:val="00883741"/>
    <w:rsid w:val="00897E55"/>
    <w:rsid w:val="008A2198"/>
    <w:rsid w:val="008A50B4"/>
    <w:rsid w:val="008C0B62"/>
    <w:rsid w:val="008E46BD"/>
    <w:rsid w:val="00903342"/>
    <w:rsid w:val="00933E5C"/>
    <w:rsid w:val="009340EE"/>
    <w:rsid w:val="00937266"/>
    <w:rsid w:val="00953292"/>
    <w:rsid w:val="00972667"/>
    <w:rsid w:val="0097330F"/>
    <w:rsid w:val="009764E6"/>
    <w:rsid w:val="00982DE0"/>
    <w:rsid w:val="009901BE"/>
    <w:rsid w:val="009A17E7"/>
    <w:rsid w:val="009A2014"/>
    <w:rsid w:val="009A74B2"/>
    <w:rsid w:val="009B16EB"/>
    <w:rsid w:val="009B42B6"/>
    <w:rsid w:val="009C0B9B"/>
    <w:rsid w:val="009C754C"/>
    <w:rsid w:val="009D100C"/>
    <w:rsid w:val="009D6F10"/>
    <w:rsid w:val="009E1AEC"/>
    <w:rsid w:val="009F12DC"/>
    <w:rsid w:val="009F360E"/>
    <w:rsid w:val="009F45BF"/>
    <w:rsid w:val="00A01607"/>
    <w:rsid w:val="00A079C1"/>
    <w:rsid w:val="00A16B30"/>
    <w:rsid w:val="00A17957"/>
    <w:rsid w:val="00A55DE6"/>
    <w:rsid w:val="00A63024"/>
    <w:rsid w:val="00A67D9C"/>
    <w:rsid w:val="00A769BC"/>
    <w:rsid w:val="00A818D0"/>
    <w:rsid w:val="00A87119"/>
    <w:rsid w:val="00AA074F"/>
    <w:rsid w:val="00AA0E43"/>
    <w:rsid w:val="00AA2322"/>
    <w:rsid w:val="00AA2459"/>
    <w:rsid w:val="00AA36B5"/>
    <w:rsid w:val="00AB1C36"/>
    <w:rsid w:val="00AB4BE0"/>
    <w:rsid w:val="00AC1803"/>
    <w:rsid w:val="00AC70DB"/>
    <w:rsid w:val="00AD173B"/>
    <w:rsid w:val="00AE1864"/>
    <w:rsid w:val="00AF6E87"/>
    <w:rsid w:val="00B061E1"/>
    <w:rsid w:val="00B134C1"/>
    <w:rsid w:val="00B234CA"/>
    <w:rsid w:val="00B25476"/>
    <w:rsid w:val="00B25F10"/>
    <w:rsid w:val="00B262C8"/>
    <w:rsid w:val="00B31F9C"/>
    <w:rsid w:val="00B3534A"/>
    <w:rsid w:val="00B36A7F"/>
    <w:rsid w:val="00B45CAB"/>
    <w:rsid w:val="00B538F1"/>
    <w:rsid w:val="00B60DEB"/>
    <w:rsid w:val="00B64712"/>
    <w:rsid w:val="00B727E5"/>
    <w:rsid w:val="00B72A12"/>
    <w:rsid w:val="00B753B3"/>
    <w:rsid w:val="00B869F1"/>
    <w:rsid w:val="00BA3DFB"/>
    <w:rsid w:val="00BA4EC4"/>
    <w:rsid w:val="00BD35DD"/>
    <w:rsid w:val="00BD7FD1"/>
    <w:rsid w:val="00BE1927"/>
    <w:rsid w:val="00BF704F"/>
    <w:rsid w:val="00C002D3"/>
    <w:rsid w:val="00C14D8A"/>
    <w:rsid w:val="00C14F6E"/>
    <w:rsid w:val="00C21DFD"/>
    <w:rsid w:val="00C3304E"/>
    <w:rsid w:val="00C34AD1"/>
    <w:rsid w:val="00C41826"/>
    <w:rsid w:val="00C418B1"/>
    <w:rsid w:val="00C47F38"/>
    <w:rsid w:val="00C575B5"/>
    <w:rsid w:val="00C731B6"/>
    <w:rsid w:val="00CA0D43"/>
    <w:rsid w:val="00CC068F"/>
    <w:rsid w:val="00D155DA"/>
    <w:rsid w:val="00D22FE1"/>
    <w:rsid w:val="00D31423"/>
    <w:rsid w:val="00D3793A"/>
    <w:rsid w:val="00D415BA"/>
    <w:rsid w:val="00D43A3D"/>
    <w:rsid w:val="00D5385E"/>
    <w:rsid w:val="00D56C29"/>
    <w:rsid w:val="00D60635"/>
    <w:rsid w:val="00D629B7"/>
    <w:rsid w:val="00D67D13"/>
    <w:rsid w:val="00D8232D"/>
    <w:rsid w:val="00DA5FBC"/>
    <w:rsid w:val="00DB0BE7"/>
    <w:rsid w:val="00DC552A"/>
    <w:rsid w:val="00DD39DC"/>
    <w:rsid w:val="00DE582D"/>
    <w:rsid w:val="00DF12C2"/>
    <w:rsid w:val="00DF579D"/>
    <w:rsid w:val="00E106B2"/>
    <w:rsid w:val="00E46F00"/>
    <w:rsid w:val="00E56B6B"/>
    <w:rsid w:val="00E64539"/>
    <w:rsid w:val="00E67A7B"/>
    <w:rsid w:val="00E753A0"/>
    <w:rsid w:val="00EC28DC"/>
    <w:rsid w:val="00ED360F"/>
    <w:rsid w:val="00EE18B5"/>
    <w:rsid w:val="00EF0E6F"/>
    <w:rsid w:val="00EF3E5B"/>
    <w:rsid w:val="00EF736B"/>
    <w:rsid w:val="00F006F9"/>
    <w:rsid w:val="00F04218"/>
    <w:rsid w:val="00F120DD"/>
    <w:rsid w:val="00F14222"/>
    <w:rsid w:val="00F21AC7"/>
    <w:rsid w:val="00F33671"/>
    <w:rsid w:val="00F500BB"/>
    <w:rsid w:val="00F81E17"/>
    <w:rsid w:val="00F849FD"/>
    <w:rsid w:val="00F956E0"/>
    <w:rsid w:val="00FC0097"/>
    <w:rsid w:val="00FD3480"/>
    <w:rsid w:val="00FE4EA4"/>
    <w:rsid w:val="00FF72C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page number" w:uiPriority="99"/>
    <w:lsdException w:name="List Number" w:uiPriority="99"/>
    <w:lsdException w:name="Title" w:uiPriority="10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232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paragraph" w:styleId="Heading2">
    <w:name w:val="heading 2"/>
    <w:aliases w:val="Paragraaf"/>
    <w:basedOn w:val="Normal"/>
    <w:next w:val="BodyText3"/>
    <w:link w:val="Nadpis2Char"/>
    <w:uiPriority w:val="9"/>
    <w:qFormat/>
    <w:rsid w:val="00AA2322"/>
    <w:pPr>
      <w:keepNext/>
      <w:keepLines/>
      <w:tabs>
        <w:tab w:val="left" w:pos="1701"/>
      </w:tabs>
      <w:spacing w:before="240" w:after="120"/>
      <w:jc w:val="left"/>
      <w:outlineLvl w:val="1"/>
    </w:pPr>
    <w:rPr>
      <w:b/>
      <w:kern w:val="28"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Nadpis6Char"/>
    <w:uiPriority w:val="9"/>
    <w:qFormat/>
    <w:rsid w:val="00AA2322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aliases w:val="Paragraaf Char"/>
    <w:basedOn w:val="DefaultParagraphFont"/>
    <w:link w:val="Heading2"/>
    <w:uiPriority w:val="9"/>
    <w:locked/>
    <w:rsid w:val="00825E2E"/>
    <w:rPr>
      <w:rFonts w:cs="Times New Roman"/>
      <w:b/>
      <w:kern w:val="28"/>
      <w:sz w:val="28"/>
      <w:rtl w:val="0"/>
      <w:cs w:val="0"/>
      <w:lang w:val="en-GB" w:eastAsia="en-US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825E2E"/>
    <w:rPr>
      <w:rFonts w:cs="Times New Roman"/>
      <w:b/>
      <w:bCs/>
      <w:sz w:val="22"/>
      <w:szCs w:val="22"/>
      <w:rtl w:val="0"/>
      <w:cs w:val="0"/>
      <w:lang w:val="en-US" w:eastAsia="x-none"/>
    </w:rPr>
  </w:style>
  <w:style w:type="paragraph" w:styleId="BodyText">
    <w:name w:val="Body Text"/>
    <w:basedOn w:val="Normal"/>
    <w:link w:val="ZkladntextChar"/>
    <w:uiPriority w:val="99"/>
    <w:rsid w:val="00AA2322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C28DC"/>
    <w:rPr>
      <w:rFonts w:cs="Times New Roman"/>
      <w:b/>
      <w:sz w:val="24"/>
      <w:rtl w:val="0"/>
      <w:cs w:val="0"/>
    </w:rPr>
  </w:style>
  <w:style w:type="paragraph" w:styleId="ListNumber">
    <w:name w:val="List Number"/>
    <w:basedOn w:val="Normal"/>
    <w:uiPriority w:val="99"/>
    <w:rsid w:val="00AA2322"/>
    <w:pPr>
      <w:tabs>
        <w:tab w:val="num" w:pos="643"/>
        <w:tab w:val="left" w:pos="709"/>
        <w:tab w:val="num" w:pos="1418"/>
      </w:tabs>
      <w:spacing w:before="80"/>
      <w:ind w:left="1418" w:hanging="567"/>
      <w:jc w:val="both"/>
    </w:pPr>
    <w:rPr>
      <w:szCs w:val="20"/>
      <w:lang w:val="en-GB" w:eastAsia="en-US"/>
    </w:rPr>
  </w:style>
  <w:style w:type="character" w:styleId="Hyperlink">
    <w:name w:val="Hyperlink"/>
    <w:basedOn w:val="DefaultParagraphFont"/>
    <w:uiPriority w:val="99"/>
    <w:rsid w:val="003C37D5"/>
    <w:rPr>
      <w:rFonts w:cs="Times New Roman"/>
      <w:color w:val="0000FF"/>
      <w:u w:val="single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AA2322"/>
    <w:pPr>
      <w:jc w:val="center"/>
    </w:pPr>
    <w:rPr>
      <w:sz w:val="28"/>
      <w:szCs w:val="20"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825E2E"/>
    <w:rPr>
      <w:rFonts w:cs="Times New Roman"/>
      <w:sz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AA232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25E2E"/>
    <w:rPr>
      <w:rFonts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rsid w:val="003C37D5"/>
    <w:rPr>
      <w:rFonts w:cs="Times New Roman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AA232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25E2E"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FootnoteText">
    <w:name w:val="footnote text"/>
    <w:aliases w:val="Footnote,Footnote Text Char Char,Footnote Text Char1,fn"/>
    <w:basedOn w:val="Normal"/>
    <w:link w:val="TextpoznmkypodiarouChar"/>
    <w:uiPriority w:val="99"/>
    <w:semiHidden/>
    <w:rsid w:val="00AA2322"/>
    <w:pPr>
      <w:jc w:val="left"/>
    </w:pPr>
    <w:rPr>
      <w:sz w:val="20"/>
      <w:szCs w:val="20"/>
      <w:lang w:val="sk-SK" w:eastAsia="en-US"/>
    </w:rPr>
  </w:style>
  <w:style w:type="character" w:customStyle="1" w:styleId="TextpoznmkypodiarouChar">
    <w:name w:val="Text poznámky pod čiarou Char"/>
    <w:aliases w:val="Footnote Char,Footnote Text Char Char Char,Footnote Text Char1 Char,fn Char"/>
    <w:basedOn w:val="DefaultParagraphFont"/>
    <w:link w:val="FootnoteText"/>
    <w:uiPriority w:val="99"/>
    <w:semiHidden/>
    <w:locked/>
    <w:rsid w:val="00825E2E"/>
    <w:rPr>
      <w:rFonts w:cs="Times New Roman"/>
      <w:rtl w:val="0"/>
      <w:cs w:val="0"/>
      <w:lang w:val="x-none" w:eastAsia="en-US"/>
    </w:rPr>
  </w:style>
  <w:style w:type="character" w:styleId="FootnoteReference">
    <w:name w:val="footnote reference"/>
    <w:aliases w:val="Footnote symbol"/>
    <w:basedOn w:val="DefaultParagraphFont"/>
    <w:uiPriority w:val="99"/>
    <w:semiHidden/>
    <w:rsid w:val="003C37D5"/>
    <w:rPr>
      <w:rFonts w:cs="Times New Roman"/>
      <w:vertAlign w:val="superscript"/>
      <w:rtl w:val="0"/>
      <w:cs w:val="0"/>
    </w:rPr>
  </w:style>
  <w:style w:type="paragraph" w:styleId="Caption">
    <w:name w:val="caption"/>
    <w:basedOn w:val="Normal"/>
    <w:next w:val="Normal"/>
    <w:uiPriority w:val="35"/>
    <w:qFormat/>
    <w:rsid w:val="00AA2322"/>
    <w:pPr>
      <w:keepNext/>
      <w:spacing w:before="240" w:after="120"/>
      <w:jc w:val="left"/>
    </w:pPr>
    <w:rPr>
      <w:b/>
      <w:bCs/>
      <w:szCs w:val="20"/>
      <w:lang w:val="en-GB" w:eastAsia="en-US"/>
    </w:rPr>
  </w:style>
  <w:style w:type="paragraph" w:styleId="BodyText3">
    <w:name w:val="Body Text 3"/>
    <w:basedOn w:val="Normal"/>
    <w:link w:val="Zkladntext3Char"/>
    <w:uiPriority w:val="99"/>
    <w:rsid w:val="00AA2322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825E2E"/>
    <w:rPr>
      <w:rFonts w:cs="Times New Roman"/>
      <w:sz w:val="16"/>
      <w:szCs w:val="16"/>
      <w:rtl w:val="0"/>
      <w:cs w:val="0"/>
      <w:lang w:val="en-US" w:eastAsia="x-none"/>
    </w:rPr>
  </w:style>
  <w:style w:type="paragraph" w:customStyle="1" w:styleId="odrazka">
    <w:name w:val="odrazka"/>
    <w:basedOn w:val="Normal"/>
    <w:rsid w:val="00AA2322"/>
    <w:pPr>
      <w:tabs>
        <w:tab w:val="num" w:pos="720"/>
        <w:tab w:val="left" w:pos="851"/>
      </w:tabs>
      <w:spacing w:before="120"/>
      <w:ind w:left="720" w:hanging="720"/>
      <w:jc w:val="both"/>
    </w:pPr>
    <w:rPr>
      <w:szCs w:val="20"/>
      <w:lang w:val="en-GB" w:eastAsia="en-US"/>
    </w:rPr>
  </w:style>
  <w:style w:type="paragraph" w:styleId="NormalWeb">
    <w:name w:val="Normal (Web)"/>
    <w:aliases w:val="webb"/>
    <w:basedOn w:val="Normal"/>
    <w:uiPriority w:val="99"/>
    <w:rsid w:val="00AA2322"/>
    <w:pPr>
      <w:spacing w:before="100" w:beforeAutospacing="1" w:after="100" w:afterAutospacing="1"/>
      <w:jc w:val="left"/>
    </w:pPr>
    <w:rPr>
      <w:lang w:eastAsia="en-US"/>
    </w:rPr>
  </w:style>
  <w:style w:type="paragraph" w:styleId="Header">
    <w:name w:val="header"/>
    <w:basedOn w:val="Normal"/>
    <w:link w:val="HlavikaChar"/>
    <w:uiPriority w:val="99"/>
    <w:rsid w:val="00AA232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25E2E"/>
    <w:rPr>
      <w:rFonts w:cs="Times New Roman"/>
      <w:sz w:val="24"/>
      <w:szCs w:val="24"/>
      <w:rtl w:val="0"/>
      <w:cs w:val="0"/>
      <w:lang w:val="en-US" w:eastAsia="x-none"/>
    </w:rPr>
  </w:style>
  <w:style w:type="paragraph" w:styleId="BodyText2">
    <w:name w:val="Body Text 2"/>
    <w:basedOn w:val="Normal"/>
    <w:link w:val="Zkladntext2Char"/>
    <w:uiPriority w:val="99"/>
    <w:rsid w:val="00AA2322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C28DC"/>
    <w:rPr>
      <w:rFonts w:cs="Times New Roman"/>
      <w:sz w:val="24"/>
      <w:szCs w:val="24"/>
      <w:rtl w:val="0"/>
      <w:cs w:val="0"/>
      <w:lang w:val="en-US" w:eastAsia="x-none"/>
    </w:rPr>
  </w:style>
  <w:style w:type="paragraph" w:styleId="ListParagraph">
    <w:name w:val="List Paragraph"/>
    <w:basedOn w:val="Normal"/>
    <w:uiPriority w:val="34"/>
    <w:qFormat/>
    <w:rsid w:val="00AA2322"/>
    <w:pPr>
      <w:ind w:left="708"/>
      <w:jc w:val="left"/>
    </w:pPr>
    <w:rPr>
      <w:lang w:val="sk-SK"/>
    </w:rPr>
  </w:style>
  <w:style w:type="character" w:styleId="CommentReference">
    <w:name w:val="annotation reference"/>
    <w:basedOn w:val="DefaultParagraphFont"/>
    <w:uiPriority w:val="99"/>
    <w:rsid w:val="00EC28D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AA2322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EC28DC"/>
    <w:rPr>
      <w:rFonts w:cs="Times New Roman"/>
      <w:rtl w:val="0"/>
      <w:cs w:val="0"/>
      <w:lang w:val="en-US" w:eastAsia="x-none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AA2322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D6F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1DD12-1834-4195-AC32-4F6D780688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6462A-8884-428A-B81C-8FF18402B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16E01AC-DEBC-4071-A023-EF56DA6ABEF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2A5E3C1-84B1-4EAE-BB5A-DE38CF3D80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E7B5AC1-1C12-4335-A1CF-232C11DC8D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624</Words>
  <Characters>4329</Characters>
  <Application>Microsoft Office Word</Application>
  <DocSecurity>0</DocSecurity>
  <Lines>0</Lines>
  <Paragraphs>0</Paragraphs>
  <ScaleCrop>false</ScaleCrop>
  <Company>mhsr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Vplyv na podnikateľské prostredie</dc:title>
  <dc:creator>zabkova</dc:creator>
  <cp:lastModifiedBy>cebulakova</cp:lastModifiedBy>
  <cp:revision>2</cp:revision>
  <cp:lastPrinted>2013-11-14T13:30:00Z</cp:lastPrinted>
  <dcterms:created xsi:type="dcterms:W3CDTF">2014-02-06T10:50:00Z</dcterms:created>
  <dcterms:modified xsi:type="dcterms:W3CDTF">2014-02-06T10:50:00Z</dcterms:modified>
</cp:coreProperties>
</file>