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593F1E" w:rsidRPr="00DA375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DA375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DA375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DA3755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534A23" w:rsidR="00534A23">
        <w:rPr>
          <w:rFonts w:ascii="Times New Roman" w:hAnsi="Times New Roman"/>
          <w:bCs/>
          <w:color w:val="000000"/>
          <w:sz w:val="24"/>
          <w:szCs w:val="24"/>
          <w:lang w:val="sk-SK"/>
        </w:rPr>
        <w:t>Vládny n</w:t>
      </w: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ávrh zákona, ktorým sa mení a dopĺňa zákon č. 43/2004 Z. z. o starobnom dôchodkovom sporení a o zmene a doplnení niektorých zákonov v znení neskorších predpisov a ktorým sa menia a dopĺňajú niektoré zákony </w:t>
      </w:r>
    </w:p>
    <w:p w:rsidR="00DA3755" w:rsidRPr="00DA3755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DA375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DA3755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-  </w:t>
      </w:r>
    </w:p>
    <w:p w:rsidR="00593F1E" w:rsidRPr="00DA375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DA375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A375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DA375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DA3755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DA375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DA375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DA3755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DA3755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DA3755">
      <w:pPr>
        <w:widowControl/>
        <w:bidi w:val="0"/>
        <w:spacing w:after="0"/>
        <w:ind w:left="420" w:hanging="36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1.</w:t>
      </w:r>
      <w:r w:rsidRPr="00DA3755">
        <w:rPr>
          <w:rFonts w:ascii="Times New Roman" w:hAnsi="Times New Roman"/>
          <w:color w:val="000000"/>
          <w:sz w:val="14"/>
          <w:szCs w:val="24"/>
          <w:lang w:val="sk-SK"/>
        </w:rPr>
        <w:t xml:space="preserve">      </w:t>
      </w:r>
      <w:r w:rsidRPr="00DA3755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Vplyvy na rozpočet verejnej správy</w:t>
      </w: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 xml:space="preserve"> – celkový vplyv na rozpočet verejnej správy bude negatívny z dôvodu zavedenia centrálneho elektronického ponukového systému najmä na účely sprostredkovania výberu dôchodku zo systému starobného dôchodkového sporenia vo výplatnej fáze, evidencie údajov potrebných pre posudzovanie splnenia podmienok vyplácania starobného dôchodku a predčasného starobného dôchodku zo systému starobného dôchodkového sporenia ako aj predčasného starobného dôchodku zo sociálneho poistenia a na účely evidencie údajov potrebných na posudzovanie nároku na dávku v hmotnej núdzi, ktorý bude vytvorený a prevádzkovaný Sociálnou poisťovňou. </w:t>
      </w:r>
    </w:p>
    <w:p w:rsidR="00593F1E" w:rsidRPr="00DA3755">
      <w:pPr>
        <w:widowControl/>
        <w:bidi w:val="0"/>
        <w:spacing w:after="0"/>
        <w:ind w:left="4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DA3755">
      <w:pPr>
        <w:widowControl/>
        <w:bidi w:val="0"/>
        <w:spacing w:after="0"/>
        <w:ind w:left="420" w:hanging="36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2.</w:t>
      </w:r>
      <w:r w:rsidRPr="00DA3755">
        <w:rPr>
          <w:rFonts w:ascii="Times New Roman" w:hAnsi="Times New Roman"/>
          <w:color w:val="000000"/>
          <w:sz w:val="14"/>
          <w:szCs w:val="24"/>
          <w:lang w:val="sk-SK"/>
        </w:rPr>
        <w:t xml:space="preserve">      </w:t>
      </w:r>
      <w:r w:rsidRPr="00DA3755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Vplyvy na podnikateľské prostredie</w:t>
      </w: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 xml:space="preserve"> – celkový vplyv na podnikateľské prostredie bude pozitívny aj negatívny:</w:t>
      </w:r>
    </w:p>
    <w:p w:rsidR="00593F1E" w:rsidRPr="00DA3755">
      <w:pPr>
        <w:widowControl/>
        <w:bidi w:val="0"/>
        <w:spacing w:after="0"/>
        <w:ind w:left="708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DA3755">
      <w:pPr>
        <w:widowControl/>
        <w:bidi w:val="0"/>
        <w:spacing w:after="0"/>
        <w:ind w:left="1140" w:hanging="36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a.</w:t>
      </w:r>
      <w:r w:rsidRPr="00DA3755">
        <w:rPr>
          <w:rFonts w:ascii="Times New Roman" w:hAnsi="Times New Roman"/>
          <w:color w:val="000000"/>
          <w:sz w:val="14"/>
          <w:szCs w:val="24"/>
          <w:lang w:val="sk-SK"/>
        </w:rPr>
        <w:t xml:space="preserve">       </w:t>
      </w: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na poisťovne, ktoré budú mať záujem o zapojenie sa do nového poistného odvetia týkajúceho sa poistenia dĺžky ľudského života, ktoré je upravené právnymi predpismi z oblasti sociálneho poistenia (podrobnosti sú uvedené v ďalšej časti doložky),</w:t>
      </w:r>
    </w:p>
    <w:p w:rsidR="00593F1E" w:rsidRPr="00DA3755">
      <w:pPr>
        <w:widowControl/>
        <w:bidi w:val="0"/>
        <w:spacing w:after="0"/>
        <w:ind w:left="1140" w:hanging="36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b.</w:t>
      </w:r>
      <w:r w:rsidRPr="00DA3755">
        <w:rPr>
          <w:rFonts w:ascii="Times New Roman" w:hAnsi="Times New Roman"/>
          <w:color w:val="000000"/>
          <w:sz w:val="14"/>
          <w:szCs w:val="24"/>
          <w:lang w:val="sk-SK"/>
        </w:rPr>
        <w:t xml:space="preserve">      </w:t>
      </w: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na dôchodkové správcovské spoločnosti z dôvodu zavedenia centrálneho elektronického ponukového systému a vyplácania dôchodku formou  programového výberu  (podrobnosti sú uvedené v ďalšej časti doložky).</w:t>
      </w:r>
    </w:p>
    <w:p w:rsidR="00593F1E" w:rsidRPr="00DA3755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DA3755">
      <w:pPr>
        <w:widowControl/>
        <w:bidi w:val="0"/>
        <w:spacing w:after="0"/>
        <w:ind w:left="420" w:hanging="36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3.</w:t>
      </w:r>
      <w:r w:rsidRPr="00DA3755">
        <w:rPr>
          <w:rFonts w:ascii="Times New Roman" w:hAnsi="Times New Roman"/>
          <w:color w:val="000000"/>
          <w:sz w:val="14"/>
          <w:szCs w:val="24"/>
          <w:lang w:val="sk-SK"/>
        </w:rPr>
        <w:t xml:space="preserve">      </w:t>
      </w:r>
      <w:r w:rsidRPr="00DA3755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Sociálne vplyvy</w:t>
      </w: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 xml:space="preserve"> – celkový vplyv na hospodárenie obyvateľstva, resp. na sporiteľov v systéme starobného dôchodkového sporenia sa predpokladá pozitívny aj negatívny (podrobnosti sú uvedené v ďalšej časti doložky). </w:t>
      </w:r>
    </w:p>
    <w:p w:rsidR="00593F1E" w:rsidRPr="00DA3755">
      <w:pPr>
        <w:widowControl/>
        <w:bidi w:val="0"/>
        <w:spacing w:after="0"/>
        <w:ind w:left="4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DA3755">
      <w:pPr>
        <w:widowControl/>
        <w:bidi w:val="0"/>
        <w:spacing w:after="0"/>
        <w:ind w:left="420" w:hanging="36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4.</w:t>
      </w:r>
      <w:r w:rsidRPr="00DA3755">
        <w:rPr>
          <w:rFonts w:ascii="Times New Roman" w:hAnsi="Times New Roman"/>
          <w:color w:val="000000"/>
          <w:sz w:val="14"/>
          <w:szCs w:val="24"/>
          <w:lang w:val="sk-SK"/>
        </w:rPr>
        <w:t xml:space="preserve">      </w:t>
      </w:r>
      <w:r w:rsidRPr="00DA3755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Vplyvy na životné prostredie</w:t>
      </w: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 xml:space="preserve"> – návrh zákona nemá vplyv na životné prostredie.</w:t>
      </w:r>
    </w:p>
    <w:p w:rsidR="00593F1E" w:rsidRPr="00DA3755">
      <w:pPr>
        <w:widowControl/>
        <w:bidi w:val="0"/>
        <w:spacing w:after="0"/>
        <w:ind w:left="708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DA3755">
      <w:pPr>
        <w:widowControl/>
        <w:bidi w:val="0"/>
        <w:spacing w:after="0"/>
        <w:ind w:left="420" w:hanging="36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5.</w:t>
      </w:r>
      <w:r w:rsidRPr="00DA3755">
        <w:rPr>
          <w:rFonts w:ascii="Times New Roman" w:hAnsi="Times New Roman"/>
          <w:color w:val="000000"/>
          <w:sz w:val="14"/>
          <w:szCs w:val="24"/>
          <w:lang w:val="sk-SK"/>
        </w:rPr>
        <w:t xml:space="preserve">      </w:t>
      </w:r>
      <w:r w:rsidRPr="00DA3755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Vplyvy na informatizáciu spoločnosti</w:t>
      </w: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 xml:space="preserve"> – návrh zákona má pozitívny vplyv na informatizáciu spoločnosti (podrobnosti sú uvedené v ďalšej časti doložky).</w:t>
      </w:r>
    </w:p>
    <w:p w:rsidR="00593F1E" w:rsidRPr="00DA3755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DA3755">
      <w:pPr>
        <w:keepNext/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b/>
          <w:color w:val="000000"/>
          <w:sz w:val="24"/>
          <w:szCs w:val="24"/>
          <w:lang w:val="sk-SK"/>
        </w:rPr>
        <w:t>A.4. Alternatívne riešenia</w:t>
      </w:r>
    </w:p>
    <w:p w:rsidR="00593F1E" w:rsidRPr="00DA3755">
      <w:pPr>
        <w:keepNext/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DA3755">
      <w:pPr>
        <w:keepNext/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Bezpredmetné.</w:t>
      </w:r>
    </w:p>
    <w:p w:rsidR="00593F1E" w:rsidRPr="00DA3755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DA3755">
      <w:pPr>
        <w:widowControl/>
        <w:bidi w:val="0"/>
        <w:spacing w:after="12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A.5. Stanovisko gestorov </w:t>
      </w:r>
    </w:p>
    <w:p w:rsidR="00593F1E" w:rsidRPr="00DA3755" w:rsidP="00523D8F">
      <w:pPr>
        <w:widowControl/>
        <w:bidi w:val="0"/>
        <w:spacing w:after="280" w:afterAutospacing="1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DA375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DA375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sectPr>
      <w:footerReference w:type="default" r:id="rId5"/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18B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4A23">
      <w:rPr>
        <w:noProof/>
      </w:rPr>
      <w:t>2</w:t>
    </w:r>
    <w:r>
      <w:fldChar w:fldCharType="end"/>
    </w:r>
  </w:p>
  <w:p w:rsidR="00A8618B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A3755"/>
    <w:rsid w:val="00201C17"/>
    <w:rsid w:val="002704AC"/>
    <w:rsid w:val="00523D8F"/>
    <w:rsid w:val="00534A23"/>
    <w:rsid w:val="00593F1E"/>
    <w:rsid w:val="008F2A14"/>
    <w:rsid w:val="00A8618B"/>
    <w:rsid w:val="00BD11D1"/>
    <w:rsid w:val="00DA3755"/>
    <w:rsid w:val="00F079E4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unhideWhenUsed/>
    <w:rsid w:val="00A8618B"/>
    <w:pPr>
      <w:tabs>
        <w:tab w:val="center" w:pos="4703"/>
        <w:tab w:val="right" w:pos="9406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8618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8618B"/>
    <w:pPr>
      <w:tabs>
        <w:tab w:val="center" w:pos="4703"/>
        <w:tab w:val="right" w:pos="94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618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9FDE-0A0E-4950-8199-3D8A8336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331</Words>
  <Characters>2218</Characters>
  <Application>Microsoft Office Word</Application>
  <DocSecurity>0</DocSecurity>
  <Lines>0</Lines>
  <Paragraphs>0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Kolesárová Jana</dc:creator>
  <cp:lastModifiedBy>cebulakova</cp:lastModifiedBy>
  <cp:revision>3</cp:revision>
  <dcterms:created xsi:type="dcterms:W3CDTF">2014-02-06T10:46:00Z</dcterms:created>
  <dcterms:modified xsi:type="dcterms:W3CDTF">2014-02-25T09:08:00Z</dcterms:modified>
</cp:coreProperties>
</file>