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0E0A82" w:rsidP="00B855D4">
      <w:pPr>
        <w:pStyle w:val="Default"/>
        <w:bidi w:val="0"/>
        <w:jc w:val="center"/>
        <w:rPr>
          <w:color w:val="auto"/>
        </w:rPr>
      </w:pPr>
      <w:r w:rsidRPr="000E0A82">
        <w:rPr>
          <w:rFonts w:hint="default"/>
          <w:b/>
          <w:bCs/>
          <w:color w:val="auto"/>
        </w:rPr>
        <w:t>DOLOŽ</w:t>
      </w:r>
      <w:r w:rsidRPr="000E0A82">
        <w:rPr>
          <w:rFonts w:hint="default"/>
          <w:b/>
          <w:bCs/>
          <w:color w:val="auto"/>
        </w:rPr>
        <w:t>KA ZLUČ</w:t>
      </w:r>
      <w:r w:rsidRPr="000E0A82">
        <w:rPr>
          <w:rFonts w:hint="default"/>
          <w:b/>
          <w:bCs/>
          <w:color w:val="auto"/>
        </w:rPr>
        <w:t>ITEĽ</w:t>
      </w:r>
      <w:r w:rsidRPr="000E0A82">
        <w:rPr>
          <w:rFonts w:hint="default"/>
          <w:b/>
          <w:bCs/>
          <w:color w:val="auto"/>
        </w:rPr>
        <w:t>NOSTI</w:t>
      </w:r>
    </w:p>
    <w:p w:rsidR="00B855D4" w:rsidRPr="000E0A82" w:rsidP="00B855D4">
      <w:pPr>
        <w:pStyle w:val="Default"/>
        <w:bidi w:val="0"/>
        <w:jc w:val="center"/>
        <w:rPr>
          <w:color w:val="auto"/>
        </w:rPr>
      </w:pPr>
      <w:r w:rsidRPr="000E0A82">
        <w:rPr>
          <w:rFonts w:hint="default"/>
          <w:b/>
          <w:bCs/>
          <w:color w:val="auto"/>
        </w:rPr>
        <w:t>ná</w:t>
      </w:r>
      <w:r w:rsidRPr="000E0A82">
        <w:rPr>
          <w:rFonts w:hint="default"/>
          <w:b/>
          <w:bCs/>
          <w:color w:val="auto"/>
        </w:rPr>
        <w:t>vrhu zá</w:t>
      </w:r>
      <w:r w:rsidRPr="000E0A82">
        <w:rPr>
          <w:rFonts w:hint="default"/>
          <w:b/>
          <w:bCs/>
          <w:color w:val="auto"/>
        </w:rPr>
        <w:t>kona s prá</w:t>
      </w:r>
      <w:r w:rsidRPr="000E0A82">
        <w:rPr>
          <w:rFonts w:hint="default"/>
          <w:b/>
          <w:bCs/>
          <w:color w:val="auto"/>
        </w:rPr>
        <w:t>vom Euró</w:t>
      </w:r>
      <w:r w:rsidRPr="000E0A82">
        <w:rPr>
          <w:rFonts w:hint="default"/>
          <w:b/>
          <w:bCs/>
          <w:color w:val="auto"/>
        </w:rPr>
        <w:t>pskej ú</w:t>
      </w:r>
      <w:r w:rsidRPr="000E0A82">
        <w:rPr>
          <w:rFonts w:hint="default"/>
          <w:b/>
          <w:bCs/>
          <w:color w:val="auto"/>
        </w:rPr>
        <w:t>nie</w:t>
      </w:r>
    </w:p>
    <w:p w:rsidR="00B855D4" w:rsidRPr="000E0A82" w:rsidP="00B855D4">
      <w:pPr>
        <w:pStyle w:val="Default"/>
        <w:bidi w:val="0"/>
        <w:rPr>
          <w:color w:val="auto"/>
        </w:rPr>
      </w:pPr>
    </w:p>
    <w:p w:rsidR="00B855D4" w:rsidRPr="000E0A82" w:rsidP="00B855D4">
      <w:pPr>
        <w:pStyle w:val="Default"/>
        <w:bidi w:val="0"/>
        <w:rPr>
          <w:color w:val="auto"/>
        </w:rPr>
      </w:pPr>
    </w:p>
    <w:p w:rsidR="00B855D4" w:rsidRPr="000E0A82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0E0A82">
        <w:rPr>
          <w:color w:val="auto"/>
        </w:rPr>
        <w:t>1.</w:t>
        <w:tab/>
      </w:r>
      <w:r w:rsidRPr="000E0A82">
        <w:rPr>
          <w:rFonts w:hint="default"/>
          <w:b/>
          <w:bCs/>
          <w:color w:val="auto"/>
        </w:rPr>
        <w:t>Navrhovateľ</w:t>
      </w:r>
      <w:r w:rsidRPr="000E0A82">
        <w:rPr>
          <w:rFonts w:hint="default"/>
          <w:b/>
          <w:bCs/>
          <w:color w:val="auto"/>
        </w:rPr>
        <w:t xml:space="preserve"> zá</w:t>
      </w:r>
      <w:r w:rsidRPr="000E0A82">
        <w:rPr>
          <w:rFonts w:hint="default"/>
          <w:b/>
          <w:bCs/>
          <w:color w:val="auto"/>
        </w:rPr>
        <w:t>kona:</w:t>
      </w:r>
    </w:p>
    <w:p w:rsidR="00B855D4" w:rsidRPr="000E0A82" w:rsidP="005D11B3">
      <w:pPr>
        <w:pStyle w:val="Default"/>
        <w:bidi w:val="0"/>
        <w:ind w:left="284"/>
        <w:jc w:val="both"/>
        <w:rPr>
          <w:color w:val="auto"/>
        </w:rPr>
      </w:pPr>
      <w:r w:rsidRPr="000E0A82">
        <w:rPr>
          <w:color w:val="auto"/>
        </w:rPr>
        <w:t>poslan</w:t>
      </w:r>
      <w:r w:rsidRPr="000E0A82" w:rsidR="00CD5633">
        <w:rPr>
          <w:color w:val="auto"/>
        </w:rPr>
        <w:t>ec</w:t>
      </w:r>
      <w:r w:rsidRPr="000E0A82">
        <w:rPr>
          <w:rFonts w:hint="default"/>
          <w:color w:val="auto"/>
        </w:rPr>
        <w:t xml:space="preserve"> Ná</w:t>
      </w:r>
      <w:r w:rsidRPr="000E0A82">
        <w:rPr>
          <w:rFonts w:hint="default"/>
          <w:color w:val="auto"/>
        </w:rPr>
        <w:t>rodnej rady Slovenskej republiky</w:t>
      </w:r>
      <w:r w:rsidRPr="000E0A82" w:rsidR="001C2757">
        <w:rPr>
          <w:color w:val="auto"/>
        </w:rPr>
        <w:t xml:space="preserve"> (</w:t>
      </w:r>
      <w:r w:rsidRPr="000E0A82" w:rsidR="00400411">
        <w:rPr>
          <w:rFonts w:hint="default"/>
          <w:color w:val="auto"/>
        </w:rPr>
        <w:t>Ing. Ivan Š</w:t>
      </w:r>
      <w:r w:rsidRPr="000E0A82" w:rsidR="00400411">
        <w:rPr>
          <w:rFonts w:hint="default"/>
          <w:color w:val="auto"/>
        </w:rPr>
        <w:t>vej</w:t>
      </w:r>
      <w:r w:rsidRPr="000E0A82" w:rsidR="00CD5633">
        <w:rPr>
          <w:color w:val="auto"/>
        </w:rPr>
        <w:t>na</w:t>
      </w:r>
      <w:r w:rsidRPr="000E0A82" w:rsidR="00AF5571">
        <w:rPr>
          <w:color w:val="auto"/>
        </w:rPr>
        <w:t>).</w:t>
      </w:r>
    </w:p>
    <w:p w:rsidR="00B855D4" w:rsidRPr="000E0A82" w:rsidP="00B855D4">
      <w:pPr>
        <w:pStyle w:val="Default"/>
        <w:bidi w:val="0"/>
        <w:rPr>
          <w:color w:val="auto"/>
        </w:rPr>
      </w:pPr>
    </w:p>
    <w:p w:rsidR="00B855D4" w:rsidRPr="000E0A82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0E0A82">
        <w:rPr>
          <w:color w:val="auto"/>
        </w:rPr>
        <w:t>2.</w:t>
        <w:tab/>
      </w:r>
      <w:r w:rsidRPr="000E0A82">
        <w:rPr>
          <w:rFonts w:hint="default"/>
          <w:b/>
          <w:bCs/>
          <w:color w:val="auto"/>
        </w:rPr>
        <w:t>Ná</w:t>
      </w:r>
      <w:r w:rsidRPr="000E0A82">
        <w:rPr>
          <w:rFonts w:hint="default"/>
          <w:b/>
          <w:bCs/>
          <w:color w:val="auto"/>
        </w:rPr>
        <w:t>zov ná</w:t>
      </w:r>
      <w:r w:rsidRPr="000E0A82">
        <w:rPr>
          <w:rFonts w:hint="default"/>
          <w:b/>
          <w:bCs/>
          <w:color w:val="auto"/>
        </w:rPr>
        <w:t>vrhu zá</w:t>
      </w:r>
      <w:r w:rsidRPr="000E0A82">
        <w:rPr>
          <w:rFonts w:hint="default"/>
          <w:b/>
          <w:bCs/>
          <w:color w:val="auto"/>
        </w:rPr>
        <w:t>kona:</w:t>
      </w:r>
    </w:p>
    <w:p w:rsidR="004935FE" w:rsidRPr="000E0A82" w:rsidP="00C40782">
      <w:pPr>
        <w:pStyle w:val="Default"/>
        <w:bidi w:val="0"/>
        <w:ind w:left="284"/>
        <w:jc w:val="both"/>
        <w:rPr>
          <w:color w:val="auto"/>
        </w:rPr>
      </w:pPr>
      <w:r w:rsidRPr="000E0A82" w:rsidR="00400411">
        <w:rPr>
          <w:color w:val="auto"/>
        </w:rPr>
        <w:t>N</w:t>
      </w:r>
      <w:r w:rsidRPr="000E0A82" w:rsidR="00B855D4">
        <w:rPr>
          <w:rFonts w:hint="default"/>
          <w:color w:val="auto"/>
        </w:rPr>
        <w:t>á</w:t>
      </w:r>
      <w:r w:rsidRPr="000E0A82" w:rsidR="00B855D4">
        <w:rPr>
          <w:rFonts w:hint="default"/>
          <w:color w:val="auto"/>
        </w:rPr>
        <w:t>vrh zá</w:t>
      </w:r>
      <w:r w:rsidRPr="000E0A82" w:rsidR="00B855D4">
        <w:rPr>
          <w:rFonts w:hint="default"/>
          <w:color w:val="auto"/>
        </w:rPr>
        <w:t xml:space="preserve">kona, </w:t>
      </w:r>
      <w:r w:rsidRPr="000E0A82" w:rsidR="00C40782">
        <w:rPr>
          <w:rFonts w:hint="default"/>
          <w:color w:val="auto"/>
        </w:rPr>
        <w:t>ktorý</w:t>
      </w:r>
      <w:r w:rsidRPr="000E0A82" w:rsidR="00C40782">
        <w:rPr>
          <w:rFonts w:hint="default"/>
          <w:color w:val="auto"/>
        </w:rPr>
        <w:t>m sa mení</w:t>
      </w:r>
      <w:r w:rsidRPr="000E0A82" w:rsidR="00C40782">
        <w:rPr>
          <w:rFonts w:hint="default"/>
          <w:color w:val="auto"/>
        </w:rPr>
        <w:t xml:space="preserve"> a dopĺň</w:t>
      </w:r>
      <w:r w:rsidRPr="000E0A82" w:rsidR="00C40782">
        <w:rPr>
          <w:rFonts w:hint="default"/>
          <w:color w:val="auto"/>
        </w:rPr>
        <w:t>a zá</w:t>
      </w:r>
      <w:r w:rsidRPr="000E0A82" w:rsidR="00C40782">
        <w:rPr>
          <w:rFonts w:hint="default"/>
          <w:color w:val="auto"/>
        </w:rPr>
        <w:t>kon č</w:t>
      </w:r>
      <w:r w:rsidRPr="000E0A82" w:rsidR="00C40782">
        <w:rPr>
          <w:rFonts w:hint="default"/>
          <w:color w:val="auto"/>
        </w:rPr>
        <w:t>. 561/2007 Z. z. o investič</w:t>
      </w:r>
      <w:r w:rsidRPr="000E0A82" w:rsidR="00C40782">
        <w:rPr>
          <w:rFonts w:hint="default"/>
          <w:color w:val="auto"/>
        </w:rPr>
        <w:t>nej pomoci</w:t>
      </w:r>
      <w:r w:rsidRPr="000E0A82" w:rsidR="00C40782">
        <w:rPr>
          <w:rFonts w:hint="default"/>
          <w:color w:val="auto"/>
        </w:rPr>
        <w:t xml:space="preserve"> a o </w:t>
      </w:r>
      <w:r w:rsidRPr="000E0A82" w:rsidR="00C40782">
        <w:rPr>
          <w:rFonts w:hint="default"/>
          <w:color w:val="auto"/>
        </w:rPr>
        <w:t>zmene a doplnení</w:t>
      </w:r>
      <w:r w:rsidRPr="000E0A82" w:rsidR="00C40782">
        <w:rPr>
          <w:rFonts w:hint="default"/>
          <w:color w:val="auto"/>
        </w:rPr>
        <w:t xml:space="preserve"> niektorý</w:t>
      </w:r>
      <w:r w:rsidRPr="000E0A82" w:rsidR="00C40782">
        <w:rPr>
          <w:rFonts w:hint="default"/>
          <w:color w:val="auto"/>
        </w:rPr>
        <w:t>ch zá</w:t>
      </w:r>
      <w:r w:rsidRPr="000E0A82" w:rsidR="00C40782">
        <w:rPr>
          <w:rFonts w:hint="default"/>
          <w:color w:val="auto"/>
        </w:rPr>
        <w:t>konov</w:t>
      </w:r>
      <w:r w:rsidRPr="000E0A82" w:rsidR="000E0A82">
        <w:rPr>
          <w:rFonts w:hint="default"/>
          <w:color w:val="auto"/>
        </w:rPr>
        <w:t xml:space="preserve"> v znení</w:t>
      </w:r>
      <w:r w:rsidRPr="000E0A82" w:rsidR="000E0A82">
        <w:rPr>
          <w:rFonts w:hint="default"/>
          <w:color w:val="auto"/>
        </w:rPr>
        <w:t xml:space="preserve"> neskorší</w:t>
      </w:r>
      <w:r w:rsidRPr="000E0A82" w:rsidR="000E0A82">
        <w:rPr>
          <w:rFonts w:hint="default"/>
          <w:color w:val="auto"/>
        </w:rPr>
        <w:t>ch predpisov a o zmene a doplnení</w:t>
      </w:r>
      <w:r w:rsidRPr="000E0A82" w:rsidR="000E0A82">
        <w:rPr>
          <w:rFonts w:hint="default"/>
          <w:color w:val="auto"/>
        </w:rPr>
        <w:t xml:space="preserve"> zá</w:t>
      </w:r>
      <w:r w:rsidRPr="000E0A82" w:rsidR="000E0A82">
        <w:rPr>
          <w:rFonts w:hint="default"/>
          <w:color w:val="auto"/>
        </w:rPr>
        <w:t>kona č</w:t>
      </w:r>
      <w:r w:rsidRPr="000E0A82" w:rsidR="000E0A82">
        <w:rPr>
          <w:rFonts w:hint="default"/>
          <w:color w:val="auto"/>
        </w:rPr>
        <w:t>. 595/2003 Z. z. o dani z prí</w:t>
      </w:r>
      <w:r w:rsidRPr="000E0A82" w:rsidR="000E0A82">
        <w:rPr>
          <w:rFonts w:hint="default"/>
          <w:color w:val="auto"/>
        </w:rPr>
        <w:t>jmov v znení</w:t>
      </w:r>
      <w:r w:rsidRPr="000E0A82" w:rsidR="000E0A82">
        <w:rPr>
          <w:rFonts w:hint="default"/>
          <w:color w:val="auto"/>
        </w:rPr>
        <w:t xml:space="preserve"> neskorší</w:t>
      </w:r>
      <w:r w:rsidRPr="000E0A82" w:rsidR="000E0A82">
        <w:rPr>
          <w:rFonts w:hint="default"/>
          <w:color w:val="auto"/>
        </w:rPr>
        <w:t>ch predpisov</w:t>
      </w:r>
      <w:r w:rsidRPr="000E0A82" w:rsidR="00B463E7">
        <w:rPr>
          <w:color w:val="auto"/>
        </w:rPr>
        <w:t>.</w:t>
      </w:r>
    </w:p>
    <w:p w:rsidR="00B463E7" w:rsidRPr="000E0A82" w:rsidP="004935FE">
      <w:pPr>
        <w:pStyle w:val="Default"/>
        <w:bidi w:val="0"/>
        <w:ind w:left="284"/>
        <w:jc w:val="both"/>
        <w:rPr>
          <w:color w:val="auto"/>
        </w:rPr>
      </w:pPr>
    </w:p>
    <w:p w:rsidR="00B855D4" w:rsidRPr="000E0A82" w:rsidP="00B855D4">
      <w:pPr>
        <w:pStyle w:val="Default"/>
        <w:bidi w:val="0"/>
        <w:ind w:left="284" w:hanging="284"/>
        <w:rPr>
          <w:color w:val="auto"/>
        </w:rPr>
      </w:pPr>
      <w:r w:rsidRPr="000E0A82">
        <w:rPr>
          <w:color w:val="auto"/>
        </w:rPr>
        <w:t>3.</w:t>
        <w:tab/>
      </w:r>
      <w:r w:rsidRPr="000E0A82">
        <w:rPr>
          <w:rFonts w:hint="default"/>
          <w:b/>
          <w:bCs/>
          <w:color w:val="auto"/>
        </w:rPr>
        <w:t>Predmet ná</w:t>
      </w:r>
      <w:r w:rsidRPr="000E0A82">
        <w:rPr>
          <w:rFonts w:hint="default"/>
          <w:b/>
          <w:bCs/>
          <w:color w:val="auto"/>
        </w:rPr>
        <w:t>vrhu zá</w:t>
      </w:r>
      <w:r w:rsidRPr="000E0A82">
        <w:rPr>
          <w:rFonts w:hint="default"/>
          <w:b/>
          <w:bCs/>
          <w:color w:val="auto"/>
        </w:rPr>
        <w:t>kona je upravený</w:t>
      </w:r>
      <w:r w:rsidRPr="000E0A82">
        <w:rPr>
          <w:rFonts w:hint="default"/>
          <w:b/>
          <w:bCs/>
          <w:color w:val="auto"/>
        </w:rPr>
        <w:t xml:space="preserve"> v prá</w:t>
      </w:r>
      <w:r w:rsidRPr="000E0A82">
        <w:rPr>
          <w:rFonts w:hint="default"/>
          <w:b/>
          <w:bCs/>
          <w:color w:val="auto"/>
        </w:rPr>
        <w:t>ve Euró</w:t>
      </w:r>
      <w:r w:rsidRPr="000E0A82">
        <w:rPr>
          <w:rFonts w:hint="default"/>
          <w:b/>
          <w:bCs/>
          <w:color w:val="auto"/>
        </w:rPr>
        <w:t>pskej ú</w:t>
      </w:r>
      <w:r w:rsidRPr="000E0A82">
        <w:rPr>
          <w:rFonts w:hint="default"/>
          <w:b/>
          <w:bCs/>
          <w:color w:val="auto"/>
        </w:rPr>
        <w:t>nie:</w:t>
      </w:r>
    </w:p>
    <w:p w:rsidR="009B1749" w:rsidRPr="000E0A82" w:rsidP="009B1749">
      <w:pPr>
        <w:pStyle w:val="NormalWeb"/>
        <w:numPr>
          <w:ilvl w:val="1"/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color w:val="000000"/>
        </w:rPr>
      </w:pPr>
      <w:r w:rsidRPr="000E0A82">
        <w:rPr>
          <w:rFonts w:ascii="Times New Roman" w:hAnsi="Times New Roman" w:cs="Times New Roman" w:hint="default"/>
          <w:bCs/>
          <w:color w:val="000000"/>
        </w:rPr>
        <w:t>je upravená</w:t>
      </w:r>
      <w:r w:rsidRPr="000E0A82">
        <w:rPr>
          <w:rFonts w:ascii="Times New Roman" w:hAnsi="Times New Roman" w:cs="Times New Roman" w:hint="default"/>
          <w:bCs/>
          <w:color w:val="000000"/>
        </w:rPr>
        <w:t xml:space="preserve"> v </w:t>
      </w:r>
      <w:r w:rsidRPr="000E0A82">
        <w:rPr>
          <w:rFonts w:ascii="Times New Roman" w:hAnsi="Times New Roman" w:cs="Times New Roman" w:hint="default"/>
          <w:bCs/>
          <w:color w:val="000000"/>
        </w:rPr>
        <w:t>prá</w:t>
      </w:r>
      <w:r w:rsidRPr="000E0A82">
        <w:rPr>
          <w:rFonts w:ascii="Times New Roman" w:hAnsi="Times New Roman" w:cs="Times New Roman" w:hint="default"/>
          <w:bCs/>
          <w:color w:val="000000"/>
        </w:rPr>
        <w:t>ve Euró</w:t>
      </w:r>
      <w:r w:rsidRPr="000E0A82">
        <w:rPr>
          <w:rFonts w:ascii="Times New Roman" w:hAnsi="Times New Roman" w:cs="Times New Roman" w:hint="default"/>
          <w:bCs/>
          <w:color w:val="000000"/>
        </w:rPr>
        <w:t>pskej ú</w:t>
      </w:r>
      <w:r w:rsidRPr="000E0A82">
        <w:rPr>
          <w:rFonts w:ascii="Times New Roman" w:hAnsi="Times New Roman" w:cs="Times New Roman" w:hint="default"/>
          <w:bCs/>
          <w:color w:val="000000"/>
        </w:rPr>
        <w:t xml:space="preserve">nie </w:t>
      </w:r>
      <w:r w:rsidRPr="000E0A82">
        <w:rPr>
          <w:rFonts w:ascii="Times New Roman" w:hAnsi="Times New Roman" w:cs="Times New Roman" w:hint="default"/>
          <w:color w:val="000000"/>
        </w:rPr>
        <w:t>- č</w:t>
      </w:r>
      <w:r w:rsidRPr="000E0A82">
        <w:rPr>
          <w:rFonts w:ascii="Times New Roman" w:hAnsi="Times New Roman" w:cs="Times New Roman" w:hint="default"/>
          <w:color w:val="000000"/>
        </w:rPr>
        <w:t>lá</w:t>
      </w:r>
      <w:r w:rsidRPr="000E0A82">
        <w:rPr>
          <w:rFonts w:ascii="Times New Roman" w:hAnsi="Times New Roman" w:cs="Times New Roman" w:hint="default"/>
          <w:color w:val="000000"/>
        </w:rPr>
        <w:t>nky 107 až</w:t>
      </w:r>
      <w:r w:rsidRPr="000E0A82">
        <w:rPr>
          <w:rFonts w:ascii="Times New Roman" w:hAnsi="Times New Roman" w:cs="Times New Roman" w:hint="default"/>
          <w:color w:val="000000"/>
        </w:rPr>
        <w:t xml:space="preserve"> 109 Zmluvy o </w:t>
      </w:r>
      <w:r w:rsidRPr="000E0A82">
        <w:rPr>
          <w:rFonts w:ascii="Times New Roman" w:hAnsi="Times New Roman" w:cs="Times New Roman" w:hint="default"/>
          <w:color w:val="000000"/>
        </w:rPr>
        <w:t>fungovaní</w:t>
      </w:r>
      <w:r w:rsidRPr="000E0A82">
        <w:rPr>
          <w:rFonts w:ascii="Times New Roman" w:hAnsi="Times New Roman" w:cs="Times New Roman" w:hint="default"/>
          <w:color w:val="000000"/>
        </w:rPr>
        <w:t xml:space="preserve"> Euró</w:t>
      </w:r>
      <w:r w:rsidRPr="000E0A82">
        <w:rPr>
          <w:rFonts w:ascii="Times New Roman" w:hAnsi="Times New Roman" w:cs="Times New Roman" w:hint="default"/>
          <w:color w:val="000000"/>
        </w:rPr>
        <w:t>pskej ú</w:t>
      </w:r>
      <w:r w:rsidRPr="000E0A82">
        <w:rPr>
          <w:rFonts w:ascii="Times New Roman" w:hAnsi="Times New Roman" w:cs="Times New Roman" w:hint="default"/>
          <w:color w:val="000000"/>
        </w:rPr>
        <w:t>nie</w:t>
      </w:r>
    </w:p>
    <w:p w:rsidR="009B1749" w:rsidRPr="000E0A82" w:rsidP="009B1749">
      <w:pPr>
        <w:tabs>
          <w:tab w:val="left" w:pos="1080"/>
        </w:tabs>
        <w:bidi w:val="0"/>
        <w:ind w:left="1080" w:hanging="360"/>
        <w:rPr>
          <w:rFonts w:ascii="Times New Roman" w:hAnsi="Times New Roman" w:hint="default"/>
          <w:i/>
          <w:iCs/>
          <w:sz w:val="24"/>
          <w:szCs w:val="24"/>
        </w:rPr>
      </w:pPr>
      <w:r w:rsidRPr="000E0A82">
        <w:rPr>
          <w:rFonts w:ascii="Times New Roman" w:hAnsi="Times New Roman"/>
          <w:i/>
          <w:iCs/>
          <w:sz w:val="24"/>
          <w:szCs w:val="24"/>
        </w:rPr>
        <w:t>-</w:t>
        <w:tab/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sekundá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rnom (prijatom po nadobudnutí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m platnosti Lisabonskej zmluvy, ktorou sa mení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 xml:space="preserve"> a dopĺň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a Zmluva o Euró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pskom spoloč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enstve a Zmluva o Euró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pskej ú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 xml:space="preserve">nii 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–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 xml:space="preserve"> po 30. novembri 2009)</w:t>
      </w:r>
    </w:p>
    <w:p w:rsidR="009B1749" w:rsidRPr="000E0A82" w:rsidP="009B1749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iCs/>
          <w:sz w:val="24"/>
          <w:szCs w:val="24"/>
        </w:rPr>
      </w:pPr>
    </w:p>
    <w:p w:rsidR="009B1749" w:rsidRPr="000E0A82" w:rsidP="009B1749">
      <w:pPr>
        <w:widowControl w:val="0"/>
        <w:numPr>
          <w:numId w:val="5"/>
        </w:numPr>
        <w:tabs>
          <w:tab w:val="left" w:pos="1440"/>
        </w:tabs>
        <w:bidi w:val="0"/>
        <w:adjustRightInd w:val="0"/>
        <w:spacing w:line="240" w:lineRule="auto"/>
        <w:ind w:left="1440"/>
        <w:jc w:val="left"/>
        <w:rPr>
          <w:rFonts w:ascii="Times New Roman" w:hAnsi="Times New Roman"/>
          <w:i/>
          <w:sz w:val="24"/>
          <w:szCs w:val="24"/>
        </w:rPr>
      </w:pPr>
      <w:r w:rsidRPr="000E0A82">
        <w:rPr>
          <w:rFonts w:ascii="Times New Roman" w:hAnsi="Times New Roman" w:hint="default"/>
          <w:sz w:val="24"/>
          <w:szCs w:val="24"/>
        </w:rPr>
        <w:t>legislatí</w:t>
      </w:r>
      <w:r w:rsidRPr="000E0A82">
        <w:rPr>
          <w:rFonts w:ascii="Times New Roman" w:hAnsi="Times New Roman" w:hint="default"/>
          <w:sz w:val="24"/>
          <w:szCs w:val="24"/>
        </w:rPr>
        <w:t xml:space="preserve">vne akty </w:t>
      </w:r>
    </w:p>
    <w:p w:rsidR="009B1749" w:rsidRPr="000E0A82" w:rsidP="009B1749">
      <w:pPr>
        <w:widowControl w:val="0"/>
        <w:bidi w:val="0"/>
        <w:adjustRightInd w:val="0"/>
        <w:spacing w:before="120" w:after="120"/>
        <w:ind w:left="1440"/>
        <w:rPr>
          <w:rFonts w:ascii="Times New Roman" w:hAnsi="Times New Roman" w:hint="default"/>
          <w:sz w:val="24"/>
          <w:szCs w:val="24"/>
        </w:rPr>
      </w:pPr>
      <w:r w:rsidRPr="000E0A82">
        <w:rPr>
          <w:rFonts w:ascii="Times New Roman" w:hAnsi="Times New Roman"/>
          <w:sz w:val="24"/>
          <w:szCs w:val="24"/>
        </w:rPr>
        <w:t>pr</w:t>
      </w:r>
      <w:r w:rsidRPr="000E0A82">
        <w:rPr>
          <w:rFonts w:ascii="Times New Roman" w:hAnsi="Times New Roman" w:hint="default"/>
          <w:sz w:val="24"/>
          <w:szCs w:val="24"/>
        </w:rPr>
        <w:t>oblematika nie je upravená,</w:t>
      </w:r>
    </w:p>
    <w:p w:rsidR="009B1749" w:rsidRPr="000E0A82" w:rsidP="009B1749">
      <w:pPr>
        <w:widowControl w:val="0"/>
        <w:numPr>
          <w:numId w:val="5"/>
        </w:numPr>
        <w:tabs>
          <w:tab w:val="left" w:pos="1440"/>
        </w:tabs>
        <w:bidi w:val="0"/>
        <w:adjustRightInd w:val="0"/>
        <w:spacing w:line="240" w:lineRule="auto"/>
        <w:ind w:left="1440"/>
        <w:jc w:val="left"/>
        <w:rPr>
          <w:rFonts w:ascii="Times New Roman" w:hAnsi="Times New Roman"/>
          <w:i/>
          <w:sz w:val="24"/>
          <w:szCs w:val="24"/>
        </w:rPr>
      </w:pPr>
      <w:r w:rsidRPr="000E0A82">
        <w:rPr>
          <w:rFonts w:ascii="Times New Roman" w:hAnsi="Times New Roman" w:hint="default"/>
          <w:sz w:val="24"/>
          <w:szCs w:val="24"/>
        </w:rPr>
        <w:t>nelegislatí</w:t>
      </w:r>
      <w:r w:rsidRPr="000E0A82">
        <w:rPr>
          <w:rFonts w:ascii="Times New Roman" w:hAnsi="Times New Roman" w:hint="default"/>
          <w:sz w:val="24"/>
          <w:szCs w:val="24"/>
        </w:rPr>
        <w:t>vne akty</w:t>
      </w:r>
    </w:p>
    <w:p w:rsidR="009B1749" w:rsidRPr="000E0A82" w:rsidP="009B1749">
      <w:pPr>
        <w:widowControl w:val="0"/>
        <w:bidi w:val="0"/>
        <w:adjustRightInd w:val="0"/>
        <w:spacing w:before="120"/>
        <w:ind w:left="1440"/>
        <w:rPr>
          <w:rFonts w:ascii="Times New Roman" w:hAnsi="Times New Roman" w:hint="default"/>
          <w:sz w:val="24"/>
          <w:szCs w:val="24"/>
        </w:rPr>
      </w:pPr>
      <w:r w:rsidRPr="000E0A82">
        <w:rPr>
          <w:rFonts w:ascii="Times New Roman" w:hAnsi="Times New Roman" w:hint="default"/>
          <w:sz w:val="24"/>
          <w:szCs w:val="24"/>
        </w:rPr>
        <w:t>problematika nie je upravená,</w:t>
      </w:r>
    </w:p>
    <w:p w:rsidR="009B1749" w:rsidRPr="000E0A82" w:rsidP="009B1749">
      <w:pPr>
        <w:widowControl w:val="0"/>
        <w:bidi w:val="0"/>
        <w:adjustRightInd w:val="0"/>
        <w:rPr>
          <w:rFonts w:ascii="Times New Roman" w:hAnsi="Times New Roman"/>
          <w:sz w:val="24"/>
          <w:szCs w:val="24"/>
        </w:rPr>
      </w:pPr>
    </w:p>
    <w:p w:rsidR="009B1749" w:rsidRPr="000E0A82" w:rsidP="009B1749">
      <w:pPr>
        <w:tabs>
          <w:tab w:val="left" w:pos="1080"/>
        </w:tabs>
        <w:bidi w:val="0"/>
        <w:ind w:left="1080" w:hanging="360"/>
        <w:rPr>
          <w:rFonts w:ascii="Times New Roman" w:hAnsi="Times New Roman" w:hint="default"/>
          <w:i/>
          <w:sz w:val="24"/>
          <w:szCs w:val="24"/>
        </w:rPr>
      </w:pPr>
      <w:r w:rsidRPr="000E0A82">
        <w:rPr>
          <w:rFonts w:ascii="Times New Roman" w:hAnsi="Times New Roman"/>
          <w:i/>
          <w:iCs/>
          <w:sz w:val="24"/>
          <w:szCs w:val="24"/>
        </w:rPr>
        <w:t>-</w:t>
        <w:tab/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sekundá</w:t>
      </w:r>
      <w:r w:rsidRPr="000E0A82">
        <w:rPr>
          <w:rFonts w:ascii="Times New Roman" w:hAnsi="Times New Roman" w:hint="default"/>
          <w:i/>
          <w:iCs/>
          <w:sz w:val="24"/>
          <w:szCs w:val="24"/>
        </w:rPr>
        <w:t>rnom</w:t>
      </w:r>
      <w:r w:rsidRPr="000E0A82">
        <w:rPr>
          <w:rFonts w:ascii="Times New Roman" w:hAnsi="Times New Roman" w:hint="default"/>
          <w:i/>
          <w:sz w:val="24"/>
          <w:szCs w:val="24"/>
        </w:rPr>
        <w:t xml:space="preserve"> (prijatom pred nadobudnutí</w:t>
      </w:r>
      <w:r w:rsidRPr="000E0A82">
        <w:rPr>
          <w:rFonts w:ascii="Times New Roman" w:hAnsi="Times New Roman" w:hint="default"/>
          <w:i/>
          <w:sz w:val="24"/>
          <w:szCs w:val="24"/>
        </w:rPr>
        <w:t>m platnosti Lisabonskej zmluvy, ktorou sa mení</w:t>
      </w:r>
      <w:r w:rsidRPr="000E0A82">
        <w:rPr>
          <w:rFonts w:ascii="Times New Roman" w:hAnsi="Times New Roman" w:hint="default"/>
          <w:i/>
          <w:sz w:val="24"/>
          <w:szCs w:val="24"/>
        </w:rPr>
        <w:t xml:space="preserve"> a dopĺň</w:t>
      </w:r>
      <w:r w:rsidRPr="000E0A82">
        <w:rPr>
          <w:rFonts w:ascii="Times New Roman" w:hAnsi="Times New Roman" w:hint="default"/>
          <w:i/>
          <w:sz w:val="24"/>
          <w:szCs w:val="24"/>
        </w:rPr>
        <w:t>a Zmluva o Euró</w:t>
      </w:r>
      <w:r w:rsidRPr="000E0A82">
        <w:rPr>
          <w:rFonts w:ascii="Times New Roman" w:hAnsi="Times New Roman" w:hint="default"/>
          <w:i/>
          <w:sz w:val="24"/>
          <w:szCs w:val="24"/>
        </w:rPr>
        <w:t>pskom spoloč</w:t>
      </w:r>
      <w:r w:rsidRPr="000E0A82">
        <w:rPr>
          <w:rFonts w:ascii="Times New Roman" w:hAnsi="Times New Roman" w:hint="default"/>
          <w:i/>
          <w:sz w:val="24"/>
          <w:szCs w:val="24"/>
        </w:rPr>
        <w:t>enstve a Zmluva o Euró</w:t>
      </w:r>
      <w:r w:rsidRPr="000E0A82">
        <w:rPr>
          <w:rFonts w:ascii="Times New Roman" w:hAnsi="Times New Roman" w:hint="default"/>
          <w:i/>
          <w:sz w:val="24"/>
          <w:szCs w:val="24"/>
        </w:rPr>
        <w:t>pskej ú</w:t>
      </w:r>
      <w:r w:rsidRPr="000E0A82">
        <w:rPr>
          <w:rFonts w:ascii="Times New Roman" w:hAnsi="Times New Roman" w:hint="default"/>
          <w:i/>
          <w:sz w:val="24"/>
          <w:szCs w:val="24"/>
        </w:rPr>
        <w:t xml:space="preserve">nii </w:t>
      </w:r>
      <w:r w:rsidRPr="000E0A82">
        <w:rPr>
          <w:rFonts w:ascii="Times New Roman" w:hAnsi="Times New Roman" w:hint="default"/>
          <w:i/>
          <w:sz w:val="24"/>
          <w:szCs w:val="24"/>
        </w:rPr>
        <w:t>–</w:t>
      </w:r>
      <w:r w:rsidRPr="000E0A82">
        <w:rPr>
          <w:rFonts w:ascii="Times New Roman" w:hAnsi="Times New Roman" w:hint="default"/>
          <w:i/>
          <w:sz w:val="24"/>
          <w:szCs w:val="24"/>
        </w:rPr>
        <w:t xml:space="preserve"> do 30. novembra 2009)</w:t>
      </w:r>
    </w:p>
    <w:p w:rsidR="009B1749" w:rsidRPr="000E0A82" w:rsidP="009B1749">
      <w:pPr>
        <w:tabs>
          <w:tab w:val="left" w:pos="1068"/>
        </w:tabs>
        <w:bidi w:val="0"/>
        <w:adjustRightInd w:val="0"/>
        <w:ind w:left="708"/>
        <w:rPr>
          <w:rFonts w:ascii="Times New Roman" w:hAnsi="Times New Roman"/>
          <w:i/>
          <w:sz w:val="24"/>
          <w:szCs w:val="24"/>
        </w:rPr>
      </w:pPr>
    </w:p>
    <w:p w:rsidR="009B1749" w:rsidRPr="000E0A82" w:rsidP="009B1749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color w:val="000000"/>
        </w:rPr>
      </w:pPr>
      <w:r w:rsidRPr="000E0A82">
        <w:rPr>
          <w:rFonts w:ascii="Times New Roman" w:hAnsi="Times New Roman" w:cs="Times New Roman" w:hint="default"/>
        </w:rPr>
        <w:t>Nariadenie Komisie (ES) č</w:t>
      </w:r>
      <w:r w:rsidRPr="000E0A82">
        <w:rPr>
          <w:rFonts w:ascii="Times New Roman" w:hAnsi="Times New Roman" w:cs="Times New Roman" w:hint="default"/>
        </w:rPr>
        <w:t>. 800/2008 zo 6. augusta 2008 o </w:t>
      </w:r>
      <w:r w:rsidRPr="000E0A82">
        <w:rPr>
          <w:rFonts w:ascii="Times New Roman" w:hAnsi="Times New Roman" w:cs="Times New Roman" w:hint="default"/>
        </w:rPr>
        <w:t>vyhlá</w:t>
      </w:r>
      <w:r w:rsidRPr="000E0A82">
        <w:rPr>
          <w:rFonts w:ascii="Times New Roman" w:hAnsi="Times New Roman" w:cs="Times New Roman" w:hint="default"/>
        </w:rPr>
        <w:t>sení</w:t>
      </w:r>
      <w:r w:rsidRPr="000E0A82">
        <w:rPr>
          <w:rFonts w:ascii="Times New Roman" w:hAnsi="Times New Roman" w:cs="Times New Roman" w:hint="default"/>
        </w:rPr>
        <w:t xml:space="preserve"> urč</w:t>
      </w:r>
      <w:r w:rsidRPr="000E0A82">
        <w:rPr>
          <w:rFonts w:ascii="Times New Roman" w:hAnsi="Times New Roman" w:cs="Times New Roman" w:hint="default"/>
        </w:rPr>
        <w:t>itý</w:t>
      </w:r>
      <w:r w:rsidRPr="000E0A82">
        <w:rPr>
          <w:rFonts w:ascii="Times New Roman" w:hAnsi="Times New Roman" w:cs="Times New Roman" w:hint="default"/>
        </w:rPr>
        <w:t>ch kategó</w:t>
      </w:r>
      <w:r w:rsidRPr="000E0A82">
        <w:rPr>
          <w:rFonts w:ascii="Times New Roman" w:hAnsi="Times New Roman" w:cs="Times New Roman" w:hint="default"/>
        </w:rPr>
        <w:t>rií</w:t>
      </w:r>
      <w:r w:rsidRPr="000E0A82">
        <w:rPr>
          <w:rFonts w:ascii="Times New Roman" w:hAnsi="Times New Roman" w:cs="Times New Roman" w:hint="default"/>
        </w:rPr>
        <w:t xml:space="preserve"> pomoci za zluč</w:t>
      </w:r>
      <w:r w:rsidRPr="000E0A82">
        <w:rPr>
          <w:rFonts w:ascii="Times New Roman" w:hAnsi="Times New Roman" w:cs="Times New Roman" w:hint="default"/>
        </w:rPr>
        <w:t>iteľ</w:t>
      </w:r>
      <w:r w:rsidRPr="000E0A82">
        <w:rPr>
          <w:rFonts w:ascii="Times New Roman" w:hAnsi="Times New Roman" w:cs="Times New Roman" w:hint="default"/>
        </w:rPr>
        <w:t>né</w:t>
      </w:r>
      <w:r w:rsidRPr="000E0A82">
        <w:rPr>
          <w:rFonts w:ascii="Times New Roman" w:hAnsi="Times New Roman" w:cs="Times New Roman" w:hint="default"/>
        </w:rPr>
        <w:t xml:space="preserve"> so spoloč</w:t>
      </w:r>
      <w:r w:rsidRPr="000E0A82">
        <w:rPr>
          <w:rFonts w:ascii="Times New Roman" w:hAnsi="Times New Roman" w:cs="Times New Roman" w:hint="default"/>
        </w:rPr>
        <w:t>ný</w:t>
      </w:r>
      <w:r w:rsidRPr="000E0A82">
        <w:rPr>
          <w:rFonts w:ascii="Times New Roman" w:hAnsi="Times New Roman" w:cs="Times New Roman" w:hint="default"/>
        </w:rPr>
        <w:t>m trhom podľ</w:t>
      </w:r>
      <w:r w:rsidRPr="000E0A82">
        <w:rPr>
          <w:rFonts w:ascii="Times New Roman" w:hAnsi="Times New Roman" w:cs="Times New Roman" w:hint="default"/>
        </w:rPr>
        <w:t>a č</w:t>
      </w:r>
      <w:r w:rsidRPr="000E0A82">
        <w:rPr>
          <w:rFonts w:ascii="Times New Roman" w:hAnsi="Times New Roman" w:cs="Times New Roman" w:hint="default"/>
        </w:rPr>
        <w:t>lá</w:t>
      </w:r>
      <w:r w:rsidRPr="000E0A82">
        <w:rPr>
          <w:rFonts w:ascii="Times New Roman" w:hAnsi="Times New Roman" w:cs="Times New Roman" w:hint="default"/>
        </w:rPr>
        <w:t>nkov 87 a </w:t>
      </w:r>
      <w:r w:rsidRPr="000E0A82">
        <w:rPr>
          <w:rFonts w:ascii="Times New Roman" w:hAnsi="Times New Roman" w:cs="Times New Roman" w:hint="default"/>
        </w:rPr>
        <w:t>88 zmluvy (Vš</w:t>
      </w:r>
      <w:r w:rsidRPr="000E0A82">
        <w:rPr>
          <w:rFonts w:ascii="Times New Roman" w:hAnsi="Times New Roman" w:cs="Times New Roman" w:hint="default"/>
        </w:rPr>
        <w:t>eobecné</w:t>
      </w:r>
      <w:r w:rsidRPr="000E0A82">
        <w:rPr>
          <w:rFonts w:ascii="Times New Roman" w:hAnsi="Times New Roman" w:cs="Times New Roman" w:hint="default"/>
        </w:rPr>
        <w:t xml:space="preserve"> nariadenie o </w:t>
      </w:r>
      <w:r w:rsidRPr="000E0A82">
        <w:rPr>
          <w:rFonts w:ascii="Times New Roman" w:hAnsi="Times New Roman" w:cs="Times New Roman" w:hint="default"/>
        </w:rPr>
        <w:t>skupinový</w:t>
      </w:r>
      <w:r w:rsidRPr="000E0A82">
        <w:rPr>
          <w:rFonts w:ascii="Times New Roman" w:hAnsi="Times New Roman" w:cs="Times New Roman" w:hint="default"/>
        </w:rPr>
        <w:t>ch vý</w:t>
      </w:r>
      <w:r w:rsidRPr="000E0A82">
        <w:rPr>
          <w:rFonts w:ascii="Times New Roman" w:hAnsi="Times New Roman" w:cs="Times New Roman" w:hint="default"/>
        </w:rPr>
        <w:t>nimká</w:t>
      </w:r>
      <w:r w:rsidRPr="000E0A82">
        <w:rPr>
          <w:rFonts w:ascii="Times New Roman" w:hAnsi="Times New Roman" w:cs="Times New Roman" w:hint="default"/>
        </w:rPr>
        <w:t xml:space="preserve">ch) </w:t>
      </w:r>
      <w:r w:rsidRPr="000E0A82">
        <w:rPr>
          <w:rFonts w:ascii="Times New Roman" w:hAnsi="Times New Roman" w:cs="Times New Roman" w:hint="default"/>
          <w:color w:val="000000"/>
        </w:rPr>
        <w:t>(Ú</w:t>
      </w:r>
      <w:r w:rsidRPr="000E0A82">
        <w:rPr>
          <w:rFonts w:ascii="Times New Roman" w:hAnsi="Times New Roman" w:cs="Times New Roman" w:hint="default"/>
          <w:color w:val="000000"/>
        </w:rPr>
        <w:t>. v. EÚ</w:t>
      </w:r>
      <w:r w:rsidRPr="000E0A82">
        <w:rPr>
          <w:rFonts w:ascii="Times New Roman" w:hAnsi="Times New Roman" w:cs="Times New Roman" w:hint="default"/>
          <w:color w:val="000000"/>
        </w:rPr>
        <w:t>, L 214, 9. 8. 2008),</w:t>
      </w:r>
    </w:p>
    <w:p w:rsidR="009B1749" w:rsidRPr="000E0A82" w:rsidP="009B1749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0E0A82">
        <w:rPr>
          <w:rFonts w:ascii="Times New Roman" w:hAnsi="Times New Roman" w:cs="Times New Roman" w:hint="default"/>
        </w:rPr>
        <w:t>Usmernenie pre ná</w:t>
      </w:r>
      <w:r w:rsidRPr="000E0A82">
        <w:rPr>
          <w:rFonts w:ascii="Times New Roman" w:hAnsi="Times New Roman" w:cs="Times New Roman" w:hint="default"/>
        </w:rPr>
        <w:t>ro</w:t>
      </w:r>
      <w:r w:rsidRPr="000E0A82" w:rsidR="007E1754">
        <w:rPr>
          <w:rFonts w:ascii="Times New Roman" w:hAnsi="Times New Roman" w:cs="Times New Roman"/>
        </w:rPr>
        <w:t>dn</w:t>
      </w:r>
      <w:r w:rsidRPr="000E0A82" w:rsidR="007E1754">
        <w:rPr>
          <w:rFonts w:ascii="Times New Roman" w:hAnsi="Times New Roman" w:cs="Times New Roman" w:hint="default"/>
        </w:rPr>
        <w:t>ú</w:t>
      </w:r>
      <w:r w:rsidRPr="000E0A82" w:rsidR="007E1754">
        <w:rPr>
          <w:rFonts w:ascii="Times New Roman" w:hAnsi="Times New Roman" w:cs="Times New Roman" w:hint="default"/>
        </w:rPr>
        <w:t xml:space="preserve"> regioná</w:t>
      </w:r>
      <w:r w:rsidRPr="000E0A82" w:rsidR="007E1754">
        <w:rPr>
          <w:rFonts w:ascii="Times New Roman" w:hAnsi="Times New Roman" w:cs="Times New Roman" w:hint="default"/>
        </w:rPr>
        <w:t>lnu pomoc na roky 2014</w:t>
      </w:r>
      <w:r w:rsidRPr="000E0A82">
        <w:rPr>
          <w:rFonts w:ascii="Times New Roman" w:hAnsi="Times New Roman" w:cs="Times New Roman"/>
        </w:rPr>
        <w:t xml:space="preserve"> </w:t>
      </w:r>
      <w:r w:rsidRPr="000E0A82">
        <w:rPr>
          <w:rFonts w:ascii="Times New Roman" w:hAnsi="Times New Roman" w:cs="Times New Roman" w:hint="default"/>
        </w:rPr>
        <w:t>–</w:t>
      </w:r>
      <w:r w:rsidRPr="000E0A82">
        <w:rPr>
          <w:rFonts w:ascii="Times New Roman" w:hAnsi="Times New Roman" w:cs="Times New Roman" w:hint="default"/>
        </w:rPr>
        <w:t xml:space="preserve"> 20</w:t>
      </w:r>
      <w:r w:rsidRPr="000E0A82" w:rsidR="007E1754">
        <w:rPr>
          <w:rFonts w:ascii="Times New Roman" w:hAnsi="Times New Roman" w:cs="Times New Roman"/>
        </w:rPr>
        <w:t>20</w:t>
      </w:r>
      <w:r w:rsidRPr="000E0A82">
        <w:rPr>
          <w:rFonts w:ascii="Times New Roman" w:hAnsi="Times New Roman" w:cs="Times New Roman"/>
        </w:rPr>
        <w:t> </w:t>
      </w:r>
      <w:r w:rsidRPr="000E0A82">
        <w:rPr>
          <w:rFonts w:ascii="Times New Roman" w:hAnsi="Times New Roman" w:cs="Times New Roman" w:hint="default"/>
        </w:rPr>
        <w:t>(Ú</w:t>
      </w:r>
      <w:r w:rsidRPr="000E0A82">
        <w:rPr>
          <w:rFonts w:ascii="Times New Roman" w:hAnsi="Times New Roman" w:cs="Times New Roman" w:hint="default"/>
        </w:rPr>
        <w:t>radný</w:t>
      </w:r>
      <w:r w:rsidRPr="000E0A82">
        <w:rPr>
          <w:rFonts w:ascii="Times New Roman" w:hAnsi="Times New Roman" w:cs="Times New Roman" w:hint="default"/>
        </w:rPr>
        <w:t xml:space="preserve"> vestní</w:t>
      </w:r>
      <w:r w:rsidRPr="000E0A82">
        <w:rPr>
          <w:rFonts w:ascii="Times New Roman" w:hAnsi="Times New Roman" w:cs="Times New Roman" w:hint="default"/>
        </w:rPr>
        <w:t>k ES 20</w:t>
      </w:r>
      <w:r w:rsidRPr="000E0A82" w:rsidR="007E1754">
        <w:rPr>
          <w:rFonts w:ascii="Times New Roman" w:hAnsi="Times New Roman" w:cs="Times New Roman"/>
        </w:rPr>
        <w:t>13</w:t>
      </w:r>
      <w:r w:rsidRPr="000E0A82">
        <w:rPr>
          <w:rFonts w:ascii="Times New Roman" w:hAnsi="Times New Roman" w:cs="Times New Roman"/>
        </w:rPr>
        <w:t xml:space="preserve">/C </w:t>
      </w:r>
      <w:r w:rsidRPr="000E0A82" w:rsidR="007E1754">
        <w:rPr>
          <w:rFonts w:ascii="Times New Roman" w:hAnsi="Times New Roman" w:cs="Times New Roman"/>
        </w:rPr>
        <w:t>209/01</w:t>
      </w:r>
      <w:r w:rsidRPr="000E0A82">
        <w:rPr>
          <w:rFonts w:ascii="Times New Roman" w:hAnsi="Times New Roman" w:cs="Times New Roman"/>
        </w:rPr>
        <w:t xml:space="preserve">, </w:t>
      </w:r>
      <w:r w:rsidRPr="000E0A82" w:rsidR="007E1754">
        <w:rPr>
          <w:rFonts w:ascii="Times New Roman" w:hAnsi="Times New Roman" w:cs="Times New Roman"/>
        </w:rPr>
        <w:t>23</w:t>
      </w:r>
      <w:r w:rsidRPr="000E0A82">
        <w:rPr>
          <w:rFonts w:ascii="Times New Roman" w:hAnsi="Times New Roman" w:cs="Times New Roman"/>
        </w:rPr>
        <w:t xml:space="preserve">. </w:t>
      </w:r>
      <w:r w:rsidRPr="000E0A82" w:rsidR="007E1754">
        <w:rPr>
          <w:rFonts w:ascii="Times New Roman" w:hAnsi="Times New Roman" w:cs="Times New Roman"/>
        </w:rPr>
        <w:t>7</w:t>
      </w:r>
      <w:r w:rsidRPr="000E0A82">
        <w:rPr>
          <w:rFonts w:ascii="Times New Roman" w:hAnsi="Times New Roman" w:cs="Times New Roman"/>
        </w:rPr>
        <w:t>. 20</w:t>
      </w:r>
      <w:r w:rsidRPr="000E0A82" w:rsidR="007E1754">
        <w:rPr>
          <w:rFonts w:ascii="Times New Roman" w:hAnsi="Times New Roman" w:cs="Times New Roman"/>
        </w:rPr>
        <w:t>13</w:t>
      </w:r>
      <w:r w:rsidRPr="000E0A82">
        <w:rPr>
          <w:rFonts w:ascii="Times New Roman" w:hAnsi="Times New Roman" w:cs="Times New Roman"/>
        </w:rPr>
        <w:t>),</w:t>
      </w:r>
    </w:p>
    <w:p w:rsidR="009B1749" w:rsidRPr="000E0A82" w:rsidP="009B1749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9B1749" w:rsidRPr="000E0A82" w:rsidP="009B1749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0E0A82">
        <w:rPr>
          <w:rFonts w:ascii="Times New Roman" w:hAnsi="Times New Roman" w:cs="Times New Roman" w:hint="default"/>
        </w:rPr>
        <w:t>je obsiahnutá</w:t>
      </w:r>
      <w:r w:rsidRPr="000E0A82">
        <w:rPr>
          <w:rFonts w:ascii="Times New Roman" w:hAnsi="Times New Roman" w:cs="Times New Roman" w:hint="default"/>
        </w:rPr>
        <w:t xml:space="preserve"> v </w:t>
      </w:r>
      <w:r w:rsidRPr="000E0A82">
        <w:rPr>
          <w:rFonts w:ascii="Times New Roman" w:hAnsi="Times New Roman" w:cs="Times New Roman" w:hint="default"/>
        </w:rPr>
        <w:t>judikatú</w:t>
      </w:r>
      <w:r w:rsidRPr="000E0A82">
        <w:rPr>
          <w:rFonts w:ascii="Times New Roman" w:hAnsi="Times New Roman" w:cs="Times New Roman" w:hint="default"/>
        </w:rPr>
        <w:t>re Sú</w:t>
      </w:r>
      <w:r w:rsidRPr="000E0A82">
        <w:rPr>
          <w:rFonts w:ascii="Times New Roman" w:hAnsi="Times New Roman" w:cs="Times New Roman" w:hint="default"/>
        </w:rPr>
        <w:t>dneho dvora Euró</w:t>
      </w:r>
      <w:r w:rsidRPr="000E0A82">
        <w:rPr>
          <w:rFonts w:ascii="Times New Roman" w:hAnsi="Times New Roman" w:cs="Times New Roman" w:hint="default"/>
        </w:rPr>
        <w:t>pskej ú</w:t>
      </w:r>
      <w:r w:rsidRPr="000E0A82">
        <w:rPr>
          <w:rFonts w:ascii="Times New Roman" w:hAnsi="Times New Roman" w:cs="Times New Roman" w:hint="default"/>
        </w:rPr>
        <w:t>nie:</w:t>
      </w:r>
    </w:p>
    <w:p w:rsidR="00B855D4" w:rsidRPr="000E0A82" w:rsidP="000E0A82">
      <w:pPr>
        <w:pStyle w:val="Default"/>
        <w:bidi w:val="0"/>
        <w:ind w:left="709"/>
      </w:pPr>
      <w:r w:rsidRPr="000E0A82" w:rsidR="009B1749">
        <w:rPr>
          <w:rFonts w:hint="default"/>
        </w:rPr>
        <w:t>naprí</w:t>
      </w:r>
      <w:r w:rsidRPr="000E0A82" w:rsidR="009B1749">
        <w:rPr>
          <w:rFonts w:hint="default"/>
        </w:rPr>
        <w:t>klad C-485/03, C-486/03, C-487/03, C-488/03, C-489/03, C-490/03, T-237/02, T-95/03, T-217/02, C-232/05, C-</w:t>
      </w:r>
      <w:r w:rsidRPr="000E0A82" w:rsidR="009B1749">
        <w:rPr>
          <w:rFonts w:hint="default"/>
        </w:rPr>
        <w:t>368/04, T-210/02.</w:t>
      </w:r>
    </w:p>
    <w:p w:rsidR="009B1749" w:rsidRPr="000E0A82" w:rsidP="009B1749">
      <w:pPr>
        <w:pStyle w:val="Default"/>
        <w:bidi w:val="0"/>
        <w:rPr>
          <w:color w:val="auto"/>
        </w:rPr>
      </w:pPr>
    </w:p>
    <w:p w:rsidR="00B855D4" w:rsidRPr="000E0A82" w:rsidP="00B855D4">
      <w:pPr>
        <w:pStyle w:val="Default"/>
        <w:bidi w:val="0"/>
        <w:ind w:left="284" w:hanging="284"/>
        <w:rPr>
          <w:color w:val="auto"/>
        </w:rPr>
      </w:pPr>
      <w:r w:rsidRPr="000E0A82">
        <w:rPr>
          <w:color w:val="auto"/>
        </w:rPr>
        <w:t>4.</w:t>
        <w:tab/>
      </w:r>
      <w:r w:rsidRPr="000E0A82">
        <w:rPr>
          <w:rFonts w:hint="default"/>
          <w:b/>
          <w:bCs/>
          <w:color w:val="auto"/>
        </w:rPr>
        <w:t>Zá</w:t>
      </w:r>
      <w:r w:rsidRPr="000E0A82">
        <w:rPr>
          <w:rFonts w:hint="default"/>
          <w:b/>
          <w:bCs/>
          <w:color w:val="auto"/>
        </w:rPr>
        <w:t>vä</w:t>
      </w:r>
      <w:r w:rsidRPr="000E0A82">
        <w:rPr>
          <w:rFonts w:hint="default"/>
          <w:b/>
          <w:bCs/>
          <w:color w:val="auto"/>
        </w:rPr>
        <w:t>zky Slovenskej republiky vo vzť</w:t>
      </w:r>
      <w:r w:rsidRPr="000E0A82">
        <w:rPr>
          <w:rFonts w:hint="default"/>
          <w:b/>
          <w:bCs/>
          <w:color w:val="auto"/>
        </w:rPr>
        <w:t>ahu k Euró</w:t>
      </w:r>
      <w:r w:rsidRPr="000E0A82">
        <w:rPr>
          <w:rFonts w:hint="default"/>
          <w:b/>
          <w:bCs/>
          <w:color w:val="auto"/>
        </w:rPr>
        <w:t>pskej ú</w:t>
      </w:r>
      <w:r w:rsidRPr="000E0A82">
        <w:rPr>
          <w:rFonts w:hint="default"/>
          <w:b/>
          <w:bCs/>
          <w:color w:val="auto"/>
        </w:rPr>
        <w:t>nii:</w:t>
      </w:r>
    </w:p>
    <w:p w:rsidR="009B1749" w:rsidRPr="000E0A82" w:rsidP="009B1749">
      <w:pPr>
        <w:pStyle w:val="Default"/>
        <w:numPr>
          <w:numId w:val="6"/>
        </w:numPr>
        <w:tabs>
          <w:tab w:val="clear" w:pos="1068"/>
        </w:tabs>
        <w:bidi w:val="0"/>
        <w:ind w:left="709"/>
        <w:jc w:val="both"/>
        <w:rPr>
          <w:rFonts w:hint="default"/>
        </w:rPr>
      </w:pPr>
      <w:r w:rsidRPr="000E0A82">
        <w:rPr>
          <w:rFonts w:hint="default"/>
        </w:rPr>
        <w:t>lehota na prebratie smernice alebo lehota na implementá</w:t>
      </w:r>
      <w:r w:rsidRPr="000E0A82">
        <w:rPr>
          <w:rFonts w:hint="default"/>
        </w:rPr>
        <w:t xml:space="preserve">ciu nariadenia alebo rozhodnutia </w:t>
      </w:r>
      <w:r w:rsidRPr="000E0A82">
        <w:rPr>
          <w:rFonts w:hint="default"/>
        </w:rPr>
        <w:t>–</w:t>
      </w:r>
      <w:r w:rsidRPr="000E0A82">
        <w:rPr>
          <w:rFonts w:hint="default"/>
        </w:rPr>
        <w:t xml:space="preserve"> bezpredmetné</w:t>
      </w:r>
    </w:p>
    <w:p w:rsidR="009B1749" w:rsidRPr="000E0A82" w:rsidP="009B1749">
      <w:pPr>
        <w:pStyle w:val="Default"/>
        <w:numPr>
          <w:numId w:val="6"/>
        </w:numPr>
        <w:tabs>
          <w:tab w:val="clear" w:pos="1068"/>
        </w:tabs>
        <w:bidi w:val="0"/>
        <w:ind w:left="709"/>
        <w:jc w:val="both"/>
        <w:rPr>
          <w:rFonts w:hint="default"/>
        </w:rPr>
      </w:pPr>
      <w:r w:rsidRPr="000E0A82">
        <w:rPr>
          <w:rFonts w:hint="default"/>
        </w:rPr>
        <w:t>lehota urč</w:t>
      </w:r>
      <w:r w:rsidRPr="000E0A82">
        <w:rPr>
          <w:rFonts w:hint="default"/>
        </w:rPr>
        <w:t>ená</w:t>
      </w:r>
      <w:r w:rsidRPr="000E0A82">
        <w:rPr>
          <w:rFonts w:hint="default"/>
        </w:rPr>
        <w:t xml:space="preserve"> na predlož</w:t>
      </w:r>
      <w:r w:rsidRPr="000E0A82">
        <w:rPr>
          <w:rFonts w:hint="default"/>
        </w:rPr>
        <w:t>enie ná</w:t>
      </w:r>
      <w:r w:rsidRPr="000E0A82">
        <w:rPr>
          <w:rFonts w:hint="default"/>
        </w:rPr>
        <w:t>vrhu prá</w:t>
      </w:r>
      <w:r w:rsidRPr="000E0A82">
        <w:rPr>
          <w:rFonts w:hint="default"/>
        </w:rPr>
        <w:t>vneho predpisu na rokovanie vlá</w:t>
      </w:r>
      <w:r w:rsidRPr="000E0A82">
        <w:rPr>
          <w:rFonts w:hint="default"/>
        </w:rPr>
        <w:t>dy p</w:t>
      </w:r>
      <w:r w:rsidRPr="000E0A82">
        <w:rPr>
          <w:rFonts w:hint="default"/>
        </w:rPr>
        <w:t>odľ</w:t>
      </w:r>
      <w:r w:rsidRPr="000E0A82">
        <w:rPr>
          <w:rFonts w:hint="default"/>
        </w:rPr>
        <w:t>a urč</w:t>
      </w:r>
      <w:r w:rsidRPr="000E0A82">
        <w:rPr>
          <w:rFonts w:hint="default"/>
        </w:rPr>
        <w:t>enia gestorský</w:t>
      </w:r>
      <w:r w:rsidRPr="000E0A82">
        <w:rPr>
          <w:rFonts w:hint="default"/>
        </w:rPr>
        <w:t>ch ú</w:t>
      </w:r>
      <w:r w:rsidRPr="000E0A82">
        <w:rPr>
          <w:rFonts w:hint="default"/>
        </w:rPr>
        <w:t>stredný</w:t>
      </w:r>
      <w:r w:rsidRPr="000E0A82">
        <w:rPr>
          <w:rFonts w:hint="default"/>
        </w:rPr>
        <w:t>ch orgá</w:t>
      </w:r>
      <w:r w:rsidRPr="000E0A82">
        <w:rPr>
          <w:rFonts w:hint="default"/>
        </w:rPr>
        <w:t>nov š</w:t>
      </w:r>
      <w:r w:rsidRPr="000E0A82">
        <w:rPr>
          <w:rFonts w:hint="default"/>
        </w:rPr>
        <w:t>tá</w:t>
      </w:r>
      <w:r w:rsidRPr="000E0A82">
        <w:rPr>
          <w:rFonts w:hint="default"/>
        </w:rPr>
        <w:t>tnej sprá</w:t>
      </w:r>
      <w:r w:rsidRPr="000E0A82">
        <w:rPr>
          <w:rFonts w:hint="default"/>
        </w:rPr>
        <w:t>vy zodpovedný</w:t>
      </w:r>
      <w:r w:rsidRPr="000E0A82">
        <w:rPr>
          <w:rFonts w:hint="default"/>
        </w:rPr>
        <w:t>ch za transpozí</w:t>
      </w:r>
      <w:r w:rsidRPr="000E0A82">
        <w:rPr>
          <w:rFonts w:hint="default"/>
        </w:rPr>
        <w:t>ciu smerní</w:t>
      </w:r>
      <w:r w:rsidRPr="000E0A82">
        <w:rPr>
          <w:rFonts w:hint="default"/>
        </w:rPr>
        <w:t>c a vypracovanie tabuliek zhody k </w:t>
      </w:r>
      <w:r w:rsidRPr="000E0A82">
        <w:rPr>
          <w:rFonts w:hint="default"/>
        </w:rPr>
        <w:t>ná</w:t>
      </w:r>
      <w:r w:rsidRPr="000E0A82">
        <w:rPr>
          <w:rFonts w:hint="default"/>
        </w:rPr>
        <w:t>vrhom vš</w:t>
      </w:r>
      <w:r w:rsidRPr="000E0A82">
        <w:rPr>
          <w:rFonts w:hint="default"/>
        </w:rPr>
        <w:t>eobecne zá</w:t>
      </w:r>
      <w:r w:rsidRPr="000E0A82">
        <w:rPr>
          <w:rFonts w:hint="default"/>
        </w:rPr>
        <w:t>vä</w:t>
      </w:r>
      <w:r w:rsidRPr="000E0A82">
        <w:rPr>
          <w:rFonts w:hint="default"/>
        </w:rPr>
        <w:t>zný</w:t>
      </w:r>
      <w:r w:rsidRPr="000E0A82">
        <w:rPr>
          <w:rFonts w:hint="default"/>
        </w:rPr>
        <w:t>ch prá</w:t>
      </w:r>
      <w:r w:rsidRPr="000E0A82">
        <w:rPr>
          <w:rFonts w:hint="default"/>
        </w:rPr>
        <w:t xml:space="preserve">vnych predpisov </w:t>
      </w:r>
      <w:r w:rsidRPr="000E0A82">
        <w:rPr>
          <w:rFonts w:hint="default"/>
        </w:rPr>
        <w:t>–</w:t>
      </w:r>
      <w:r w:rsidRPr="000E0A82">
        <w:rPr>
          <w:rFonts w:hint="default"/>
        </w:rPr>
        <w:t xml:space="preserve"> bezpredmetné</w:t>
      </w:r>
    </w:p>
    <w:p w:rsidR="009B1749" w:rsidRPr="000E0A82" w:rsidP="009B1749">
      <w:pPr>
        <w:pStyle w:val="Default"/>
        <w:numPr>
          <w:numId w:val="6"/>
        </w:numPr>
        <w:tabs>
          <w:tab w:val="clear" w:pos="1068"/>
        </w:tabs>
        <w:bidi w:val="0"/>
        <w:ind w:left="709"/>
        <w:jc w:val="both"/>
        <w:rPr>
          <w:rFonts w:hint="default"/>
        </w:rPr>
      </w:pPr>
      <w:r w:rsidRPr="000E0A82">
        <w:rPr>
          <w:rFonts w:hint="default"/>
        </w:rPr>
        <w:t>informá</w:t>
      </w:r>
      <w:r w:rsidRPr="000E0A82">
        <w:rPr>
          <w:rFonts w:hint="default"/>
        </w:rPr>
        <w:t>cia o konaní</w:t>
      </w:r>
      <w:r w:rsidRPr="000E0A82">
        <w:rPr>
          <w:rFonts w:hint="default"/>
        </w:rPr>
        <w:t xml:space="preserve"> zač</w:t>
      </w:r>
      <w:r w:rsidRPr="000E0A82">
        <w:rPr>
          <w:rFonts w:hint="default"/>
        </w:rPr>
        <w:t>atom proti Slovenskej republike o </w:t>
      </w:r>
      <w:r w:rsidRPr="000E0A82">
        <w:rPr>
          <w:rFonts w:hint="default"/>
        </w:rPr>
        <w:t>poruš</w:t>
      </w:r>
      <w:r w:rsidRPr="000E0A82">
        <w:rPr>
          <w:rFonts w:hint="default"/>
        </w:rPr>
        <w:t>ení</w:t>
      </w:r>
      <w:r w:rsidRPr="000E0A82">
        <w:rPr>
          <w:rFonts w:hint="default"/>
        </w:rPr>
        <w:t xml:space="preserve"> </w:t>
      </w:r>
      <w:r w:rsidRPr="000E0A82">
        <w:rPr>
          <w:rFonts w:hint="default"/>
        </w:rPr>
        <w:t>Zmluvy podľ</w:t>
      </w:r>
      <w:r w:rsidRPr="000E0A82">
        <w:rPr>
          <w:rFonts w:hint="default"/>
        </w:rPr>
        <w:t>a č</w:t>
      </w:r>
      <w:r w:rsidRPr="000E0A82">
        <w:rPr>
          <w:rFonts w:hint="default"/>
        </w:rPr>
        <w:t>l. 258 až</w:t>
      </w:r>
      <w:r w:rsidRPr="000E0A82">
        <w:rPr>
          <w:rFonts w:hint="default"/>
        </w:rPr>
        <w:t xml:space="preserve"> 260 Zmluvy o </w:t>
      </w:r>
      <w:r w:rsidRPr="000E0A82">
        <w:rPr>
          <w:rFonts w:hint="default"/>
        </w:rPr>
        <w:t>fungovaní</w:t>
      </w:r>
      <w:r w:rsidRPr="000E0A82">
        <w:rPr>
          <w:rFonts w:hint="default"/>
        </w:rPr>
        <w:t xml:space="preserve"> Euró</w:t>
      </w:r>
      <w:r w:rsidRPr="000E0A82">
        <w:rPr>
          <w:rFonts w:hint="default"/>
        </w:rPr>
        <w:t>pskej ú</w:t>
      </w:r>
      <w:r w:rsidRPr="000E0A82">
        <w:rPr>
          <w:rFonts w:hint="default"/>
        </w:rPr>
        <w:t xml:space="preserve">nie </w:t>
      </w:r>
      <w:r w:rsidRPr="000E0A82">
        <w:rPr>
          <w:rFonts w:hint="default"/>
        </w:rPr>
        <w:t>–</w:t>
      </w:r>
      <w:r w:rsidRPr="000E0A82">
        <w:rPr>
          <w:rFonts w:hint="default"/>
        </w:rPr>
        <w:t xml:space="preserve"> nebolo zač</w:t>
      </w:r>
      <w:r w:rsidRPr="000E0A82">
        <w:rPr>
          <w:rFonts w:hint="default"/>
        </w:rPr>
        <w:t>até</w:t>
      </w:r>
      <w:r w:rsidRPr="000E0A82">
        <w:rPr>
          <w:rFonts w:hint="default"/>
        </w:rPr>
        <w:t xml:space="preserve"> ž</w:t>
      </w:r>
      <w:r w:rsidRPr="000E0A82">
        <w:rPr>
          <w:rFonts w:hint="default"/>
        </w:rPr>
        <w:t>iadne konanie</w:t>
      </w:r>
    </w:p>
    <w:p w:rsidR="009B1749" w:rsidRPr="000E0A82" w:rsidP="009B1749">
      <w:pPr>
        <w:pStyle w:val="Default"/>
        <w:numPr>
          <w:numId w:val="6"/>
        </w:numPr>
        <w:tabs>
          <w:tab w:val="clear" w:pos="1068"/>
        </w:tabs>
        <w:bidi w:val="0"/>
        <w:ind w:left="709"/>
        <w:jc w:val="both"/>
        <w:rPr>
          <w:rFonts w:hint="default"/>
        </w:rPr>
      </w:pPr>
      <w:r w:rsidRPr="000E0A82">
        <w:rPr>
          <w:rFonts w:hint="default"/>
        </w:rPr>
        <w:t>informá</w:t>
      </w:r>
      <w:r w:rsidRPr="000E0A82">
        <w:rPr>
          <w:rFonts w:hint="default"/>
        </w:rPr>
        <w:t>cia o prá</w:t>
      </w:r>
      <w:r w:rsidRPr="000E0A82">
        <w:rPr>
          <w:rFonts w:hint="default"/>
        </w:rPr>
        <w:t>vnych predpisoch, v ktorý</w:t>
      </w:r>
      <w:r w:rsidRPr="000E0A82">
        <w:rPr>
          <w:rFonts w:hint="default"/>
        </w:rPr>
        <w:t>ch sú</w:t>
      </w:r>
      <w:r w:rsidRPr="000E0A82">
        <w:rPr>
          <w:rFonts w:hint="default"/>
        </w:rPr>
        <w:t xml:space="preserve"> preberané</w:t>
      </w:r>
      <w:r w:rsidRPr="000E0A82">
        <w:rPr>
          <w:rFonts w:hint="default"/>
        </w:rPr>
        <w:t xml:space="preserve"> smernice alebo rá</w:t>
      </w:r>
      <w:r w:rsidRPr="000E0A82">
        <w:rPr>
          <w:rFonts w:hint="default"/>
        </w:rPr>
        <w:t>mcové</w:t>
      </w:r>
      <w:r w:rsidRPr="000E0A82">
        <w:rPr>
          <w:rFonts w:hint="default"/>
        </w:rPr>
        <w:t xml:space="preserve"> rozhodnutia už</w:t>
      </w:r>
      <w:r w:rsidRPr="000E0A82">
        <w:rPr>
          <w:rFonts w:hint="default"/>
        </w:rPr>
        <w:t xml:space="preserve"> prebraté</w:t>
      </w:r>
      <w:r w:rsidRPr="000E0A82">
        <w:rPr>
          <w:rFonts w:hint="default"/>
        </w:rPr>
        <w:t xml:space="preserve"> spolu s uvedení</w:t>
      </w:r>
      <w:r w:rsidRPr="000E0A82">
        <w:rPr>
          <w:rFonts w:hint="default"/>
        </w:rPr>
        <w:t xml:space="preserve">m rozsahu tohto prebratia </w:t>
      </w:r>
    </w:p>
    <w:p w:rsidR="001042AE" w:rsidRPr="000E0A82" w:rsidP="00B855D4">
      <w:pPr>
        <w:pStyle w:val="Default"/>
        <w:bidi w:val="0"/>
        <w:rPr>
          <w:color w:val="auto"/>
        </w:rPr>
      </w:pPr>
    </w:p>
    <w:p w:rsidR="00B855D4" w:rsidRPr="000E0A82" w:rsidP="00B855D4">
      <w:pPr>
        <w:pStyle w:val="Default"/>
        <w:bidi w:val="0"/>
        <w:ind w:left="284" w:hanging="284"/>
        <w:rPr>
          <w:color w:val="auto"/>
        </w:rPr>
      </w:pPr>
      <w:r w:rsidRPr="000E0A82">
        <w:rPr>
          <w:color w:val="auto"/>
        </w:rPr>
        <w:t>5.</w:t>
        <w:tab/>
      </w:r>
      <w:r w:rsidRPr="000E0A82">
        <w:rPr>
          <w:rFonts w:hint="default"/>
          <w:b/>
          <w:bCs/>
          <w:color w:val="auto"/>
        </w:rPr>
        <w:t>Ná</w:t>
      </w:r>
      <w:r w:rsidRPr="000E0A82">
        <w:rPr>
          <w:rFonts w:hint="default"/>
          <w:b/>
          <w:bCs/>
          <w:color w:val="auto"/>
        </w:rPr>
        <w:t>vrh zá</w:t>
      </w:r>
      <w:r w:rsidRPr="000E0A82">
        <w:rPr>
          <w:rFonts w:hint="default"/>
          <w:b/>
          <w:bCs/>
          <w:color w:val="auto"/>
        </w:rPr>
        <w:t xml:space="preserve">kona </w:t>
      </w:r>
      <w:r w:rsidRPr="000E0A82">
        <w:rPr>
          <w:rFonts w:hint="default"/>
          <w:b/>
          <w:bCs/>
          <w:color w:val="auto"/>
        </w:rPr>
        <w:t>je zluč</w:t>
      </w:r>
      <w:r w:rsidRPr="000E0A82">
        <w:rPr>
          <w:rFonts w:hint="default"/>
          <w:b/>
          <w:bCs/>
          <w:color w:val="auto"/>
        </w:rPr>
        <w:t>iteľ</w:t>
      </w:r>
      <w:r w:rsidRPr="000E0A82">
        <w:rPr>
          <w:rFonts w:hint="default"/>
          <w:b/>
          <w:bCs/>
          <w:color w:val="auto"/>
        </w:rPr>
        <w:t>ný</w:t>
      </w:r>
      <w:r w:rsidRPr="000E0A82">
        <w:rPr>
          <w:rFonts w:hint="default"/>
          <w:b/>
          <w:bCs/>
          <w:color w:val="auto"/>
        </w:rPr>
        <w:t xml:space="preserve"> s prá</w:t>
      </w:r>
      <w:r w:rsidRPr="000E0A82">
        <w:rPr>
          <w:rFonts w:hint="default"/>
          <w:b/>
          <w:bCs/>
          <w:color w:val="auto"/>
        </w:rPr>
        <w:t>vom Euró</w:t>
      </w:r>
      <w:r w:rsidRPr="000E0A82">
        <w:rPr>
          <w:rFonts w:hint="default"/>
          <w:b/>
          <w:bCs/>
          <w:color w:val="auto"/>
        </w:rPr>
        <w:t>pskej ú</w:t>
      </w:r>
      <w:r w:rsidRPr="000E0A82">
        <w:rPr>
          <w:rFonts w:hint="default"/>
          <w:b/>
          <w:bCs/>
          <w:color w:val="auto"/>
        </w:rPr>
        <w:t>nie:</w:t>
      </w:r>
    </w:p>
    <w:p w:rsidR="00B855D4" w:rsidRPr="000E0A82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0E0A82" w:rsidR="001042AE">
        <w:rPr>
          <w:color w:val="auto"/>
        </w:rPr>
        <w:t>a)</w:t>
        <w:tab/>
      </w:r>
      <w:r w:rsidRPr="000E0A82">
        <w:rPr>
          <w:rFonts w:hint="default"/>
          <w:color w:val="auto"/>
        </w:rPr>
        <w:t>ú</w:t>
      </w:r>
      <w:r w:rsidRPr="000E0A82" w:rsidR="001042AE">
        <w:rPr>
          <w:color w:val="auto"/>
        </w:rPr>
        <w:t>plne.</w:t>
      </w:r>
    </w:p>
    <w:p w:rsidR="001042AE" w:rsidRPr="000E0A82" w:rsidP="001042AE">
      <w:pPr>
        <w:pStyle w:val="Default"/>
        <w:bidi w:val="0"/>
        <w:jc w:val="both"/>
        <w:rPr>
          <w:color w:val="auto"/>
        </w:rPr>
      </w:pPr>
    </w:p>
    <w:p w:rsidR="001042AE" w:rsidRPr="000E0A82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0E0A82"/>
    <w:rsid w:val="001042AE"/>
    <w:rsid w:val="001066C6"/>
    <w:rsid w:val="00152A1D"/>
    <w:rsid w:val="001C2757"/>
    <w:rsid w:val="002060E0"/>
    <w:rsid w:val="003969C8"/>
    <w:rsid w:val="003976AB"/>
    <w:rsid w:val="00400411"/>
    <w:rsid w:val="00422FDB"/>
    <w:rsid w:val="00445FD5"/>
    <w:rsid w:val="004935FE"/>
    <w:rsid w:val="005D11B3"/>
    <w:rsid w:val="00662FC4"/>
    <w:rsid w:val="00681278"/>
    <w:rsid w:val="00696AF1"/>
    <w:rsid w:val="006C3D13"/>
    <w:rsid w:val="007E1754"/>
    <w:rsid w:val="007F4230"/>
    <w:rsid w:val="00931A0A"/>
    <w:rsid w:val="00992828"/>
    <w:rsid w:val="009B1749"/>
    <w:rsid w:val="00AF5571"/>
    <w:rsid w:val="00B463E7"/>
    <w:rsid w:val="00B855D4"/>
    <w:rsid w:val="00BC2B2A"/>
    <w:rsid w:val="00BC39E6"/>
    <w:rsid w:val="00C2371F"/>
    <w:rsid w:val="00C40782"/>
    <w:rsid w:val="00CD5633"/>
    <w:rsid w:val="00CE5A4E"/>
    <w:rsid w:val="00DD5FCE"/>
    <w:rsid w:val="00F04194"/>
    <w:rsid w:val="00F2254A"/>
    <w:rsid w:val="00F24752"/>
    <w:rsid w:val="00FB3E1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1749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Heading4Char">
    <w:name w:val="Heading 4 Char"/>
    <w:link w:val="Heading4"/>
    <w:uiPriority w:val="9"/>
    <w:locked/>
    <w:rsid w:val="009B1749"/>
    <w:rPr>
      <w:rFonts w:ascii="Times New Roman" w:hAnsi="Times New Roman" w:cs="Times New Roman"/>
      <w:b/>
      <w:sz w:val="28"/>
    </w:rPr>
  </w:style>
  <w:style w:type="paragraph" w:styleId="NormalWeb">
    <w:name w:val="Normal (Web)"/>
    <w:basedOn w:val="Normal"/>
    <w:uiPriority w:val="99"/>
    <w:rsid w:val="009B174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351</Words>
  <Characters>2004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2014-02-19T16:43:00Z</dcterms:created>
  <dcterms:modified xsi:type="dcterms:W3CDTF">2014-02-19T16:43:00Z</dcterms:modified>
</cp:coreProperties>
</file>