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CC5C6B" w:rsidP="00AA615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C5C6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C5C6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5C6B" w:rsidR="00D17313">
        <w:rPr>
          <w:rFonts w:ascii="Book Antiqua" w:hAnsi="Book Antiqua"/>
          <w:sz w:val="22"/>
          <w:szCs w:val="22"/>
        </w:rPr>
        <w:t>z ... 201</w:t>
      </w:r>
      <w:r w:rsidR="00956184">
        <w:rPr>
          <w:rFonts w:ascii="Book Antiqua" w:hAnsi="Book Antiqua"/>
          <w:sz w:val="22"/>
          <w:szCs w:val="22"/>
        </w:rPr>
        <w:t>4</w:t>
      </w:r>
      <w:r w:rsidRPr="00CC5C6B">
        <w:rPr>
          <w:rFonts w:ascii="Book Antiqua" w:hAnsi="Book Antiqua"/>
          <w:sz w:val="22"/>
          <w:szCs w:val="22"/>
        </w:rPr>
        <w:t>,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94B1C">
      <w:pPr>
        <w:bidi w:val="0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9C3F3F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>zákon</w:t>
      </w:r>
      <w:r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CC5C6B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>č. 3</w:t>
      </w:r>
      <w:r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CC5C6B" w:rsidP="00AA615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3E5C85" w:rsidP="003E5C8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E5C85" w:rsidRPr="003E5C85" w:rsidP="003E5C85">
      <w:pPr>
        <w:pStyle w:val="BodyText"/>
        <w:bidi w:val="0"/>
        <w:spacing w:line="276" w:lineRule="auto"/>
        <w:ind w:firstLine="708"/>
        <w:rPr>
          <w:rFonts w:ascii="Book Antiqua" w:hAnsi="Book Antiqua"/>
          <w:sz w:val="22"/>
          <w:szCs w:val="22"/>
        </w:rPr>
      </w:pPr>
      <w:r w:rsidRPr="003E5C85">
        <w:rPr>
          <w:rFonts w:ascii="Book Antiqua" w:hAnsi="Book Antiqua"/>
          <w:bCs/>
          <w:sz w:val="22"/>
          <w:szCs w:val="22"/>
        </w:rPr>
        <w:t xml:space="preserve">Zákon </w:t>
      </w:r>
      <w:r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3E5C85">
        <w:rPr>
          <w:rFonts w:ascii="Book Antiqua" w:hAnsi="Book Antiqua"/>
          <w:bCs/>
          <w:sz w:val="22"/>
          <w:szCs w:val="22"/>
        </w:rPr>
        <w:t>rady  Slovenskej  republiky  č. 350/1996 Z. z. o rokovacom  poriadku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3E5C85">
        <w:rPr>
          <w:rFonts w:ascii="Book Antiqua" w:hAnsi="Book Antiqua"/>
          <w:bCs/>
          <w:sz w:val="22"/>
          <w:szCs w:val="22"/>
        </w:rPr>
        <w:t xml:space="preserve">č. 77/1998  Z. z., zákona č. 86/2000 Z. z., zákona č. 138/2002 Z. z., zákona č. 100/2003 Z. z., zákona č. 551/2003 Z. z., zákona č. 215/2004 Z. z., zákona č. 360/2004 Z. z., zákona </w:t>
      </w:r>
      <w:r w:rsidR="00627A99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 </w:t>
      </w:r>
      <w:r w:rsidRPr="003E5C85">
        <w:rPr>
          <w:rFonts w:ascii="Book Antiqua" w:hAnsi="Book Antiqua"/>
          <w:bCs/>
          <w:sz w:val="22"/>
          <w:szCs w:val="22"/>
        </w:rPr>
        <w:t xml:space="preserve">č. 253/2005 Z. z., nálezu Ústavného súdu Slovenskej republiky č. 320/2005 Z. z., zákona </w:t>
      </w:r>
      <w:r w:rsidR="00627A99">
        <w:rPr>
          <w:rFonts w:ascii="Book Antiqua" w:hAnsi="Book Antiqua"/>
          <w:bCs/>
          <w:sz w:val="22"/>
          <w:szCs w:val="22"/>
          <w:lang w:val="sk-SK" w:eastAsia="x-none"/>
        </w:rPr>
        <w:t xml:space="preserve">       </w:t>
      </w:r>
      <w:r w:rsidRPr="003E5C85">
        <w:rPr>
          <w:rFonts w:ascii="Book Antiqua" w:hAnsi="Book Antiqua"/>
          <w:bCs/>
          <w:sz w:val="22"/>
          <w:szCs w:val="22"/>
        </w:rPr>
        <w:t>č. 261/2006 Z. z., zákona č. 199/2007 Z. z., zákona č. 400/2009 Z. z., zákona č. 38/2010 Z. z., zákona č. 153/2011 Z. z., zákona č. 187/2011 Z. z., uznesenia Ústavného súdu Slovenskej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>
        <w:rPr>
          <w:rFonts w:ascii="Book Antiqua" w:hAnsi="Book Antiqua"/>
          <w:bCs/>
          <w:sz w:val="22"/>
          <w:szCs w:val="22"/>
        </w:rPr>
        <w:t>republiky č. 191/2011 Z. z., uznesenia Ústavného</w:t>
      </w:r>
      <w:r w:rsidR="000F2B76">
        <w:rPr>
          <w:rFonts w:ascii="Book Antiqua" w:hAnsi="Book Antiqua"/>
          <w:bCs/>
          <w:sz w:val="22"/>
          <w:szCs w:val="22"/>
        </w:rPr>
        <w:t xml:space="preserve"> súdu Slovenskej republiky č. 237/2011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>
        <w:rPr>
          <w:rFonts w:ascii="Book Antiqua" w:hAnsi="Book Antiqua"/>
          <w:bCs/>
          <w:sz w:val="22"/>
          <w:szCs w:val="22"/>
        </w:rPr>
        <w:t>Z. z., zákona č. 69/2012 Z. z., záko</w:t>
      </w:r>
      <w:r>
        <w:rPr>
          <w:rFonts w:ascii="Book Antiqua" w:hAnsi="Book Antiqua"/>
          <w:bCs/>
          <w:sz w:val="22"/>
          <w:szCs w:val="22"/>
        </w:rPr>
        <w:t>na č. 79/2012 Z. z.</w:t>
      </w:r>
      <w:r>
        <w:rPr>
          <w:rFonts w:ascii="Book Antiqua" w:hAnsi="Book Antiqua"/>
          <w:bCs/>
          <w:sz w:val="22"/>
          <w:szCs w:val="22"/>
          <w:lang w:val="sk-SK" w:eastAsia="x-none"/>
        </w:rPr>
        <w:t>,</w:t>
      </w:r>
      <w:r w:rsidRPr="003E5C85">
        <w:rPr>
          <w:rFonts w:ascii="Book Antiqua" w:hAnsi="Book Antiqua"/>
          <w:bCs/>
          <w:sz w:val="22"/>
          <w:szCs w:val="22"/>
        </w:rPr>
        <w:t> zákona č. 236/2012 Z. z.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, zákona </w:t>
      </w:r>
      <w:r w:rsidR="00627A99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    </w:t>
      </w:r>
      <w:r w:rsidR="00445A97">
        <w:rPr>
          <w:rFonts w:ascii="Book Antiqua" w:hAnsi="Book Antiqua"/>
          <w:bCs/>
          <w:sz w:val="22"/>
          <w:szCs w:val="22"/>
          <w:lang w:val="sk-SK" w:eastAsia="x-none"/>
        </w:rPr>
        <w:t xml:space="preserve">č. 296/2012 Z. z., </w:t>
      </w:r>
      <w:r>
        <w:rPr>
          <w:rFonts w:ascii="Book Antiqua" w:hAnsi="Book Antiqua"/>
          <w:bCs/>
          <w:sz w:val="22"/>
          <w:szCs w:val="22"/>
          <w:lang w:val="sk-SK" w:eastAsia="x-none"/>
        </w:rPr>
        <w:t>zákona č. 330/2012 Z. z.</w:t>
      </w:r>
      <w:r w:rsidR="00445A97">
        <w:rPr>
          <w:rFonts w:ascii="Book Antiqua" w:hAnsi="Book Antiqua"/>
          <w:bCs/>
          <w:sz w:val="22"/>
          <w:szCs w:val="22"/>
          <w:lang w:val="sk-SK" w:eastAsia="x-none"/>
        </w:rPr>
        <w:t xml:space="preserve">, zákona č. 309/2013 a zákona č. 402/2013 Z. z. </w:t>
      </w:r>
      <w:r w:rsidRPr="003E5C85">
        <w:rPr>
          <w:rFonts w:ascii="Book Antiqua" w:hAnsi="Book Antiqua"/>
          <w:bCs/>
          <w:sz w:val="22"/>
          <w:szCs w:val="22"/>
        </w:rPr>
        <w:t xml:space="preserve">sa </w:t>
      </w:r>
      <w:r w:rsidR="009C3F3F">
        <w:rPr>
          <w:rFonts w:ascii="Book Antiqua" w:hAnsi="Book Antiqua"/>
          <w:bCs/>
          <w:sz w:val="22"/>
          <w:szCs w:val="22"/>
          <w:lang w:val="sk-SK" w:eastAsia="x-none"/>
        </w:rPr>
        <w:t>dopĺňa</w:t>
      </w:r>
      <w:r w:rsidRPr="003E5C85">
        <w:rPr>
          <w:rFonts w:ascii="Book Antiqua" w:hAnsi="Book Antiqua"/>
          <w:bCs/>
          <w:sz w:val="22"/>
          <w:szCs w:val="22"/>
        </w:rPr>
        <w:t xml:space="preserve"> takto:</w:t>
      </w:r>
    </w:p>
    <w:p w:rsidR="00445A97" w:rsidP="00445A97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445A97" w:rsidP="00445A97">
      <w:pPr>
        <w:numPr>
          <w:numId w:val="12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445A97">
        <w:rPr>
          <w:rFonts w:ascii="Book Antiqua" w:hAnsi="Book Antiqua"/>
          <w:sz w:val="22"/>
          <w:szCs w:val="22"/>
        </w:rPr>
        <w:t>V § 20 ods. 1 sa za slová „predseda Najvyššieho kontrolného úradu Slovenskej republiky (ďalej len „predseda najvyššieho kontrolného úradu“)“ vkladá čiarka a slová „verejný ochranca práv“.</w:t>
      </w:r>
    </w:p>
    <w:p w:rsidR="00445A97" w:rsidP="00445A97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445A97" w:rsidP="00AE32CB">
      <w:pPr>
        <w:pStyle w:val="ListParagraph"/>
        <w:numPr>
          <w:numId w:val="12"/>
        </w:numPr>
        <w:bidi w:val="0"/>
        <w:jc w:val="both"/>
        <w:rPr>
          <w:rFonts w:ascii="Book Antiqua" w:hAnsi="Book Antiqua"/>
        </w:rPr>
      </w:pPr>
      <w:r w:rsidR="00AE32CB">
        <w:rPr>
          <w:rFonts w:ascii="Book Antiqua" w:hAnsi="Book Antiqua"/>
        </w:rPr>
        <w:t>§ 128 sa dopĺňa odsekmi 3 a 4, ktoré znejú:</w:t>
      </w:r>
    </w:p>
    <w:p w:rsidR="00AE32CB" w:rsidRPr="00445A97" w:rsidP="00AE32CB">
      <w:pPr>
        <w:pStyle w:val="ListParagraph"/>
        <w:bidi w:val="0"/>
        <w:ind w:left="0"/>
        <w:jc w:val="both"/>
        <w:rPr>
          <w:rFonts w:ascii="Book Antiqua" w:hAnsi="Book Antiqua"/>
        </w:rPr>
      </w:pPr>
    </w:p>
    <w:p w:rsidR="00445A97" w:rsidRPr="00445A97" w:rsidP="00AE32CB">
      <w:pPr>
        <w:pStyle w:val="ListParagraph"/>
        <w:numPr>
          <w:numId w:val="14"/>
        </w:numPr>
        <w:bidi w:val="0"/>
        <w:jc w:val="both"/>
        <w:rPr>
          <w:rFonts w:ascii="Book Antiqua" w:hAnsi="Book Antiqua"/>
        </w:rPr>
      </w:pPr>
      <w:r w:rsidRPr="00445A97">
        <w:rPr>
          <w:rFonts w:ascii="Book Antiqua" w:hAnsi="Book Antiqua"/>
        </w:rPr>
        <w:t>Ak ústavný činiteľ podľa § 20 ods. 1 predloží národnej rade správu alebo mimoriadnu správu, predseda národnej rady ju navrhne do programu nasledujúcej schôdze, ak ústavný činiteľ podľa § 20 ods. 1 nenavrhne iný termín. O tom, či táto správa bude zaradená do programu schôdze, sa nehlasuje.</w:t>
      </w:r>
    </w:p>
    <w:p w:rsidR="00445A97" w:rsidRPr="00445A97" w:rsidP="00445A97">
      <w:pPr>
        <w:pStyle w:val="ListParagraph"/>
        <w:bidi w:val="0"/>
        <w:ind w:left="1080"/>
        <w:jc w:val="both"/>
        <w:rPr>
          <w:rFonts w:ascii="Book Antiqua" w:hAnsi="Book Antiqua"/>
        </w:rPr>
      </w:pPr>
    </w:p>
    <w:p w:rsidR="00445A97" w:rsidRPr="00445A97" w:rsidP="00AE32CB">
      <w:pPr>
        <w:pStyle w:val="ListParagraph"/>
        <w:numPr>
          <w:numId w:val="14"/>
        </w:numPr>
        <w:bidi w:val="0"/>
        <w:jc w:val="both"/>
        <w:rPr>
          <w:rFonts w:ascii="Book Antiqua" w:hAnsi="Book Antiqua"/>
        </w:rPr>
      </w:pPr>
      <w:r w:rsidRPr="00445A97">
        <w:rPr>
          <w:rFonts w:ascii="Book Antiqua" w:hAnsi="Book Antiqua"/>
        </w:rPr>
        <w:t xml:space="preserve">Správy podľa </w:t>
      </w:r>
      <w:r w:rsidR="00A457A3">
        <w:rPr>
          <w:rFonts w:ascii="Book Antiqua" w:hAnsi="Book Antiqua"/>
        </w:rPr>
        <w:t>odseku 1 a 3 a</w:t>
      </w:r>
      <w:r w:rsidRPr="00445A97">
        <w:rPr>
          <w:rFonts w:ascii="Book Antiqua" w:hAnsi="Book Antiqua"/>
        </w:rPr>
        <w:t xml:space="preserve"> správy, ktoré sa každý rok predkladajú na prerokovanie do národnej rady v rámci jej pôsobnosti sa po ich prerokovaní berú národnou radou </w:t>
      </w:r>
      <w:r>
        <w:rPr>
          <w:rFonts w:ascii="Book Antiqua" w:hAnsi="Book Antiqua"/>
        </w:rPr>
        <w:t>na vedomie.“.</w:t>
      </w:r>
    </w:p>
    <w:p w:rsidR="00662A0C" w:rsidRPr="00445A97" w:rsidP="00AA6159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  <w:lang w:val="sk-SK" w:eastAsia="x-none"/>
        </w:rPr>
      </w:pPr>
    </w:p>
    <w:p w:rsidR="00DF496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>Čl. II</w:t>
      </w:r>
    </w:p>
    <w:p w:rsidR="00DC0AB7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A6159" w:rsidRPr="0074166B" w:rsidP="0074166B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CC5C6B" w:rsidR="00DF496C">
        <w:rPr>
          <w:rFonts w:ascii="Book Antiqua" w:hAnsi="Book Antiqua"/>
          <w:sz w:val="22"/>
          <w:szCs w:val="22"/>
        </w:rPr>
        <w:t>Tento zák</w:t>
      </w:r>
      <w:r w:rsidRPr="00CC5C6B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445A97">
        <w:rPr>
          <w:rFonts w:ascii="Book Antiqua" w:hAnsi="Book Antiqua"/>
          <w:sz w:val="22"/>
          <w:szCs w:val="22"/>
          <w:lang w:val="sk-SK" w:eastAsia="x-none"/>
        </w:rPr>
        <w:t>júna 2014.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3CA67469"/>
    <w:multiLevelType w:val="hybridMultilevel"/>
    <w:tmpl w:val="4BF8C4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71193"/>
    <w:rsid w:val="00096340"/>
    <w:rsid w:val="000A15AE"/>
    <w:rsid w:val="000B0093"/>
    <w:rsid w:val="000F2B76"/>
    <w:rsid w:val="0016288E"/>
    <w:rsid w:val="00177289"/>
    <w:rsid w:val="001B3623"/>
    <w:rsid w:val="001E24E9"/>
    <w:rsid w:val="0024597E"/>
    <w:rsid w:val="00281A0F"/>
    <w:rsid w:val="00292899"/>
    <w:rsid w:val="002A263D"/>
    <w:rsid w:val="002B3483"/>
    <w:rsid w:val="002E2F42"/>
    <w:rsid w:val="00332138"/>
    <w:rsid w:val="00374C07"/>
    <w:rsid w:val="0037581D"/>
    <w:rsid w:val="003E5341"/>
    <w:rsid w:val="003E5C85"/>
    <w:rsid w:val="003E77D8"/>
    <w:rsid w:val="003F01D0"/>
    <w:rsid w:val="0040622B"/>
    <w:rsid w:val="00445A97"/>
    <w:rsid w:val="004643BD"/>
    <w:rsid w:val="00466490"/>
    <w:rsid w:val="004729C2"/>
    <w:rsid w:val="004A235E"/>
    <w:rsid w:val="004B53F6"/>
    <w:rsid w:val="004C0465"/>
    <w:rsid w:val="004E7584"/>
    <w:rsid w:val="00515977"/>
    <w:rsid w:val="0053372D"/>
    <w:rsid w:val="00537A3D"/>
    <w:rsid w:val="00542DCE"/>
    <w:rsid w:val="00562F8E"/>
    <w:rsid w:val="00586D7A"/>
    <w:rsid w:val="00627A99"/>
    <w:rsid w:val="00632E4D"/>
    <w:rsid w:val="00635A1C"/>
    <w:rsid w:val="00662A0C"/>
    <w:rsid w:val="00672D91"/>
    <w:rsid w:val="006C60CD"/>
    <w:rsid w:val="006D736F"/>
    <w:rsid w:val="006F6B9C"/>
    <w:rsid w:val="00714078"/>
    <w:rsid w:val="00727F69"/>
    <w:rsid w:val="0074166B"/>
    <w:rsid w:val="00746D81"/>
    <w:rsid w:val="00752116"/>
    <w:rsid w:val="007546A1"/>
    <w:rsid w:val="007802A2"/>
    <w:rsid w:val="00792E82"/>
    <w:rsid w:val="007B7F2E"/>
    <w:rsid w:val="007C3B68"/>
    <w:rsid w:val="007D1F9C"/>
    <w:rsid w:val="007D6758"/>
    <w:rsid w:val="00806507"/>
    <w:rsid w:val="00820143"/>
    <w:rsid w:val="0082207A"/>
    <w:rsid w:val="00872039"/>
    <w:rsid w:val="008B2FBE"/>
    <w:rsid w:val="008D7D19"/>
    <w:rsid w:val="008F4849"/>
    <w:rsid w:val="00910803"/>
    <w:rsid w:val="00936E5C"/>
    <w:rsid w:val="00956184"/>
    <w:rsid w:val="009A1957"/>
    <w:rsid w:val="009A4CFA"/>
    <w:rsid w:val="009C3F3F"/>
    <w:rsid w:val="009F5660"/>
    <w:rsid w:val="00A319D0"/>
    <w:rsid w:val="00A457A3"/>
    <w:rsid w:val="00A5061A"/>
    <w:rsid w:val="00A70242"/>
    <w:rsid w:val="00A85A29"/>
    <w:rsid w:val="00A94B1C"/>
    <w:rsid w:val="00AA6159"/>
    <w:rsid w:val="00AE328D"/>
    <w:rsid w:val="00AE32CB"/>
    <w:rsid w:val="00BE6ACB"/>
    <w:rsid w:val="00BF0E6F"/>
    <w:rsid w:val="00C373BC"/>
    <w:rsid w:val="00C442DA"/>
    <w:rsid w:val="00CA3863"/>
    <w:rsid w:val="00CC5C6B"/>
    <w:rsid w:val="00CD705B"/>
    <w:rsid w:val="00CF3354"/>
    <w:rsid w:val="00CF5EC3"/>
    <w:rsid w:val="00D17313"/>
    <w:rsid w:val="00D1766C"/>
    <w:rsid w:val="00D46F98"/>
    <w:rsid w:val="00DC0AB7"/>
    <w:rsid w:val="00DD68C1"/>
    <w:rsid w:val="00DF229A"/>
    <w:rsid w:val="00DF496C"/>
    <w:rsid w:val="00E85E26"/>
    <w:rsid w:val="00EB79EF"/>
    <w:rsid w:val="00EF1D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445A97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F8E9-A858-4CF4-B5EB-F0DEA4C0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302</Words>
  <Characters>1722</Characters>
  <Application>Microsoft Office Word</Application>
  <DocSecurity>0</DocSecurity>
  <Lines>0</Lines>
  <Paragraphs>0</Paragraphs>
  <ScaleCrop>false</ScaleCrop>
  <Company>Nebo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dcterms:created xsi:type="dcterms:W3CDTF">2014-02-05T14:27:00Z</dcterms:created>
  <dcterms:modified xsi:type="dcterms:W3CDTF">2014-02-05T14:27:00Z</dcterms:modified>
</cp:coreProperties>
</file>