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511F7">
        <w:rPr>
          <w:sz w:val="22"/>
          <w:szCs w:val="22"/>
        </w:rPr>
        <w:t>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511F7">
      <w:pPr>
        <w:bidi w:val="0"/>
        <w:jc w:val="center"/>
        <w:rPr>
          <w:rFonts w:ascii="Arial" w:hAnsi="Arial" w:cs="Arial"/>
          <w:b/>
          <w:spacing w:val="20"/>
          <w:sz w:val="28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511F7">
        <w:t>857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11F7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511F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511F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511F7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5511F7">
        <w:rPr>
          <w:rFonts w:cs="Arial"/>
          <w:szCs w:val="22"/>
        </w:rPr>
        <w:t>zákon č. 483/2001 Z. z. o bankách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511F7">
        <w:rPr>
          <w:rFonts w:cs="Arial"/>
          <w:szCs w:val="22"/>
        </w:rPr>
        <w:t>858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511F7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511F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511F7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511F7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511F7" w:rsidP="005511F7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Jana   L a š š á k o v á 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511F7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367A9"/>
    <w:rsid w:val="00B50A66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2014-01-14T07:12:00Z</cp:lastPrinted>
  <dcterms:created xsi:type="dcterms:W3CDTF">2014-01-15T13:35:00Z</dcterms:created>
  <dcterms:modified xsi:type="dcterms:W3CDTF">2014-01-15T13:35:00Z</dcterms:modified>
</cp:coreProperties>
</file>