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30BCB">
        <w:rPr>
          <w:sz w:val="22"/>
          <w:szCs w:val="22"/>
        </w:rPr>
        <w:t>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30BC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30BCB">
        <w:t>843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30BCB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30BCB">
        <w:rPr>
          <w:rFonts w:cs="Arial"/>
          <w:szCs w:val="22"/>
        </w:rPr>
        <w:t>Pavla ABRHANA, Martina FRONCA, Moniky GIBALOVEJ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30BCB">
        <w:rPr>
          <w:rFonts w:cs="Arial"/>
          <w:szCs w:val="22"/>
        </w:rPr>
        <w:t>zákon č. 182/1993 Z. z. o vlastníctve bytov a nebytových priestorov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30BCB">
        <w:rPr>
          <w:rFonts w:cs="Arial"/>
          <w:szCs w:val="22"/>
        </w:rPr>
        <w:t>844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30BCB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30BC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30BC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30BC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30BC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030BCB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030BCB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0BCB"/>
    <w:rsid w:val="00070C86"/>
    <w:rsid w:val="00087E98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2014-01-13T10:24:00Z</cp:lastPrinted>
  <dcterms:created xsi:type="dcterms:W3CDTF">2014-01-15T13:32:00Z</dcterms:created>
  <dcterms:modified xsi:type="dcterms:W3CDTF">2014-01-15T13:32:00Z</dcterms:modified>
</cp:coreProperties>
</file>