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237CB9" w:rsidP="001035AB">
      <w:pPr>
        <w:bidi w:val="0"/>
        <w:jc w:val="center"/>
        <w:rPr>
          <w:rFonts w:cs="Times New Roman"/>
          <w:b/>
        </w:rPr>
      </w:pPr>
      <w:r w:rsidRPr="00237CB9" w:rsidR="001035AB">
        <w:rPr>
          <w:rFonts w:hint="default"/>
          <w:b/>
        </w:rPr>
        <w:t>ktorý</w:t>
      </w:r>
      <w:r w:rsidRPr="00237CB9" w:rsidR="001035AB">
        <w:rPr>
          <w:rFonts w:hint="default"/>
          <w:b/>
        </w:rPr>
        <w:t>m sa dopĺň</w:t>
      </w:r>
      <w:r w:rsidRPr="00237CB9" w:rsidR="001035AB">
        <w:rPr>
          <w:rFonts w:hint="default"/>
          <w:b/>
        </w:rPr>
        <w:t xml:space="preserve">a </w:t>
      </w:r>
      <w:r w:rsidRPr="00237CB9" w:rsidR="00237CB9">
        <w:rPr>
          <w:rFonts w:eastAsia="Times New Roman" w:cs="Times New Roman"/>
          <w:b/>
          <w:color w:val="000000"/>
          <w:lang w:eastAsia="cs-CZ"/>
        </w:rPr>
        <w:t xml:space="preserve">zákon č. 40/1964 Zb. Občiansky zákonník v </w:t>
      </w:r>
      <w:r w:rsidRPr="00237CB9" w:rsidR="001035AB">
        <w:rPr>
          <w:rFonts w:hint="default"/>
          <w:b/>
        </w:rPr>
        <w:t>znení</w:t>
      </w:r>
      <w:r w:rsidRPr="00237CB9" w:rsidR="001035AB">
        <w:rPr>
          <w:rFonts w:hint="default"/>
          <w:b/>
        </w:rPr>
        <w:t xml:space="preserve"> neskorší</w:t>
      </w:r>
      <w:r w:rsidRPr="00237CB9" w:rsidR="001035AB">
        <w:rPr>
          <w:rFonts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</w:t>
      </w:r>
      <w:r w:rsidRPr="003B6939">
        <w:rPr>
          <w:rFonts w:cs="Times New Roman" w:hint="default"/>
          <w:bCs/>
        </w:rPr>
        <w:t>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DF68B6" w:rsidRPr="00237CB9" w:rsidP="00DF68B6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237CB9" w:rsidR="00237CB9">
        <w:rPr>
          <w:rFonts w:eastAsia="Times New Roman" w:cs="Times New Roman"/>
          <w:color w:val="000000"/>
          <w:lang w:eastAsia="cs-CZ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</w:t>
      </w:r>
      <w:r w:rsidR="00237CB9">
        <w:rPr>
          <w:rFonts w:eastAsia="Times New Roman" w:cs="Times New Roman"/>
          <w:color w:val="000000"/>
          <w:lang w:eastAsia="cs-CZ"/>
        </w:rPr>
        <w:t xml:space="preserve">. z., </w:t>
      </w:r>
      <w:r w:rsidRPr="00237CB9" w:rsidR="00237CB9">
        <w:rPr>
          <w:rFonts w:eastAsia="Times New Roman" w:cs="Times New Roman"/>
          <w:color w:val="000000"/>
          <w:lang w:eastAsia="cs-CZ"/>
        </w:rPr>
        <w:t xml:space="preserve">zákona č. 69/2012 Z. z. </w:t>
      </w:r>
      <w:r w:rsidR="00237CB9">
        <w:rPr>
          <w:rFonts w:eastAsia="Times New Roman" w:cs="Times New Roman"/>
          <w:color w:val="000000"/>
          <w:lang w:eastAsia="cs-CZ"/>
        </w:rPr>
        <w:t xml:space="preserve">a zákona č. 180/2013 </w:t>
      </w:r>
      <w:r w:rsidR="003467FD">
        <w:rPr>
          <w:rFonts w:eastAsia="Times New Roman" w:cs="Times New Roman"/>
          <w:color w:val="000000"/>
          <w:lang w:eastAsia="cs-CZ"/>
        </w:rPr>
        <w:t xml:space="preserve">Z. z. </w:t>
      </w:r>
      <w:r w:rsidR="00237CB9">
        <w:rPr>
          <w:rFonts w:eastAsia="Times New Roman" w:cs="Times New Roman"/>
          <w:color w:val="000000"/>
          <w:lang w:eastAsia="cs-CZ"/>
        </w:rPr>
        <w:t>sa</w:t>
      </w:r>
      <w:r w:rsidRPr="000525A7">
        <w:rPr>
          <w:rFonts w:hint="default"/>
          <w:color w:val="000000"/>
        </w:rPr>
        <w:t xml:space="preserve"> dopĺň</w:t>
      </w:r>
      <w:r w:rsidRPr="000525A7">
        <w:rPr>
          <w:rFonts w:hint="default"/>
          <w:color w:val="000000"/>
        </w:rPr>
        <w:t>a takto:</w:t>
      </w: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8E5B0B" w:rsidRPr="009744A4" w:rsidP="008E5B0B">
      <w:pPr>
        <w:pStyle w:val="ListParagraph"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</w:t>
      </w:r>
      <w:r w:rsidRPr="009744A4">
        <w:rPr>
          <w:rFonts w:ascii="Times New Roman" w:hAnsi="Times New Roman"/>
          <w:sz w:val="24"/>
          <w:szCs w:val="24"/>
        </w:rPr>
        <w:t xml:space="preserve"> </w:t>
      </w:r>
      <w:r w:rsidR="006142F4">
        <w:rPr>
          <w:rFonts w:ascii="Times New Roman" w:hAnsi="Times New Roman"/>
          <w:sz w:val="24"/>
          <w:szCs w:val="24"/>
        </w:rPr>
        <w:t>51 sa vkladá § 51a</w:t>
      </w:r>
      <w:r w:rsidRPr="009744A4">
        <w:rPr>
          <w:rFonts w:ascii="Times New Roman" w:hAnsi="Times New Roman"/>
          <w:sz w:val="24"/>
          <w:szCs w:val="24"/>
        </w:rPr>
        <w:t xml:space="preserve">, ktorý </w:t>
      </w:r>
      <w:r>
        <w:rPr>
          <w:rFonts w:ascii="Times New Roman" w:hAnsi="Times New Roman"/>
          <w:sz w:val="24"/>
          <w:szCs w:val="24"/>
        </w:rPr>
        <w:t xml:space="preserve">vrátane nadpisu </w:t>
      </w:r>
      <w:r w:rsidRPr="009744A4">
        <w:rPr>
          <w:rFonts w:ascii="Times New Roman" w:hAnsi="Times New Roman"/>
          <w:sz w:val="24"/>
          <w:szCs w:val="24"/>
        </w:rPr>
        <w:t>znie:</w:t>
      </w:r>
    </w:p>
    <w:p w:rsidR="008E5B0B" w:rsidP="00EF6E23">
      <w:pPr>
        <w:bidi w:val="0"/>
        <w:spacing w:after="240"/>
        <w:jc w:val="center"/>
        <w:rPr>
          <w:color w:val="000000"/>
        </w:rPr>
      </w:pPr>
      <w:r w:rsidR="006142F4">
        <w:rPr>
          <w:rFonts w:hint="default"/>
          <w:color w:val="000000"/>
        </w:rPr>
        <w:t>„§</w:t>
      </w:r>
      <w:r w:rsidR="006142F4">
        <w:rPr>
          <w:rFonts w:hint="default"/>
          <w:color w:val="000000"/>
        </w:rPr>
        <w:t xml:space="preserve"> 51a</w:t>
      </w:r>
    </w:p>
    <w:p w:rsidR="00EF6E23" w:rsidRPr="00BB0794" w:rsidP="00EF6E23">
      <w:pPr>
        <w:bidi w:val="0"/>
        <w:spacing w:after="240"/>
        <w:jc w:val="center"/>
        <w:rPr>
          <w:color w:val="000000"/>
        </w:rPr>
      </w:pPr>
      <w:r>
        <w:rPr>
          <w:b/>
          <w:bCs/>
          <w:color w:val="000000"/>
        </w:rPr>
        <w:br/>
      </w:r>
      <w:r w:rsidRPr="00BB0794">
        <w:rPr>
          <w:rStyle w:val="Strong"/>
          <w:rFonts w:cs="Helvetica" w:hint="default"/>
          <w:color w:val="000000"/>
        </w:rPr>
        <w:t>Úž</w:t>
      </w:r>
      <w:r w:rsidRPr="00BB0794">
        <w:rPr>
          <w:rStyle w:val="Strong"/>
          <w:rFonts w:cs="Helvetica" w:hint="default"/>
          <w:color w:val="000000"/>
        </w:rPr>
        <w:t>era</w:t>
      </w:r>
    </w:p>
    <w:p w:rsidR="00EF6E23" w:rsidP="00EF6E23">
      <w:pPr>
        <w:bidi w:val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c2"/>
          <w:rFonts w:cs="Helvetica" w:hint="default"/>
          <w:color w:val="000000"/>
        </w:rPr>
        <w:t>Neplatná</w:t>
      </w:r>
      <w:r>
        <w:rPr>
          <w:rStyle w:val="c2"/>
          <w:rFonts w:cs="Helvetica" w:hint="default"/>
          <w:color w:val="000000"/>
        </w:rPr>
        <w:t xml:space="preserve"> je </w:t>
      </w:r>
      <w:r w:rsidR="008E5B0B">
        <w:rPr>
          <w:rStyle w:val="c2"/>
          <w:rFonts w:cs="Helvetica"/>
          <w:color w:val="000000"/>
        </w:rPr>
        <w:t>zmluva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pri ktorej uzatvá</w:t>
      </w:r>
      <w:r w:rsidR="00BB0794">
        <w:rPr>
          <w:rStyle w:val="c2"/>
          <w:rFonts w:cs="Helvetica" w:hint="default"/>
          <w:color w:val="000000"/>
        </w:rPr>
        <w:t>raní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 w:hint="default"/>
          <w:color w:val="000000"/>
        </w:rPr>
        <w:t>niekto zneuž</w:t>
      </w:r>
      <w:r w:rsidR="00BB0794">
        <w:rPr>
          <w:rStyle w:val="c2"/>
          <w:rFonts w:cs="Helvetica" w:hint="default"/>
          <w:color w:val="000000"/>
        </w:rPr>
        <w:t>ije tieseň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neskú</w:t>
      </w:r>
      <w:r w:rsidR="00BB0794">
        <w:rPr>
          <w:rStyle w:val="c2"/>
          <w:rFonts w:cs="Helvetica" w:hint="default"/>
          <w:color w:val="000000"/>
        </w:rPr>
        <w:t>senosť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rozumovú</w:t>
      </w:r>
      <w:r w:rsidR="00BB0794">
        <w:rPr>
          <w:rStyle w:val="c2"/>
          <w:rFonts w:cs="Helvetica" w:hint="default"/>
          <w:color w:val="000000"/>
        </w:rPr>
        <w:t xml:space="preserve"> slabosť</w:t>
      </w:r>
      <w:r w:rsidR="004C1DF8">
        <w:rPr>
          <w:rStyle w:val="c2"/>
          <w:rFonts w:cs="Helvetica"/>
          <w:color w:val="000000"/>
        </w:rPr>
        <w:t xml:space="preserve"> alebo</w:t>
      </w:r>
      <w:r w:rsidR="00BB0794">
        <w:rPr>
          <w:rStyle w:val="c2"/>
          <w:rFonts w:cs="Helvetica" w:hint="default"/>
          <w:color w:val="000000"/>
        </w:rPr>
        <w:t xml:space="preserve"> rozruš</w:t>
      </w:r>
      <w:r w:rsidR="00BB0794">
        <w:rPr>
          <w:rStyle w:val="c2"/>
          <w:rFonts w:cs="Helvetica" w:hint="default"/>
          <w:color w:val="000000"/>
        </w:rPr>
        <w:t>enie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 w:hint="default"/>
          <w:color w:val="000000"/>
        </w:rPr>
        <w:t>druhej strany a dá</w:t>
      </w:r>
      <w:r w:rsidR="00BB0794">
        <w:rPr>
          <w:rStyle w:val="c2"/>
          <w:rFonts w:cs="Helvetica" w:hint="default"/>
          <w:color w:val="000000"/>
        </w:rPr>
        <w:t xml:space="preserve"> sebe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 w:hint="default"/>
          <w:color w:val="000000"/>
        </w:rPr>
        <w:t>alebo iné</w:t>
      </w:r>
      <w:r w:rsidR="00BB0794">
        <w:rPr>
          <w:rStyle w:val="c2"/>
          <w:rFonts w:cs="Helvetica" w:hint="default"/>
          <w:color w:val="000000"/>
        </w:rPr>
        <w:t>mu sľú</w:t>
      </w:r>
      <w:r w:rsidR="00BB0794">
        <w:rPr>
          <w:rStyle w:val="c2"/>
          <w:rFonts w:cs="Helvetica" w:hint="default"/>
          <w:color w:val="000000"/>
        </w:rPr>
        <w:t>biť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 w:hint="default"/>
          <w:color w:val="000000"/>
        </w:rPr>
        <w:t>alebo poskytnúť</w:t>
      </w:r>
      <w:r w:rsidR="00BB0794">
        <w:rPr>
          <w:rStyle w:val="c2"/>
          <w:rFonts w:cs="Helvetica" w:hint="default"/>
          <w:color w:val="000000"/>
        </w:rPr>
        <w:t xml:space="preserve"> plnenie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ktoré</w:t>
      </w:r>
      <w:r w:rsidR="00BB0794">
        <w:rPr>
          <w:rStyle w:val="c2"/>
          <w:rFonts w:cs="Helvetica" w:hint="default"/>
          <w:color w:val="000000"/>
        </w:rPr>
        <w:t xml:space="preserve">ho </w:t>
      </w:r>
      <w:r>
        <w:rPr>
          <w:rStyle w:val="c2"/>
          <w:rFonts w:cs="Helvetica" w:hint="default"/>
          <w:color w:val="000000"/>
        </w:rPr>
        <w:t>majetková</w:t>
      </w:r>
      <w:r>
        <w:rPr>
          <w:rStyle w:val="c2"/>
          <w:rFonts w:cs="Helvetica" w:hint="default"/>
          <w:color w:val="000000"/>
        </w:rPr>
        <w:t xml:space="preserve"> hodnota je k</w:t>
      </w:r>
      <w:r w:rsidR="00BB0794">
        <w:rPr>
          <w:rStyle w:val="c2"/>
          <w:rFonts w:cs="Helvetica"/>
          <w:color w:val="000000"/>
        </w:rPr>
        <w:t> </w:t>
      </w:r>
      <w:r w:rsidR="00BB0794">
        <w:rPr>
          <w:rStyle w:val="c2"/>
          <w:rFonts w:cs="Helvetica" w:hint="default"/>
          <w:color w:val="000000"/>
        </w:rPr>
        <w:t>hodnote vzá</w:t>
      </w:r>
      <w:r w:rsidR="00BB0794">
        <w:rPr>
          <w:rStyle w:val="c2"/>
          <w:rFonts w:cs="Helvetica" w:hint="default"/>
          <w:color w:val="000000"/>
        </w:rPr>
        <w:t>jomné</w:t>
      </w:r>
      <w:r w:rsidR="00BB0794">
        <w:rPr>
          <w:rStyle w:val="c2"/>
          <w:rFonts w:cs="Helvetica" w:hint="default"/>
          <w:color w:val="000000"/>
        </w:rPr>
        <w:t>ho plnenia v hrubom nepomere</w:t>
      </w:r>
      <w:r>
        <w:rPr>
          <w:rStyle w:val="c2"/>
          <w:rFonts w:cs="Helvetica"/>
          <w:color w:val="000000"/>
        </w:rPr>
        <w:t>.</w:t>
      </w:r>
      <w:r w:rsidR="00BB0794">
        <w:rPr>
          <w:rStyle w:val="c2"/>
          <w:rFonts w:cs="Helvetica" w:hint="default"/>
          <w:color w:val="000000"/>
        </w:rPr>
        <w:t>“.</w:t>
      </w:r>
    </w:p>
    <w:p w:rsidR="00EF6E23" w:rsidP="00EF6E23">
      <w:pPr>
        <w:bidi w:val="0"/>
        <w:rPr>
          <w:color w:val="000000"/>
        </w:rPr>
      </w:pPr>
    </w:p>
    <w:p w:rsidR="00CD7F68" w:rsidP="00CD7F68">
      <w:pPr>
        <w:bidi w:val="0"/>
        <w:jc w:val="both"/>
        <w:rPr>
          <w:u w:val="single"/>
        </w:rPr>
      </w:pPr>
    </w:p>
    <w:p w:rsidR="004C1DF8" w:rsidRPr="004C1DF8" w:rsidP="004C1DF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1035AB">
        <w:rPr>
          <w:rFonts w:eastAsia="Times New Roman" w:cs="Times New Roman"/>
          <w:color w:val="000000"/>
          <w:lang w:eastAsia="cs-CZ"/>
        </w:rPr>
        <w:t xml:space="preserve">  2.   </w:t>
      </w:r>
      <w:r>
        <w:t xml:space="preserve"> </w:t>
      </w:r>
      <w:r w:rsidRPr="004C1DF8">
        <w:rPr>
          <w:rFonts w:eastAsia="Times New Roman" w:cs="Times New Roman"/>
          <w:color w:val="000000"/>
          <w:lang w:eastAsia="cs-CZ"/>
        </w:rPr>
        <w:t xml:space="preserve">Deviata časť sa dopĺňa </w:t>
      </w:r>
      <w:r>
        <w:rPr>
          <w:rFonts w:eastAsia="Times New Roman" w:cs="Times New Roman"/>
          <w:color w:val="000000"/>
          <w:lang w:eastAsia="cs-CZ"/>
        </w:rPr>
        <w:t>devätnástou hlavou, ktorá vrátane nadpisu</w:t>
      </w:r>
      <w:r w:rsidRPr="004C1DF8">
        <w:rPr>
          <w:rFonts w:eastAsia="Times New Roman" w:cs="Times New Roman"/>
          <w:color w:val="000000"/>
          <w:lang w:eastAsia="cs-CZ"/>
        </w:rPr>
        <w:t xml:space="preserve"> znie:</w:t>
      </w:r>
    </w:p>
    <w:p w:rsidR="00DF68B6" w:rsidP="00DF68B6">
      <w:pPr>
        <w:widowControl w:val="0"/>
        <w:autoSpaceDE w:val="0"/>
        <w:autoSpaceDN w:val="0"/>
        <w:bidi w:val="0"/>
        <w:adjustRightInd w:val="0"/>
        <w:jc w:val="center"/>
      </w:pPr>
    </w:p>
    <w:p w:rsidR="004C1DF8" w:rsidP="00DF68B6">
      <w:pPr>
        <w:widowControl w:val="0"/>
        <w:autoSpaceDE w:val="0"/>
        <w:autoSpaceDN w:val="0"/>
        <w:bidi w:val="0"/>
        <w:adjustRightInd w:val="0"/>
        <w:jc w:val="center"/>
      </w:pPr>
      <w:r w:rsidR="00DF68B6">
        <w:rPr>
          <w:rFonts w:hint="default"/>
        </w:rPr>
        <w:t>„</w:t>
      </w:r>
      <w:r w:rsidRPr="004C1DF8">
        <w:rPr>
          <w:b/>
        </w:rPr>
        <w:t>DEV</w:t>
      </w:r>
      <w:r>
        <w:rPr>
          <w:rFonts w:cs="Times New Roman" w:hint="default"/>
          <w:b/>
        </w:rPr>
        <w:t>Ä</w:t>
      </w:r>
      <w:r w:rsidRPr="004C1DF8">
        <w:rPr>
          <w:rFonts w:hint="default"/>
          <w:b/>
        </w:rPr>
        <w:t>TNÁ</w:t>
      </w:r>
      <w:r w:rsidRPr="004C1DF8">
        <w:rPr>
          <w:rFonts w:hint="default"/>
          <w:b/>
        </w:rPr>
        <w:t>STA HLAVA</w:t>
      </w:r>
    </w:p>
    <w:p w:rsidR="004C1DF8" w:rsidP="00DF68B6">
      <w:pPr>
        <w:widowControl w:val="0"/>
        <w:autoSpaceDE w:val="0"/>
        <w:autoSpaceDN w:val="0"/>
        <w:bidi w:val="0"/>
        <w:adjustRightInd w:val="0"/>
        <w:jc w:val="center"/>
      </w:pPr>
    </w:p>
    <w:p w:rsidR="00DF68B6" w:rsidRPr="0097550A" w:rsidP="00DF68B6">
      <w:pPr>
        <w:widowControl w:val="0"/>
        <w:autoSpaceDE w:val="0"/>
        <w:autoSpaceDN w:val="0"/>
        <w:bidi w:val="0"/>
        <w:adjustRightInd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</w:t>
      </w:r>
      <w:r w:rsidR="004C1DF8">
        <w:t>879p</w:t>
      </w:r>
    </w:p>
    <w:p w:rsidR="00DF68B6" w:rsidRPr="0097550A" w:rsidP="00DF68B6">
      <w:pPr>
        <w:widowControl w:val="0"/>
        <w:autoSpaceDE w:val="0"/>
        <w:autoSpaceDN w:val="0"/>
        <w:bidi w:val="0"/>
        <w:adjustRightInd w:val="0"/>
        <w:jc w:val="center"/>
      </w:pPr>
      <w:r w:rsidR="004C1DF8">
        <w:t>Prech</w:t>
      </w:r>
      <w:r w:rsidR="008A317C">
        <w:rPr>
          <w:rFonts w:hint="default"/>
        </w:rPr>
        <w:t>odné</w:t>
      </w:r>
      <w:r w:rsidR="008A317C">
        <w:rPr>
          <w:rFonts w:hint="default"/>
        </w:rPr>
        <w:t xml:space="preserve"> ustanovenie</w:t>
      </w:r>
      <w:r w:rsidR="003467FD">
        <w:t xml:space="preserve"> k </w:t>
      </w:r>
      <w:r w:rsidR="003467FD">
        <w:rPr>
          <w:rFonts w:hint="default"/>
        </w:rPr>
        <w:t>ú</w:t>
      </w:r>
      <w:r w:rsidR="003467FD">
        <w:rPr>
          <w:rFonts w:hint="default"/>
        </w:rPr>
        <w:t>pravá</w:t>
      </w:r>
      <w:r w:rsidR="003467FD">
        <w:rPr>
          <w:rFonts w:hint="default"/>
        </w:rPr>
        <w:t>m úč</w:t>
      </w:r>
      <w:r w:rsidR="003467FD">
        <w:rPr>
          <w:rFonts w:hint="default"/>
        </w:rPr>
        <w:t>inný</w:t>
      </w:r>
      <w:r w:rsidR="003467FD">
        <w:rPr>
          <w:rFonts w:hint="default"/>
        </w:rPr>
        <w:t>m od 1. aprí</w:t>
      </w:r>
      <w:r w:rsidR="003467FD">
        <w:rPr>
          <w:rFonts w:hint="default"/>
        </w:rPr>
        <w:t>la</w:t>
      </w:r>
      <w:r>
        <w:t xml:space="preserve"> 2014</w:t>
      </w:r>
    </w:p>
    <w:p w:rsidR="001035A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2013E" w:rsidRPr="0052013E" w:rsidP="0052013E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4C1DF8">
        <w:rPr>
          <w:rFonts w:eastAsia="Times New Roman" w:cs="Times New Roman"/>
          <w:color w:val="000000"/>
          <w:lang w:eastAsia="cs-CZ"/>
        </w:rPr>
        <w:t>Z</w:t>
      </w:r>
      <w:r w:rsidRPr="0052013E">
        <w:rPr>
          <w:rFonts w:eastAsia="Times New Roman" w:cs="Times New Roman"/>
          <w:color w:val="000000"/>
          <w:lang w:eastAsia="cs-CZ"/>
        </w:rPr>
        <w:t>mluvy</w:t>
      </w:r>
      <w:r w:rsidR="007A41C6">
        <w:rPr>
          <w:rFonts w:eastAsia="Times New Roman" w:cs="Times New Roman"/>
          <w:color w:val="000000"/>
          <w:lang w:eastAsia="cs-CZ"/>
        </w:rPr>
        <w:t>,</w:t>
      </w:r>
      <w:r w:rsidRPr="0052013E">
        <w:rPr>
          <w:rFonts w:eastAsia="Times New Roman" w:cs="Times New Roman"/>
          <w:color w:val="000000"/>
          <w:lang w:eastAsia="cs-CZ"/>
        </w:rPr>
        <w:t xml:space="preserve"> uzavreté predo dňom nadobudnutia účinnosti tohto zákona</w:t>
      </w:r>
      <w:r w:rsidR="007A41C6">
        <w:rPr>
          <w:rFonts w:eastAsia="Times New Roman" w:cs="Times New Roman"/>
          <w:color w:val="000000"/>
          <w:lang w:eastAsia="cs-CZ"/>
        </w:rPr>
        <w:t>, ktoré nie sú v súlade</w:t>
      </w:r>
      <w:r w:rsidRPr="0052013E">
        <w:rPr>
          <w:rFonts w:eastAsia="Times New Roman" w:cs="Times New Roman"/>
          <w:color w:val="000000"/>
          <w:lang w:eastAsia="cs-CZ"/>
        </w:rPr>
        <w:t xml:space="preserve"> s</w:t>
      </w:r>
      <w:r w:rsidR="007A41C6">
        <w:rPr>
          <w:rFonts w:eastAsia="Times New Roman" w:cs="Times New Roman"/>
          <w:color w:val="000000"/>
          <w:lang w:eastAsia="cs-CZ"/>
        </w:rPr>
        <w:t> </w:t>
      </w:r>
      <w:r w:rsidRPr="0052013E">
        <w:rPr>
          <w:rFonts w:eastAsia="Times New Roman" w:cs="Times New Roman"/>
          <w:color w:val="000000"/>
          <w:lang w:eastAsia="cs-CZ"/>
        </w:rPr>
        <w:t>ustanoven</w:t>
      </w:r>
      <w:r w:rsidR="006142F4">
        <w:rPr>
          <w:rFonts w:eastAsia="Times New Roman" w:cs="Times New Roman"/>
          <w:color w:val="000000"/>
          <w:lang w:eastAsia="cs-CZ"/>
        </w:rPr>
        <w:t>ím § 51a</w:t>
      </w:r>
      <w:r w:rsidR="007A41C6">
        <w:rPr>
          <w:rFonts w:eastAsia="Times New Roman" w:cs="Times New Roman"/>
          <w:color w:val="000000"/>
          <w:lang w:eastAsia="cs-CZ"/>
        </w:rPr>
        <w:t xml:space="preserve"> tohto zákona</w:t>
      </w:r>
      <w:r w:rsidRPr="0052013E">
        <w:rPr>
          <w:rFonts w:eastAsia="Times New Roman" w:cs="Times New Roman"/>
          <w:color w:val="000000"/>
          <w:lang w:eastAsia="cs-CZ"/>
        </w:rPr>
        <w:t xml:space="preserve">, sú neplatné </w:t>
      </w:r>
      <w:r w:rsidR="003467FD">
        <w:rPr>
          <w:rFonts w:eastAsia="Times New Roman" w:cs="Times New Roman"/>
          <w:color w:val="000000"/>
          <w:lang w:eastAsia="cs-CZ"/>
        </w:rPr>
        <w:t>dňom 1. apríla</w:t>
      </w:r>
      <w:r w:rsidR="007A41C6">
        <w:rPr>
          <w:rFonts w:eastAsia="Times New Roman" w:cs="Times New Roman"/>
          <w:color w:val="000000"/>
          <w:lang w:eastAsia="cs-CZ"/>
        </w:rPr>
        <w:t xml:space="preserve"> 2014</w:t>
      </w:r>
      <w:r w:rsidRPr="0052013E">
        <w:rPr>
          <w:rFonts w:eastAsia="Times New Roman" w:cs="Times New Roman"/>
          <w:color w:val="000000"/>
          <w:lang w:eastAsia="cs-CZ"/>
        </w:rPr>
        <w:t>.</w:t>
      </w:r>
      <w:r w:rsidR="007A41C6">
        <w:rPr>
          <w:rFonts w:eastAsia="Times New Roman" w:cs="Times New Roman"/>
          <w:color w:val="000000"/>
          <w:lang w:eastAsia="cs-CZ"/>
        </w:rPr>
        <w:t>“.</w:t>
      </w:r>
    </w:p>
    <w:p w:rsidR="000C592E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C592E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11E92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3467FD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7A41C6">
        <w:rPr>
          <w:rFonts w:cs="Times New Roman"/>
        </w:rPr>
        <w:t xml:space="preserve">1. </w:t>
      </w:r>
      <w:r w:rsidR="003467FD">
        <w:rPr>
          <w:rFonts w:cs="Times New Roman" w:hint="default"/>
        </w:rPr>
        <w:t>aprí</w:t>
      </w:r>
      <w:r w:rsidR="003467FD">
        <w:rPr>
          <w:rFonts w:cs="Times New Roman" w:hint="default"/>
        </w:rPr>
        <w:t>la</w:t>
      </w:r>
      <w:r w:rsidR="007A41C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407AA"/>
    <w:rsid w:val="001812A7"/>
    <w:rsid w:val="001835A0"/>
    <w:rsid w:val="001D4322"/>
    <w:rsid w:val="001D5C20"/>
    <w:rsid w:val="00237CB9"/>
    <w:rsid w:val="00301F3C"/>
    <w:rsid w:val="003467FD"/>
    <w:rsid w:val="00353BB4"/>
    <w:rsid w:val="003B6939"/>
    <w:rsid w:val="003E6B61"/>
    <w:rsid w:val="00415805"/>
    <w:rsid w:val="0044685B"/>
    <w:rsid w:val="004C1DF8"/>
    <w:rsid w:val="005140D5"/>
    <w:rsid w:val="00517579"/>
    <w:rsid w:val="0052013E"/>
    <w:rsid w:val="00554628"/>
    <w:rsid w:val="00590A78"/>
    <w:rsid w:val="005D5BE9"/>
    <w:rsid w:val="006142F4"/>
    <w:rsid w:val="006458E5"/>
    <w:rsid w:val="00692279"/>
    <w:rsid w:val="00693DA6"/>
    <w:rsid w:val="006D4630"/>
    <w:rsid w:val="006E0917"/>
    <w:rsid w:val="007378E3"/>
    <w:rsid w:val="007A41C6"/>
    <w:rsid w:val="00814A0A"/>
    <w:rsid w:val="00897C4D"/>
    <w:rsid w:val="008A317C"/>
    <w:rsid w:val="008D3724"/>
    <w:rsid w:val="008E5B0B"/>
    <w:rsid w:val="00900930"/>
    <w:rsid w:val="009744A4"/>
    <w:rsid w:val="0097550A"/>
    <w:rsid w:val="00A44567"/>
    <w:rsid w:val="00A939FC"/>
    <w:rsid w:val="00A953FB"/>
    <w:rsid w:val="00B3010D"/>
    <w:rsid w:val="00B31020"/>
    <w:rsid w:val="00B5496D"/>
    <w:rsid w:val="00BB0794"/>
    <w:rsid w:val="00BB1EE2"/>
    <w:rsid w:val="00BF6B48"/>
    <w:rsid w:val="00C10A53"/>
    <w:rsid w:val="00C564DD"/>
    <w:rsid w:val="00CC5DA2"/>
    <w:rsid w:val="00CD7F68"/>
    <w:rsid w:val="00CE59A1"/>
    <w:rsid w:val="00CF755B"/>
    <w:rsid w:val="00DC10C5"/>
    <w:rsid w:val="00DD67D6"/>
    <w:rsid w:val="00DF68B6"/>
    <w:rsid w:val="00E35880"/>
    <w:rsid w:val="00EE7CF8"/>
    <w:rsid w:val="00EF6E23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character" w:customStyle="1" w:styleId="c2">
    <w:name w:val="c2"/>
    <w:basedOn w:val="DefaultParagraphFont"/>
    <w:rsid w:val="00EF6E23"/>
    <w:rPr>
      <w:rFonts w:cs="Times New Roman"/>
      <w:rtl w:val="0"/>
      <w:cs w:val="0"/>
    </w:rPr>
  </w:style>
  <w:style w:type="character" w:styleId="Strong">
    <w:name w:val="Strong"/>
    <w:basedOn w:val="DefaultParagraphFont"/>
    <w:qFormat/>
    <w:rsid w:val="00EF6E23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357</Words>
  <Characters>2040</Characters>
  <Application>Microsoft Office Word</Application>
  <DocSecurity>0</DocSecurity>
  <Lines>0</Lines>
  <Paragraphs>0</Paragraphs>
  <ScaleCrop>false</ScaleCrop>
  <Company>Kancelaria NR SR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2014-01-10T17:27:00Z</dcterms:created>
  <dcterms:modified xsi:type="dcterms:W3CDTF">2014-01-10T17:27:00Z</dcterms:modified>
</cp:coreProperties>
</file>