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Vládny návrh zákona, ktorým sa mení a dopĺňa zákon č. 49/2002 Z. z. o ochrane pamiatkového fondu v znení neskorších predpisov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br/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27.9.2013-24.10.2013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pageBreakBefore/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8"/>
          <w:szCs w:val="24"/>
        </w:rPr>
        <w:t>Vplyvy na informatizáciu spoločnosti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8"/>
          <w:szCs w:val="24"/>
        </w:rPr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1"/>
        <w:gridCol w:w="3754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Obsah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6.1.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Rozširujú alebo inovujú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sa existujúce alebo vytvárajú sa či zavádzajú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sa nové elektronické služby?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Áno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Cs w:val="24"/>
              </w:rPr>
              <w:t>zverejňovaním predpísaného formulára žiadosti o povolenie na dočasný vývoz kultúrnej pamiatky, zoznamu fyzických osôb s platným osvedčením o osobitnej odbornej spôsobilosti v konkrétnom odbore pamiatkového výskumu a zoznamu právnických osôb oprávnených na vykonávanie archeologického výskumu na webovom sídle Ministerstva kultúry Slovenskej republiky sa zavádzajú nové elektronické služby s úrovňou I (informatívna úroveň).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Cs w:val="24"/>
              </w:rPr>
              <w:t xml:space="preserve">Vydávaním e-odpisov Pamiatkovým úradom Slovenskej republiky sa zavádzajú e-služby s úrovňou IV. (transakčná úroveň). 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6.2.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Vytvárajú sa podmienky pre sémantickú interoperabilitu?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(Popíšte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Ľudia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6.3.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Zabezpečuje sa vzdelávanie v oblasti počítačovej gramotnosti a rozširovanie vedomostí o IKT?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6.4.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Zabezpečuje sa rozvoj elektronického vzdelávania?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6.5.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Zabezpečuje sa podporná a propagačná aktivita zameraná na zvyšovanie povedomia o informatizácii a IKT?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6.6.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Zabezpečuje/zohľadňuje/zlepšuje sa prístup znevýhodnených osôb k službám informačnej spoločnosti?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Infraštruktúra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6.7.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Rozširuje, inovuje, vytvára alebo zavádza sa nový informačný systém?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jeho funkciu.)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Nie 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6.8.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Rozširuje sa prístupnosť k internetu?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6.9.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Rozširuje sa prístupnosť k elektronickým službám?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6.10.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Zabezpečuje sa technická interoperabilita?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6.11.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Zvyšuje sa bezpečnosť IT?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6.12.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Rozširuje sa technická infraštruktúra?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Riadenie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6.13.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Predpokladajú sa zmeny v riadení procesu informatizácie?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(Uveďte popis zmien.)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Financovanie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6.14.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Vyžaduje si proces informatizácie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finančné investície?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Nie 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6.15.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 Predpokladá nelegislatívny materiál potrebu úpravy legislatívneho prostredia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procesu informatizácie?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4"/>
                <w:szCs w:val="24"/>
              </w:rPr>
              <w:t>Nie</w:t>
            </w:r>
          </w:p>
        </w:tc>
      </w:tr>
    </w:tbl>
    <w:p w:rsidR="00593F1E">
      <w:pPr>
        <w:spacing w:before="0" w:beforeAutospacing="0" w:after="0" w:afterAutospacing="0" w:line="240" w:lineRule="atLeas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1290"/>
        <w:gridCol w:w="4399"/>
        <w:gridCol w:w="650"/>
        <w:gridCol w:w="1356"/>
        <w:gridCol w:w="1635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Gestor metodiky</w:t>
            </w:r>
          </w:p>
        </w:tc>
        <w:tc>
          <w:tcPr>
            <w:tcW w:w="2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vznesené Pripomienky </w:t>
            </w:r>
          </w:p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v rámci predbeźného pripomienkového konania</w:t>
            </w:r>
          </w:p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Typ</w:t>
            </w:r>
          </w:p>
        </w:tc>
        <w:tc>
          <w:tcPr>
            <w:tcW w:w="4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Vyhodnote nie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Spôsob vybavenia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36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MF SR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F1E">
            <w:pPr>
              <w:spacing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Doložka vybraných vplyvov:</w:t>
            </w:r>
          </w:p>
          <w:p w:rsidR="00593F1E">
            <w:pPr>
              <w:spacing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4"/>
                <w:szCs w:val="24"/>
              </w:rPr>
              <w:t>A.5. Stanovisko gestorov</w:t>
            </w:r>
          </w:p>
          <w:p w:rsidR="00593F1E">
            <w:pPr>
              <w:spacing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Predkladaný materiál má vplyv na informatizáciu spoločnosti, preto je potrebné uvedené vyznačiť v doložke vplyvov a vypracovať analýzu vplyvov na informatizáciu spoločnosti nasledovne:</w:t>
            </w:r>
          </w:p>
          <w:p w:rsidR="00593F1E">
            <w:pPr>
              <w:spacing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V bode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6.1. analýzy doplniť: „Áno“, zverejňovaním predpísaného tlačiva žiadosti o povolenie na dočasný vývoz kultúrnej pamiatky, zoznamu fyzických osôb s platným osvedčením o odbornej spôsobilosti v konkrétnom odbore pamiatkového výskumu a zoznamu právnických osôb oprávnených na vykonávanie archeologického výskumu na webovom sídle MK SR sa zavádzajú nové elektronické služby s úrovňou I (informatívna úroveň)</w:t>
            </w:r>
          </w:p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Doložka vybraných vplyvov upravená; vypracovaná analýza vplyvov upravený text všeobecnej časti dôvodovej správy o vplyve na informatizáciu spoločnosti a text predkladacej správy.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MPSVaR SR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12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Technická pripomienka:</w:t>
            </w:r>
          </w:p>
          <w:p w:rsidR="00593F1E">
            <w:pPr>
              <w:spacing w:after="12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V poslednom odseku všeobecnej časti dôvodovej správy odporúčame informáciu o vplyve návrhu zákona na zamestnanosť nahradiť informáciou o sociálnych vplyvoch predloženého návrhu zákona.</w:t>
            </w:r>
          </w:p>
          <w:p w:rsidR="00593F1E">
            <w:pPr>
              <w:spacing w:after="12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Odôvodnenie: Podľa Aktualizovanej jednotnej metodiky na posudzovanie vybraných vplyvov sú vplyvy na zamestnanosť hodnotené ako súčasť sociálnych vplyvov.</w:t>
            </w:r>
          </w:p>
          <w:p w:rsidR="00593F1E">
            <w:pPr>
              <w:spacing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Upravený text všeobecnej časti dôvodovej správy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    </w:t>
            </w: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MŽP SR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bez pripomienok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 xml:space="preserve">MH SR 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bez pripomienok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93F1E">
      <w:pPr>
        <w:spacing w:after="280" w:afterAutospacing="1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