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8429B" w:rsidP="00A8429B">
      <w:pPr>
        <w:widowControl/>
        <w:bidi w:val="0"/>
        <w:jc w:val="both"/>
        <w:rPr>
          <w:rFonts w:ascii="Times New Roman" w:hAnsi="Times New Roman"/>
          <w:b/>
          <w:color w:val="000000"/>
        </w:rPr>
      </w:pPr>
      <w:r w:rsidRPr="00A8429B">
        <w:rPr>
          <w:rFonts w:ascii="Times New Roman" w:hAnsi="Times New Roman"/>
          <w:b/>
          <w:color w:val="000000"/>
        </w:rPr>
        <w:t>A. Všeobecná časť</w:t>
      </w:r>
    </w:p>
    <w:p w:rsidR="008B25A6" w:rsidRPr="00A8429B" w:rsidP="00A8429B">
      <w:pPr>
        <w:widowControl/>
        <w:bidi w:val="0"/>
        <w:jc w:val="both"/>
        <w:rPr>
          <w:rFonts w:ascii="Times New Roman" w:hAnsi="Times New Roman"/>
          <w:color w:val="000000"/>
        </w:rPr>
      </w:pPr>
    </w:p>
    <w:p w:rsidR="008B25A6" w:rsidRPr="00A8429B" w:rsidP="00A8429B">
      <w:pPr>
        <w:widowControl/>
        <w:bidi w:val="0"/>
        <w:spacing w:after="280" w:afterAutospacing="1"/>
        <w:ind w:firstLine="720"/>
        <w:jc w:val="both"/>
        <w:rPr>
          <w:rFonts w:ascii="Times New Roman" w:hAnsi="Times New Roman"/>
          <w:color w:val="000000"/>
        </w:rPr>
      </w:pPr>
      <w:r w:rsidRPr="00A8429B" w:rsidR="00A8429B">
        <w:rPr>
          <w:rStyle w:val="PlaceholderText"/>
          <w:color w:val="000000"/>
        </w:rPr>
        <w:t>N</w:t>
      </w:r>
      <w:r w:rsidRPr="00A8429B" w:rsidR="00A8429B">
        <w:rPr>
          <w:rStyle w:val="PlaceholderText"/>
          <w:color w:val="000000"/>
        </w:rPr>
        <w:t xml:space="preserve">a rokovanie Národnej rady Slovenskej republiky </w:t>
      </w:r>
      <w:r w:rsidRPr="00A8429B" w:rsidR="00A8429B">
        <w:rPr>
          <w:rStyle w:val="PlaceholderText"/>
          <w:color w:val="000000"/>
        </w:rPr>
        <w:t xml:space="preserve">sa </w:t>
      </w:r>
      <w:r w:rsidRPr="00A8429B" w:rsidR="00C0489E">
        <w:rPr>
          <w:rStyle w:val="PlaceholderText"/>
          <w:color w:val="000000"/>
        </w:rPr>
        <w:t xml:space="preserve">predkladá návrh zákona, ktorým sa mení a dopĺňa zákon č. 49/2002 Z. z. o ochrane pamiatkového fondu v znení neskorších predpisov (ďalej len „zákon“), ktorý bol vypracovaný </w:t>
      </w:r>
      <w:r w:rsidRPr="00A8429B" w:rsidR="00A8429B">
        <w:rPr>
          <w:rStyle w:val="PlaceholderText"/>
          <w:color w:val="000000"/>
        </w:rPr>
        <w:t>Ministerstvo</w:t>
      </w:r>
      <w:r w:rsidRPr="00A8429B" w:rsidR="00A8429B">
        <w:rPr>
          <w:rStyle w:val="PlaceholderText"/>
          <w:color w:val="000000"/>
        </w:rPr>
        <w:t>m</w:t>
      </w:r>
      <w:r w:rsidRPr="00A8429B" w:rsidR="00A8429B">
        <w:rPr>
          <w:rStyle w:val="PlaceholderText"/>
          <w:color w:val="000000"/>
        </w:rPr>
        <w:t xml:space="preserve"> kultúry Slovenskej republiky </w:t>
      </w:r>
      <w:r w:rsidRPr="00A8429B" w:rsidR="00C0489E">
        <w:rPr>
          <w:rStyle w:val="PlaceholderText"/>
          <w:color w:val="000000"/>
        </w:rPr>
        <w:t xml:space="preserve">na základe Plánu legislatívnych úloh vlády Slovenskej republiky na rok 2013 (úloha č. 10 v mesiaci december). </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 xml:space="preserve"> Pamiatkový fond (t.j. národné kultúrne pamiatky, pamiatkové územia a veci, o ktorých sa začalo konanie o vyhlásenie za národné kultúrne pamiatky, pamiatkové rezervácie alebo za pamiatkové zóny), archeologické nálezy a archeologické náleziská sú súčasťou kultúrneho dedičstva na území Slovenskej republiky. Ochrana pamiatkového fondu v širšom slova zmysle (vzťahy štátnych orgánov k vlastníkom súčastí pamiatkového fondu, komplex práv a povinností, kompetencie štátnych orgánov, ako aj odborná disciplína samotná) podlieha neustálemu vedeckému pokroku, ako aj priebežným zmenám názorov zástupcov verejnej správy, odbornej verejnosti i vlastníkov, ktoré sa odrážajú v požiadavkách na zmenu právnych predpisov. </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 xml:space="preserve"> Požiadavka zavedenia a definovania nových pojmov (napr. „bezprostredné okolie nehnuteľnej národnej kultúrnej pamiatky“, „výskum na vedecké účely a dokumentačné účely“, „vedúci výskumu“) reflektuje stav súčasnej právnej úpravy, ktorá sa v aplikačnej praxi, najmä v oblasti pamiatkových výskumov či ochrany bezprostredného okolia národnej kultúrnej pamiatky ukazuje ako nedostatočná. V oblasti archeológie sa navrhuje zmena definície pojmu „archeologický nález“, existencia ktorého sa navrhuje viazať výlučne na jeho hnuteľný charakter. </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 Do nového pojmu „štátny pamiatkový dohľad“ sa zjednocujú pojmy „dohľad“, „pamiatkový dohľad“, „ústredný štátny dohľad“ a „štátny dohľad“, obsah ktorých je podľa platnej právnej úpravy rovnaký. V oblasti výkonu štátneho pamiatkového dohľadu sa navrhuje konkretizácia oprávnení orgánov štátneho pamiatkového dohľadu.</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 Precizujú sa kompetencie a postavenie poradných orgánov ministerstva. Konkretizujú sa kompetencie Pamiatkového úradu Slovenskej republiky, najmä v oblasti vydávania odborných stanovísk a posudkov a zastupovania štátu ako poškodenej strany v trestnom konaní. Podobne sa konkretizujú kompetencie krajských pamiatkových úradov. Z hľadiska aplikačnej praxe má veľký význam spresnenie požiadaviek a administratívneho postupu v súvislosti s povoľovaním reklamných a iných zariadení, ak tieto môžu mať vplyv na pamiatkový fond, ako aj zavedenie výslovného ustanovenia o možnosti rozhodovania iného správneho orgánu až na základe právoplatného rozhodnutia alebo záväzného stanoviska orgánu na ochranu pamiatkového fondu.</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Precizuje sa administratívny postup a predpoklady rozhodovania pri obnove národnej kultúrnej pamiatky, úprave nehnuteľnosti v pamiatkovom území, ako aj úprave nehnuteľnosti v ochrannom pásme. V oblasti reštaurovania sa navrhuje do procesu rozhodovania zaradiť aj možnosť posudzovať samostatne aj správu z reštaurátorského výskumu.</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 xml:space="preserve">Z dôvodu zvýšenia operatívnosti ministerstva pri realizácii významných projektov či výstav sa upravuje režim povoľovania dočasného vývozu národnej kultúrnej pamiatky alebo jej časti do zahraničia. Implementuje sa Vykonávacie nariadenie Komisie (EÚ) č. 1081/2012  z 09. novembra 2012 k nariadeniu Rady (ES) č. 116/2009 o vývoze tovaru kultúrneho charakteru (Ú. v. L 324, 22.11.2012), Nariadenie Rady (ES) č. 116/2009 z 18. decembra 2008 o vývoze tovaru kultúrneho charakteru (kodifikované znenie), (Ú. v. EÚ L 39, 10.2.2009), Nariadenie Rady (EHS) č. 2913/92 zo dňa 12. októbra 1992, ktorým sa ustanovuje Colný kódex spoločenstva v platnom znení (Mimoriadne vydanie Ú. v. EÚ, kap. 2/zv.4) v platnom znení. </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 Osobitne významnými sú zmeny v oblasti pamiatkového výskumu, jeho realizácie, vydávania osvedčení a oprávnení na jeho realizáciu. Na základe požiadaviek odbornej verejnosti, ako aj na základe skúseností z aplikačnej praxe sa navrhuje pamiatkové výskumy rozdeliť na záchranné a predstihové, čo má oporu aj v odbornej literatúre. Nanovo sa upravuje režim posudzovania výskumných dokumentácií z pamiatkových výskumov Pamiatkovým úradom Slovenskej republiky, ktoré možno predložiť krajskému pamiatkovému úradu až na základe stanoviska Pamiatkového úradu Slovenskej republiky. Konkretizuje sa režim vyzdvihovania náhodného nálezu a režim vyzdvihovania archeologických nálezov, ktoré majú charakter streliva a munície. Zavádza sa nová možnosť vypožičať archeologický nález múzeu, založenému právnickou osobou, ktorá archeologický výskum vykonala alebo financovala.</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Definovanie nových skutkových podstát priestupkov a iných správnych deliktov reflektuje opakujúce sa konania, ktoré majú v súčasnosti charakter konania v rozpore so zákonom, avšak ktoré nie sú upravené ako priestupky či iné správne delikty. Z hľadiska záujmov chránených zákonom je zavedenie nových skutkových podstát významným krokom k zvýšeniu kvality výkonu štátnej správy v oblasti ochrany pamiatkového fondu. Zákon v podobe vymedzenia nových skutkových podstát priestupkov a iných správnych deliktov poskytuje komplexnejšie právne nástroje na sankcionovanie nežiaduceho konania, ktoré má za následok poškodenie alebo zničenie časti pamiatkového fondu, archeologického nálezu alebo archeologického náleziska.</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 Zákon je v súlade s Ústavou Slovenskej republiky, ústavnými zákonmi, zákonmi a medzinárodnými zmluvami, ktorými je Slovenská republika viazaná, ako aj s právom Európskej únie. </w:t>
      </w:r>
    </w:p>
    <w:p w:rsidR="00C0489E" w:rsidRPr="00A8429B" w:rsidP="00A8429B">
      <w:pPr>
        <w:widowControl/>
        <w:bidi w:val="0"/>
        <w:spacing w:after="280" w:afterAutospacing="1"/>
        <w:ind w:firstLine="720"/>
        <w:jc w:val="both"/>
        <w:rPr>
          <w:rStyle w:val="PlaceholderText"/>
          <w:color w:val="000000"/>
        </w:rPr>
      </w:pPr>
      <w:r w:rsidRPr="00A8429B">
        <w:rPr>
          <w:rStyle w:val="PlaceholderText"/>
          <w:color w:val="000000"/>
        </w:rPr>
        <w:t> Zákon nebude mať vplyv na štátny rozpočet a na podnikateľské prostredie, nebude mať vplyv na rozpočet obcí a rozpočty vyšších územných celkov, environmentálny vplyv, sociálny vplyv a životné prostredie. Zákon bude mať  pozitívny vplyv na informatizáciu spoločnosti zavedením nových elektronických služieb na informatívnej úrovni.</w:t>
      </w:r>
    </w:p>
    <w:p w:rsidR="00C0489E" w:rsidP="00A8429B">
      <w:pPr>
        <w:widowControl/>
        <w:bidi w:val="0"/>
        <w:spacing w:after="280" w:afterAutospacing="1"/>
        <w:ind w:firstLine="720"/>
        <w:jc w:val="both"/>
        <w:rPr>
          <w:rStyle w:val="PlaceholderText"/>
          <w:color w:val="000000"/>
        </w:rPr>
      </w:pPr>
      <w:r w:rsidRPr="00A8429B">
        <w:rPr>
          <w:rStyle w:val="PlaceholderText"/>
          <w:color w:val="000000"/>
        </w:rPr>
        <w:t> Účinnosť predloženého návrhu zákona sa navrhuje s dostatočnou legisvakanciou dňa 01. júla 2014.</w:t>
      </w:r>
    </w:p>
    <w:p w:rsidR="00A8429B" w:rsidRPr="00A8429B" w:rsidP="00A8429B">
      <w:pPr>
        <w:widowControl/>
        <w:bidi w:val="0"/>
        <w:spacing w:after="280" w:afterAutospacing="1"/>
        <w:ind w:firstLine="720"/>
        <w:jc w:val="both"/>
        <w:rPr>
          <w:rStyle w:val="PlaceholderText"/>
          <w:color w:val="000000"/>
        </w:rPr>
      </w:pPr>
    </w:p>
    <w:sectPr>
      <w:footerReference w:type="default" r:id="rId4"/>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9B">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rsidR="004F3205">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4F3205"/>
    <w:rsid w:val="004F3205"/>
    <w:rsid w:val="008B25A6"/>
    <w:rsid w:val="00A64D2D"/>
    <w:rsid w:val="00A8429B"/>
    <w:rsid w:val="00AA53E6"/>
    <w:rsid w:val="00C0489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paragraph" w:customStyle="1" w:styleId="TableMsoNormalTable">
    <w:name w:val="Table_MsoNormalTable"/>
    <w:basedOn w:val="Normal"/>
    <w:pPr>
      <w:jc w:val="left"/>
    </w:pPr>
    <w:rPr>
      <w:rFonts w:ascii="Calibri" w:hAnsi="Calibri" w:cs="Calibri"/>
      <w:sz w:val="20"/>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unhideWhenUsed/>
    <w:rsid w:val="004F3205"/>
    <w:pPr>
      <w:tabs>
        <w:tab w:val="center" w:pos="4536"/>
        <w:tab w:val="right" w:pos="9072"/>
      </w:tabs>
      <w:jc w:val="left"/>
    </w:pPr>
  </w:style>
  <w:style w:type="character" w:customStyle="1" w:styleId="HlavikaChar">
    <w:name w:val="Hlavička Char"/>
    <w:basedOn w:val="DefaultParagraphFont"/>
    <w:link w:val="Header"/>
    <w:uiPriority w:val="99"/>
    <w:locked/>
    <w:rsid w:val="004F3205"/>
    <w:rPr>
      <w:rFonts w:ascii="Times New Roman" w:hAnsi="Times New Roman" w:cs="Times New Roman"/>
      <w:sz w:val="24"/>
      <w:szCs w:val="24"/>
      <w:rtl w:val="0"/>
      <w:cs w:val="0"/>
    </w:rPr>
  </w:style>
  <w:style w:type="paragraph" w:styleId="Footer">
    <w:name w:val="footer"/>
    <w:basedOn w:val="Normal"/>
    <w:link w:val="PtaChar"/>
    <w:uiPriority w:val="99"/>
    <w:unhideWhenUsed/>
    <w:rsid w:val="004F3205"/>
    <w:pPr>
      <w:tabs>
        <w:tab w:val="center" w:pos="4536"/>
        <w:tab w:val="right" w:pos="9072"/>
      </w:tabs>
      <w:jc w:val="left"/>
    </w:pPr>
  </w:style>
  <w:style w:type="character" w:customStyle="1" w:styleId="PtaChar">
    <w:name w:val="Päta Char"/>
    <w:basedOn w:val="DefaultParagraphFont"/>
    <w:link w:val="Footer"/>
    <w:uiPriority w:val="99"/>
    <w:locked/>
    <w:rsid w:val="004F3205"/>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2</Pages>
  <Words>881</Words>
  <Characters>5027</Characters>
  <Application>Microsoft Office Word</Application>
  <DocSecurity>0</DocSecurity>
  <Lines>0</Lines>
  <Paragraphs>0</Paragraphs>
  <ScaleCrop>false</ScaleCrop>
  <Company>Abyss</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Ela Jášeková</cp:lastModifiedBy>
  <cp:revision>3</cp:revision>
  <dcterms:created xsi:type="dcterms:W3CDTF">2014-01-08T14:32:00Z</dcterms:created>
  <dcterms:modified xsi:type="dcterms:W3CDTF">2014-01-08T14:39:00Z</dcterms:modified>
</cp:coreProperties>
</file>