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31C8" w:rsidP="00EA31A5">
      <w:pPr>
        <w:pStyle w:val="Heading4"/>
        <w:bidi w:val="0"/>
        <w:jc w:val="left"/>
      </w:pPr>
    </w:p>
    <w:p w:rsidR="002231C8">
      <w:pPr>
        <w:pStyle w:val="Heading4"/>
        <w:bidi w:val="0"/>
        <w:rPr>
          <w:rFonts w:hint="default"/>
        </w:rPr>
      </w:pPr>
      <w:r>
        <w:rPr>
          <w:rFonts w:hint="default"/>
        </w:rPr>
        <w:t>Predkladacia sprá</w:t>
      </w:r>
      <w:r>
        <w:rPr>
          <w:rFonts w:hint="default"/>
        </w:rPr>
        <w:t>va</w:t>
      </w:r>
    </w:p>
    <w:p w:rsidR="002231C8">
      <w:pPr>
        <w:bidi w:val="0"/>
        <w:rPr>
          <w:rFonts w:ascii="Times New Roman" w:hAnsi="Times New Roman"/>
        </w:rPr>
      </w:pPr>
    </w:p>
    <w:p w:rsidR="002231C8">
      <w:pPr>
        <w:bidi w:val="0"/>
        <w:rPr>
          <w:rFonts w:ascii="Times New Roman" w:hAnsi="Times New Roman"/>
        </w:rPr>
      </w:pPr>
    </w:p>
    <w:p w:rsidR="00356CA7" w:rsidP="000A2BFA">
      <w:pPr>
        <w:pStyle w:val="BodyTextIndent2"/>
        <w:bidi w:val="0"/>
        <w:spacing w:before="240"/>
        <w:rPr>
          <w:rFonts w:ascii="Times New Roman" w:hAnsi="Times New Roman"/>
        </w:rPr>
      </w:pPr>
      <w:r w:rsidR="00FB17CA">
        <w:rPr>
          <w:rFonts w:ascii="Times New Roman" w:hAnsi="Times New Roman"/>
        </w:rPr>
        <w:t xml:space="preserve">V zmysle zákona č. 402/2013 Z. z. o Úrade pre reguláciu elektronických komunikácií a poštových služieb a Dopravnom úrade a o zmene a doplnení niektorých zákonov (ďalej len „zákon č. 402/2013 Z. z.“) </w:t>
      </w:r>
      <w:r w:rsidR="000A2BFA">
        <w:rPr>
          <w:rFonts w:ascii="Times New Roman" w:hAnsi="Times New Roman"/>
        </w:rPr>
        <w:t>došlo</w:t>
      </w:r>
      <w:r w:rsidR="00FB17CA">
        <w:rPr>
          <w:rFonts w:ascii="Times New Roman" w:hAnsi="Times New Roman"/>
        </w:rPr>
        <w:t xml:space="preserve"> </w:t>
      </w:r>
      <w:r w:rsidR="00926762">
        <w:rPr>
          <w:rFonts w:ascii="Times New Roman" w:hAnsi="Times New Roman"/>
        </w:rPr>
        <w:t xml:space="preserve">s účinnosťou od 1. januára 2014 </w:t>
      </w:r>
      <w:r w:rsidR="00FB17CA">
        <w:rPr>
          <w:rFonts w:ascii="Times New Roman" w:hAnsi="Times New Roman"/>
        </w:rPr>
        <w:t xml:space="preserve">k zlúčeniu </w:t>
      </w:r>
      <w:r w:rsidR="0041343D">
        <w:rPr>
          <w:rFonts w:ascii="Times New Roman" w:hAnsi="Times New Roman"/>
        </w:rPr>
        <w:t>dvoch</w:t>
      </w:r>
      <w:r w:rsidR="00FB17CA">
        <w:rPr>
          <w:rFonts w:ascii="Times New Roman" w:hAnsi="Times New Roman"/>
        </w:rPr>
        <w:t xml:space="preserve"> regulačných úradov v pôsobnosti Ministerstva dopravy, výstavby a regionálneho rozvoja SR: Telekomunikačný úrad SR a Poštový regulačný úrad a k vzniku </w:t>
      </w:r>
      <w:r w:rsidR="000A2BFA">
        <w:rPr>
          <w:rFonts w:ascii="Times New Roman" w:hAnsi="Times New Roman"/>
        </w:rPr>
        <w:t xml:space="preserve">nového </w:t>
      </w:r>
      <w:r w:rsidR="00FB17CA">
        <w:rPr>
          <w:rFonts w:ascii="Times New Roman" w:hAnsi="Times New Roman"/>
        </w:rPr>
        <w:t>regulačn</w:t>
      </w:r>
      <w:r w:rsidR="0041343D">
        <w:rPr>
          <w:rFonts w:ascii="Times New Roman" w:hAnsi="Times New Roman"/>
        </w:rPr>
        <w:t>ého</w:t>
      </w:r>
      <w:r w:rsidR="00FB17CA">
        <w:rPr>
          <w:rFonts w:ascii="Times New Roman" w:hAnsi="Times New Roman"/>
        </w:rPr>
        <w:t xml:space="preserve"> úrad</w:t>
      </w:r>
      <w:r w:rsidR="0041343D">
        <w:rPr>
          <w:rFonts w:ascii="Times New Roman" w:hAnsi="Times New Roman"/>
        </w:rPr>
        <w:t>u</w:t>
      </w:r>
      <w:r w:rsidR="00FB17CA">
        <w:rPr>
          <w:rFonts w:ascii="Times New Roman" w:hAnsi="Times New Roman"/>
        </w:rPr>
        <w:t>: Úrad pre reguláciu elektronických komunikácií a poštových služieb.</w:t>
      </w:r>
    </w:p>
    <w:p w:rsidR="000A2BFA" w:rsidP="000A2BFA">
      <w:pPr>
        <w:pStyle w:val="BodyTextIndent2"/>
        <w:bidi w:val="0"/>
        <w:rPr>
          <w:rFonts w:ascii="Times New Roman" w:hAnsi="Times New Roman"/>
        </w:rPr>
      </w:pPr>
    </w:p>
    <w:p w:rsidR="00926762" w:rsidP="00926762">
      <w:pPr>
        <w:pStyle w:val="BodyTextInden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prechodných ustanovení bol v záujme zachovania kontinuity výkonu činností </w:t>
      </w:r>
      <w:r w:rsidR="000A2BFA">
        <w:rPr>
          <w:rFonts w:ascii="Times New Roman" w:hAnsi="Times New Roman"/>
        </w:rPr>
        <w:t>tohto úradu</w:t>
      </w:r>
      <w:r>
        <w:rPr>
          <w:rFonts w:ascii="Times New Roman" w:hAnsi="Times New Roman"/>
        </w:rPr>
        <w:t xml:space="preserve"> predsedom Národnej rady SR dočasne poverený výkonom funkcie štatutárneho orgánu predseda Telekomunikačného úradu SR</w:t>
      </w:r>
      <w:r w:rsidR="00E44466">
        <w:rPr>
          <w:rFonts w:ascii="Times New Roman" w:hAnsi="Times New Roman"/>
        </w:rPr>
        <w:t xml:space="preserve"> Ladislav Mikuš</w:t>
      </w:r>
      <w:r>
        <w:rPr>
          <w:rFonts w:ascii="Times New Roman" w:hAnsi="Times New Roman"/>
        </w:rPr>
        <w:t>. Jeho funkcia skončí dňom zvolenia prvého predsedu úradu Národnou radou SR.</w:t>
      </w:r>
    </w:p>
    <w:p w:rsidR="005A38E7" w:rsidRPr="005A38E7" w:rsidP="005A38E7">
      <w:pPr>
        <w:pStyle w:val="BodyTextIndent"/>
        <w:bidi w:val="0"/>
        <w:spacing w:before="240"/>
        <w:ind w:left="0" w:firstLine="708"/>
        <w:jc w:val="both"/>
        <w:rPr>
          <w:rFonts w:ascii="Times New Roman" w:hAnsi="Times New Roman"/>
          <w:i w:val="0"/>
          <w:szCs w:val="24"/>
        </w:rPr>
      </w:pPr>
      <w:r w:rsidRPr="005A38E7">
        <w:rPr>
          <w:rFonts w:ascii="Times New Roman" w:hAnsi="Times New Roman"/>
          <w:i w:val="0"/>
          <w:szCs w:val="24"/>
        </w:rPr>
        <w:t xml:space="preserve">Vláda Slovenskej republiky </w:t>
      </w:r>
      <w:r w:rsidR="000A2BFA">
        <w:rPr>
          <w:rFonts w:ascii="Times New Roman" w:hAnsi="Times New Roman"/>
          <w:i w:val="0"/>
          <w:szCs w:val="24"/>
        </w:rPr>
        <w:t xml:space="preserve">na svojom rokovaní dňa </w:t>
      </w:r>
      <w:r w:rsidRPr="005A38E7" w:rsidR="000A2BFA">
        <w:rPr>
          <w:rFonts w:ascii="Times New Roman" w:hAnsi="Times New Roman"/>
          <w:i w:val="0"/>
          <w:szCs w:val="24"/>
        </w:rPr>
        <w:t>18. decembra 2013</w:t>
      </w:r>
      <w:r w:rsidR="000A2BFA">
        <w:rPr>
          <w:rFonts w:ascii="Times New Roman" w:hAnsi="Times New Roman"/>
          <w:i w:val="0"/>
          <w:szCs w:val="24"/>
        </w:rPr>
        <w:t xml:space="preserve"> </w:t>
      </w:r>
      <w:r w:rsidRPr="005A38E7">
        <w:rPr>
          <w:rFonts w:ascii="Times New Roman" w:hAnsi="Times New Roman"/>
          <w:i w:val="0"/>
          <w:szCs w:val="24"/>
        </w:rPr>
        <w:t>uznesením</w:t>
      </w:r>
      <w:r w:rsidR="000A2BFA">
        <w:rPr>
          <w:rFonts w:ascii="Times New Roman" w:hAnsi="Times New Roman"/>
          <w:i w:val="0"/>
          <w:szCs w:val="24"/>
        </w:rPr>
        <w:t xml:space="preserve"> vlády SR č</w:t>
      </w:r>
      <w:r w:rsidRPr="005A38E7">
        <w:rPr>
          <w:rFonts w:ascii="Times New Roman" w:hAnsi="Times New Roman"/>
          <w:i w:val="0"/>
          <w:szCs w:val="24"/>
        </w:rPr>
        <w:t xml:space="preserve">. 742/2013 súhlasila s návrhom na prvú voľbu Vladimíra Kešjara do funkcie predsedu </w:t>
      </w:r>
      <w:r w:rsidRPr="005A38E7">
        <w:rPr>
          <w:rFonts w:ascii="Times New Roman" w:hAnsi="Times New Roman"/>
          <w:bCs/>
          <w:i w:val="0"/>
          <w:szCs w:val="24"/>
        </w:rPr>
        <w:t>Úradu pre reguláciu elektronických komunikácií a poštových služieb</w:t>
      </w:r>
      <w:r w:rsidRPr="005A38E7">
        <w:rPr>
          <w:rFonts w:ascii="Times New Roman" w:hAnsi="Times New Roman"/>
          <w:i w:val="0"/>
          <w:szCs w:val="24"/>
        </w:rPr>
        <w:t>.</w:t>
      </w:r>
    </w:p>
    <w:p w:rsidR="00FB17CA" w:rsidP="00FB17CA">
      <w:pPr>
        <w:pStyle w:val="BodyTextIndent2"/>
        <w:bidi w:val="0"/>
        <w:spacing w:before="240"/>
        <w:rPr>
          <w:rFonts w:ascii="Times New Roman" w:hAnsi="Times New Roman"/>
        </w:rPr>
      </w:pPr>
      <w:r w:rsidR="00926762">
        <w:rPr>
          <w:rFonts w:ascii="Times New Roman" w:hAnsi="Times New Roman"/>
        </w:rPr>
        <w:t>Na základe uvedeného a p</w:t>
      </w:r>
      <w:r>
        <w:rPr>
          <w:rFonts w:ascii="Times New Roman" w:hAnsi="Times New Roman"/>
        </w:rPr>
        <w:t xml:space="preserve">odľa § 3 ods. </w:t>
      </w:r>
      <w:r w:rsidR="00147A0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a § 13 zákona č. 402/2013 Z. z. predkladám </w:t>
      </w:r>
      <w:r w:rsidR="00780F05">
        <w:rPr>
          <w:rFonts w:ascii="Times New Roman" w:hAnsi="Times New Roman"/>
        </w:rPr>
        <w:t xml:space="preserve">Národnej rade SR </w:t>
      </w:r>
      <w:r>
        <w:rPr>
          <w:rFonts w:ascii="Times New Roman" w:hAnsi="Times New Roman"/>
        </w:rPr>
        <w:t>návrh na prvú voľbu</w:t>
      </w:r>
      <w:r w:rsidR="00A12C26">
        <w:rPr>
          <w:rFonts w:ascii="Times New Roman" w:hAnsi="Times New Roman"/>
        </w:rPr>
        <w:t xml:space="preserve"> Vladimíra Kešjara</w:t>
      </w:r>
      <w:r>
        <w:rPr>
          <w:rFonts w:ascii="Times New Roman" w:hAnsi="Times New Roman"/>
        </w:rPr>
        <w:t xml:space="preserve"> do funkcie predsedu Úradu pre reguláciu elektronických </w:t>
      </w:r>
      <w:r w:rsidR="00A12C26">
        <w:rPr>
          <w:rFonts w:ascii="Times New Roman" w:hAnsi="Times New Roman"/>
        </w:rPr>
        <w:t>komunikácií a poštových služieb.</w:t>
      </w:r>
    </w:p>
    <w:p w:rsidR="000A2BFA" w:rsidP="00FB17CA">
      <w:pPr>
        <w:pStyle w:val="BodyTextIndent2"/>
        <w:bidi w:val="0"/>
        <w:spacing w:before="240"/>
        <w:rPr>
          <w:rFonts w:ascii="Times New Roman" w:hAnsi="Times New Roman"/>
        </w:rPr>
      </w:pPr>
      <w:r w:rsidR="003A33DA">
        <w:rPr>
          <w:rFonts w:ascii="Times New Roman" w:hAnsi="Times New Roman"/>
        </w:rPr>
        <w:t>Vladimír Kešjar, ktorý do 31. decembra 2013 vykonával funkciu podpredsedu Telekomunikačného úradu SR, spĺňa podmienky výkonu funkcie predsedu ustanovené v § 4 zákona č. 402/2013 Z. z.</w:t>
      </w:r>
    </w:p>
    <w:p w:rsidR="002231C8" w:rsidRPr="00FB17CA">
      <w:pPr>
        <w:bidi w:val="0"/>
        <w:jc w:val="both"/>
        <w:rPr>
          <w:rFonts w:ascii="Times New Roman" w:hAnsi="Times New Roman"/>
        </w:rPr>
      </w:pPr>
      <w:r w:rsidR="00FB17CA">
        <w:rPr>
          <w:rFonts w:ascii="Times New Roman" w:hAnsi="Times New Roman"/>
          <w:i w:val="0"/>
        </w:rPr>
        <w:t xml:space="preserve">     </w:t>
      </w:r>
      <w:r>
        <w:rPr>
          <w:rFonts w:ascii="Times New Roman" w:hAnsi="Times New Roman"/>
          <w:i w:val="0"/>
          <w:iCs/>
        </w:rPr>
        <w:t xml:space="preserve"> </w:t>
      </w:r>
    </w:p>
    <w:p w:rsidR="00FB17CA" w:rsidP="00FB17CA">
      <w:pPr>
        <w:bidi w:val="0"/>
        <w:ind w:firstLine="708"/>
        <w:jc w:val="both"/>
        <w:rPr>
          <w:rFonts w:ascii="Times New Roman" w:hAnsi="Times New Roman"/>
          <w:i w:val="0"/>
        </w:rPr>
      </w:pPr>
      <w:r w:rsidRPr="0054749B">
        <w:rPr>
          <w:rFonts w:ascii="Times New Roman" w:hAnsi="Times New Roman"/>
          <w:i w:val="0"/>
        </w:rPr>
        <w:t>Materiál nebol predložený na medzirezortné pripomienkové konanie a nemá finančný, ekonomický, environmentálny vplyv, vplyv na zamestnanosť a na podnikateľské prostredie.</w:t>
      </w:r>
    </w:p>
    <w:p w:rsidR="00FB17CA" w:rsidP="00FB17CA">
      <w:pPr>
        <w:bidi w:val="0"/>
        <w:ind w:firstLine="708"/>
        <w:jc w:val="both"/>
        <w:rPr>
          <w:rFonts w:ascii="Times New Roman" w:hAnsi="Times New Roman"/>
          <w:i w:val="0"/>
        </w:rPr>
      </w:pPr>
    </w:p>
    <w:p w:rsidR="00FB17CA" w:rsidRPr="00C37B71" w:rsidP="00FB17CA">
      <w:pPr>
        <w:bidi w:val="0"/>
        <w:ind w:firstLine="708"/>
        <w:jc w:val="both"/>
        <w:rPr>
          <w:rFonts w:ascii="Times New Roman" w:hAnsi="Times New Roman"/>
          <w:i w:val="0"/>
        </w:rPr>
      </w:pPr>
      <w:r w:rsidRPr="00C37B71">
        <w:rPr>
          <w:rFonts w:ascii="Times New Roman" w:hAnsi="Times New Roman"/>
          <w:i w:val="0"/>
        </w:rPr>
        <w:t>Vzhľadom  na  ochranu  osobnosti a osobných údajov sa v súlade s § 9 ods. 1 zákona č. 211/2000 Z. z. o slobodnom prístupe k informáciám a o zmene a doplnení niektorých zákonov (zákon o slobode informácií) v znení neskorších predpisov nesprístupňuje časť materiálu (charakteristika kandidáta).</w:t>
      </w:r>
    </w:p>
    <w:p w:rsidR="002231C8">
      <w:pPr>
        <w:bidi w:val="0"/>
        <w:jc w:val="both"/>
        <w:rPr>
          <w:rFonts w:ascii="Times New Roman" w:hAnsi="Times New Roman"/>
        </w:rPr>
      </w:pPr>
    </w:p>
    <w:p w:rsidR="002231C8">
      <w:pPr>
        <w:bidi w:val="0"/>
        <w:jc w:val="both"/>
        <w:rPr>
          <w:rFonts w:ascii="Times New Roman" w:hAnsi="Times New Roman"/>
        </w:rPr>
      </w:pPr>
    </w:p>
    <w:p w:rsidR="002231C8">
      <w:pPr>
        <w:bidi w:val="0"/>
        <w:jc w:val="both"/>
        <w:rPr>
          <w:rFonts w:ascii="Times New Roman" w:hAnsi="Times New Roman"/>
        </w:rPr>
      </w:pPr>
    </w:p>
    <w:p w:rsidR="002231C8">
      <w:pPr>
        <w:bidi w:val="0"/>
        <w:jc w:val="both"/>
        <w:rPr>
          <w:rFonts w:ascii="Times New Roman" w:hAnsi="Times New Roman"/>
        </w:rPr>
      </w:pPr>
    </w:p>
    <w:p w:rsidR="002231C8">
      <w:pPr>
        <w:bidi w:val="0"/>
        <w:jc w:val="both"/>
        <w:rPr>
          <w:rFonts w:ascii="Times New Roman" w:hAnsi="Times New Roman"/>
        </w:rPr>
      </w:pPr>
    </w:p>
    <w:p w:rsidR="002231C8">
      <w:pPr>
        <w:bidi w:val="0"/>
        <w:jc w:val="both"/>
        <w:rPr>
          <w:rFonts w:ascii="Times New Roman" w:hAnsi="Times New Roman"/>
        </w:rPr>
      </w:pPr>
    </w:p>
    <w:p w:rsidR="002231C8">
      <w:pPr>
        <w:bidi w:val="0"/>
        <w:jc w:val="both"/>
        <w:rPr>
          <w:rFonts w:ascii="Times New Roman" w:hAnsi="Times New Roman"/>
        </w:rPr>
      </w:pPr>
    </w:p>
    <w:sectPr w:rsidSect="00EA31A5">
      <w:pgSz w:w="11906" w:h="16838"/>
      <w:pgMar w:top="1135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4B8A"/>
    <w:multiLevelType w:val="multilevel"/>
    <w:tmpl w:val="CD2CB04C"/>
    <w:lvl w:ilvl="0">
      <w:start w:val="1"/>
      <w:numFmt w:val="none"/>
      <w:lvlText w:val="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lvlRestart w:val="0"/>
      <w:lvlText w:val="%1%2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/>
        <w:iCs/>
        <w:sz w:val="28"/>
        <w:szCs w:val="28"/>
        <w:rtl w:val="0"/>
        <w:cs w:val="0"/>
      </w:r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3">
      <w:start w:val="1"/>
      <w:numFmt w:val="decimal"/>
      <w:suff w:val="space"/>
      <w:lvlText w:val="%2.%3.%4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4">
      <w:start w:val="1"/>
      <w:numFmt w:val="decimal"/>
      <w:suff w:val="space"/>
      <w:lvlText w:val="(%5)"/>
      <w:lvlJc w:val="left"/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1">
    <w:nsid w:val="36A050CB"/>
    <w:multiLevelType w:val="hybridMultilevel"/>
    <w:tmpl w:val="74DEC8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BCB5F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4E58"/>
    <w:rsid w:val="000A2BFA"/>
    <w:rsid w:val="000B4E58"/>
    <w:rsid w:val="000F0C48"/>
    <w:rsid w:val="00147A04"/>
    <w:rsid w:val="001C7851"/>
    <w:rsid w:val="002231C8"/>
    <w:rsid w:val="00356CA7"/>
    <w:rsid w:val="003A33DA"/>
    <w:rsid w:val="0041343D"/>
    <w:rsid w:val="0054749B"/>
    <w:rsid w:val="005A38E7"/>
    <w:rsid w:val="006B15C0"/>
    <w:rsid w:val="00780F05"/>
    <w:rsid w:val="0083021C"/>
    <w:rsid w:val="00926762"/>
    <w:rsid w:val="00A12C26"/>
    <w:rsid w:val="00C37B71"/>
    <w:rsid w:val="00E44466"/>
    <w:rsid w:val="00EA31A5"/>
    <w:rsid w:val="00F96ACA"/>
    <w:rsid w:val="00FB17C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i/>
      <w:sz w:val="24"/>
      <w:szCs w:val="20"/>
      <w:rtl w:val="0"/>
      <w:cs w:val="0"/>
      <w:lang w:val="sk-SK" w:eastAsia="cs-CZ" w:bidi="ar-S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Arial Unicode MS" w:hAnsi="Times New Roman"/>
      <w:b/>
      <w:i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i w:val="0"/>
    </w:rPr>
  </w:style>
  <w:style w:type="paragraph" w:styleId="BodyTextIndent2">
    <w:name w:val="Body Text Indent 2"/>
    <w:basedOn w:val="Normal"/>
    <w:pPr>
      <w:ind w:firstLine="708"/>
      <w:jc w:val="both"/>
    </w:pPr>
    <w:rPr>
      <w:i w:val="0"/>
    </w:rPr>
  </w:style>
  <w:style w:type="paragraph" w:customStyle="1" w:styleId="Zakladnystyl">
    <w:name w:val="Zakladny styl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paragraph" w:styleId="BodyTextIndent">
    <w:name w:val="Body Text Indent"/>
    <w:basedOn w:val="Normal"/>
    <w:link w:val="BodyTextIndentChar"/>
    <w:rsid w:val="005A38E7"/>
    <w:pPr>
      <w:spacing w:after="120"/>
      <w:ind w:left="283"/>
      <w:jc w:val="left"/>
    </w:pPr>
  </w:style>
  <w:style w:type="character" w:customStyle="1" w:styleId="BodyTextIndentChar">
    <w:name w:val="Body Text Indent Char"/>
    <w:link w:val="BodyTextIndent"/>
    <w:locked/>
    <w:rsid w:val="005A38E7"/>
    <w:rPr>
      <w:i/>
      <w:sz w:val="24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290</Words>
  <Characters>1657</Characters>
  <Application>Microsoft Office Word</Application>
  <DocSecurity>0</DocSecurity>
  <Lines>0</Lines>
  <Paragraphs>0</Paragraphs>
  <ScaleCrop>false</ScaleCrop>
  <Company>MDPT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„MOŽNO SPRÍSTUPNIŤ“</dc:title>
  <dc:creator>svitelova</dc:creator>
  <cp:lastModifiedBy>Gašparíková, Jarmila</cp:lastModifiedBy>
  <cp:revision>2</cp:revision>
  <cp:lastPrinted>2013-12-23T09:39:00Z</cp:lastPrinted>
  <dcterms:created xsi:type="dcterms:W3CDTF">2014-01-10T13:37:00Z</dcterms:created>
  <dcterms:modified xsi:type="dcterms:W3CDTF">2014-01-10T13:37:00Z</dcterms:modified>
</cp:coreProperties>
</file>