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4995" w:rsidRPr="00AD0067" w:rsidP="007A4995">
      <w:pPr>
        <w:widowControl/>
        <w:bidi w:val="0"/>
        <w:spacing w:after="0" w:line="240" w:lineRule="auto"/>
        <w:jc w:val="both"/>
        <w:rPr>
          <w:rStyle w:val="PlaceholderText"/>
          <w:color w:val="000000"/>
          <w:sz w:val="24"/>
          <w:szCs w:val="24"/>
        </w:rPr>
      </w:pPr>
    </w:p>
    <w:p w:rsidR="007A4995" w:rsidRPr="00AD0067" w:rsidP="007A4995">
      <w:pPr>
        <w:bidi w:val="0"/>
        <w:spacing w:after="0" w:line="240" w:lineRule="auto"/>
        <w:jc w:val="center"/>
        <w:rPr>
          <w:rFonts w:ascii="Times New Roman" w:hAnsi="Times New Roman" w:cs="Times New Roman"/>
          <w:b/>
          <w:bCs/>
          <w:caps/>
          <w:color w:val="000000"/>
          <w:spacing w:val="30"/>
          <w:sz w:val="24"/>
          <w:szCs w:val="24"/>
        </w:rPr>
      </w:pPr>
      <w:r w:rsidRPr="00AD0067">
        <w:rPr>
          <w:rFonts w:ascii="Times New Roman" w:hAnsi="Times New Roman" w:cs="Times New Roman"/>
          <w:b/>
          <w:bCs/>
          <w:caps/>
          <w:color w:val="000000"/>
          <w:spacing w:val="30"/>
          <w:sz w:val="24"/>
          <w:szCs w:val="24"/>
        </w:rPr>
        <w:t>Doložka</w:t>
      </w:r>
    </w:p>
    <w:p w:rsidR="007A4995" w:rsidRPr="00AD0067" w:rsidP="007A4995">
      <w:pPr>
        <w:bidi w:val="0"/>
        <w:spacing w:after="0" w:line="240" w:lineRule="auto"/>
        <w:jc w:val="center"/>
        <w:rPr>
          <w:rFonts w:ascii="Times New Roman" w:hAnsi="Times New Roman" w:cs="Times New Roman"/>
          <w:b/>
          <w:bCs/>
          <w:color w:val="000000"/>
          <w:sz w:val="24"/>
          <w:szCs w:val="24"/>
        </w:rPr>
      </w:pPr>
      <w:r w:rsidRPr="00AD0067">
        <w:rPr>
          <w:rFonts w:ascii="Times New Roman" w:hAnsi="Times New Roman" w:cs="Times New Roman"/>
          <w:b/>
          <w:bCs/>
          <w:color w:val="000000"/>
          <w:sz w:val="24"/>
          <w:szCs w:val="24"/>
        </w:rPr>
        <w:t>vybraných vplyvov</w:t>
      </w:r>
    </w:p>
    <w:p w:rsidR="007A4995" w:rsidRPr="00AD0067" w:rsidP="007A4995">
      <w:pPr>
        <w:bidi w:val="0"/>
        <w:spacing w:after="0" w:line="240" w:lineRule="auto"/>
        <w:rPr>
          <w:rFonts w:ascii="Times New Roman" w:hAnsi="Times New Roman" w:cs="Times New Roman"/>
          <w:color w:val="000000"/>
          <w:sz w:val="24"/>
          <w:szCs w:val="24"/>
        </w:rPr>
      </w:pPr>
    </w:p>
    <w:p w:rsidR="007A4995" w:rsidRPr="00AD0067" w:rsidP="007A4995">
      <w:pPr>
        <w:bidi w:val="0"/>
        <w:spacing w:after="0" w:line="240" w:lineRule="auto"/>
        <w:rPr>
          <w:rFonts w:ascii="Times New Roman" w:hAnsi="Times New Roman" w:cs="Times New Roman"/>
          <w:color w:val="000000"/>
          <w:sz w:val="24"/>
          <w:szCs w:val="24"/>
        </w:rPr>
      </w:pPr>
    </w:p>
    <w:p w:rsidR="00C127DB" w:rsidRPr="00C127DB" w:rsidP="00C127DB">
      <w:pPr>
        <w:pStyle w:val="Title"/>
        <w:bidi w:val="0"/>
        <w:jc w:val="both"/>
        <w:rPr>
          <w:rFonts w:ascii="Times New Roman" w:hAnsi="Times New Roman" w:cs="Times New Roman"/>
          <w:sz w:val="24"/>
          <w:szCs w:val="24"/>
        </w:rPr>
      </w:pPr>
      <w:r w:rsidRPr="00AD0067" w:rsidR="007A4995">
        <w:rPr>
          <w:rFonts w:ascii="Times New Roman" w:hAnsi="Times New Roman" w:cs="Times New Roman"/>
          <w:b/>
          <w:bCs/>
          <w:color w:val="000000"/>
          <w:sz w:val="24"/>
          <w:szCs w:val="24"/>
        </w:rPr>
        <w:t xml:space="preserve">A.1. Názov materiálu: </w:t>
      </w:r>
      <w:r w:rsidRPr="00C127DB" w:rsidR="007A4995">
        <w:rPr>
          <w:rFonts w:ascii="Times New Roman" w:hAnsi="Times New Roman" w:cs="Times New Roman"/>
          <w:sz w:val="24"/>
          <w:szCs w:val="24"/>
        </w:rPr>
        <w:t xml:space="preserve">Návrh </w:t>
      </w:r>
      <w:r w:rsidRPr="00C127DB">
        <w:rPr>
          <w:rFonts w:ascii="Times New Roman" w:hAnsi="Times New Roman" w:cs="Times New Roman"/>
          <w:sz w:val="24"/>
          <w:szCs w:val="24"/>
        </w:rPr>
        <w:t>zákona, ktorým sa mení a dopĺňa zákon č. 657/2004 Z. z. o tepelnej energetike v znení neskorších predpisov</w:t>
      </w:r>
    </w:p>
    <w:p w:rsidR="007A4995" w:rsidRPr="00AD0067" w:rsidP="007A4995">
      <w:pPr>
        <w:bidi w:val="0"/>
        <w:spacing w:after="0" w:line="240" w:lineRule="auto"/>
        <w:jc w:val="both"/>
        <w:rPr>
          <w:rFonts w:ascii="Times New Roman" w:hAnsi="Times New Roman" w:cs="Times New Roman"/>
          <w:b/>
          <w:bCs/>
          <w:color w:val="000000"/>
          <w:sz w:val="24"/>
          <w:szCs w:val="24"/>
        </w:rPr>
      </w:pPr>
    </w:p>
    <w:p w:rsidR="007A4995" w:rsidRPr="00AD0067" w:rsidP="007A4995">
      <w:pPr>
        <w:bidi w:val="0"/>
        <w:spacing w:after="0" w:line="240" w:lineRule="auto"/>
        <w:jc w:val="both"/>
        <w:rPr>
          <w:rFonts w:ascii="Times New Roman" w:hAnsi="Times New Roman" w:cs="Times New Roman"/>
          <w:b/>
          <w:bCs/>
          <w:color w:val="000000"/>
          <w:sz w:val="24"/>
          <w:szCs w:val="24"/>
        </w:rPr>
      </w:pPr>
      <w:r w:rsidRPr="00AD0067">
        <w:rPr>
          <w:rFonts w:ascii="Times New Roman" w:hAnsi="Times New Roman" w:cs="Times New Roman"/>
          <w:b/>
          <w:bCs/>
          <w:color w:val="000000"/>
          <w:sz w:val="24"/>
          <w:szCs w:val="24"/>
        </w:rPr>
        <w:t>Termín začatia a ukončenia PPK:</w:t>
      </w:r>
      <w:r w:rsidRPr="00AD0067">
        <w:rPr>
          <w:rFonts w:ascii="Times New Roman" w:hAnsi="Times New Roman" w:cs="Times New Roman"/>
          <w:color w:val="000000"/>
          <w:sz w:val="24"/>
          <w:szCs w:val="24"/>
        </w:rPr>
        <w:t xml:space="preserve"> </w:t>
      </w:r>
    </w:p>
    <w:p w:rsidR="007A4995" w:rsidRPr="00AD0067" w:rsidP="007A4995">
      <w:pPr>
        <w:bidi w:val="0"/>
        <w:spacing w:after="0" w:line="240" w:lineRule="auto"/>
        <w:jc w:val="both"/>
        <w:rPr>
          <w:rFonts w:ascii="Times New Roman" w:hAnsi="Times New Roman" w:cs="Times New Roman"/>
          <w:b/>
          <w:bCs/>
          <w:color w:val="000000"/>
          <w:sz w:val="24"/>
          <w:szCs w:val="24"/>
        </w:rPr>
      </w:pPr>
    </w:p>
    <w:p w:rsidR="007A4995" w:rsidRPr="00AD0067" w:rsidP="007A4995">
      <w:pPr>
        <w:bidi w:val="0"/>
        <w:spacing w:after="0" w:line="240" w:lineRule="auto"/>
        <w:jc w:val="both"/>
        <w:rPr>
          <w:rFonts w:ascii="Times New Roman" w:hAnsi="Times New Roman" w:cs="Times New Roman"/>
          <w:b/>
          <w:bCs/>
          <w:color w:val="000000"/>
          <w:sz w:val="24"/>
          <w:szCs w:val="24"/>
        </w:rPr>
      </w:pPr>
      <w:r w:rsidRPr="00AD0067">
        <w:rPr>
          <w:rFonts w:ascii="Times New Roman" w:hAnsi="Times New Roman" w:cs="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86"/>
        <w:gridCol w:w="1212"/>
        <w:gridCol w:w="1212"/>
        <w:gridCol w:w="121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rPr>
                <w:rFonts w:ascii="Times New Roman" w:hAnsi="Times New Roman" w:cs="Times New Roman"/>
                <w:color w:val="000000"/>
                <w:sz w:val="24"/>
                <w:szCs w:val="24"/>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r w:rsidRPr="00AD0067">
              <w:rPr>
                <w:rFonts w:ascii="Times New Roman" w:hAnsi="Times New Roman" w:cs="Times New Roman"/>
                <w:color w:val="000000"/>
                <w:sz w:val="24"/>
                <w:szCs w:val="24"/>
              </w:rPr>
              <w:t> Pozitívne </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r w:rsidRPr="00AD0067">
              <w:rPr>
                <w:rFonts w:ascii="Times New Roman" w:hAnsi="Times New Roman" w:cs="Times New Roman"/>
                <w:color w:val="000000"/>
                <w:sz w:val="24"/>
                <w:szCs w:val="24"/>
              </w:rPr>
              <w:t> Žiadne </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r w:rsidRPr="00AD0067">
              <w:rPr>
                <w:rFonts w:ascii="Times New Roman" w:hAnsi="Times New Roman" w:cs="Times New Roman"/>
                <w:color w:val="000000"/>
                <w:sz w:val="24"/>
                <w:szCs w:val="24"/>
              </w:rPr>
              <w:t> Negatívne </w:t>
            </w: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rPr>
                <w:rFonts w:ascii="Times New Roman" w:hAnsi="Times New Roman" w:cs="Times New Roman"/>
                <w:color w:val="000000"/>
                <w:sz w:val="24"/>
                <w:szCs w:val="24"/>
              </w:rPr>
            </w:pPr>
            <w:r w:rsidRPr="00AD0067">
              <w:rPr>
                <w:rFonts w:ascii="Times New Roman" w:hAnsi="Times New Roman" w:cs="Times New Roman"/>
                <w:color w:val="000000"/>
                <w:sz w:val="24"/>
                <w:szCs w:val="24"/>
              </w:rPr>
              <w:t>1. Vplyvy na rozpočet verejnej správy</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r w:rsidR="00532894">
              <w:rPr>
                <w:rFonts w:ascii="Times New Roman" w:hAnsi="Times New Roman" w:cs="Times New Roman"/>
                <w:color w:val="000000"/>
                <w:sz w:val="24"/>
                <w:szCs w:val="24"/>
              </w:rPr>
              <w:t>x</w:t>
            </w: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rPr>
                <w:rFonts w:ascii="Times New Roman" w:hAnsi="Times New Roman" w:cs="Times New Roman"/>
                <w:color w:val="000000"/>
                <w:sz w:val="24"/>
                <w:szCs w:val="24"/>
              </w:rPr>
            </w:pPr>
            <w:r w:rsidRPr="00AD0067">
              <w:rPr>
                <w:rFonts w:ascii="Times New Roman" w:hAnsi="Times New Roman" w:cs="Times New Roman"/>
                <w:color w:val="000000"/>
                <w:sz w:val="24"/>
                <w:szCs w:val="24"/>
              </w:rPr>
              <w:t>2. Vplyvy na podnikateľské prostredie – dochádza k zvýšeniu regulačného zaťaženia?</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r w:rsidR="007D4FFF">
              <w:rPr>
                <w:rFonts w:ascii="Times New Roman" w:hAnsi="Times New Roman" w:cs="Times New Roman"/>
                <w:color w:val="000000"/>
                <w:sz w:val="24"/>
                <w:szCs w:val="24"/>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rPr>
                <w:rFonts w:ascii="Times New Roman" w:hAnsi="Times New Roman" w:cs="Times New Roman"/>
                <w:color w:val="000000"/>
                <w:sz w:val="24"/>
                <w:szCs w:val="24"/>
              </w:rPr>
            </w:pPr>
            <w:r w:rsidRPr="00AD0067">
              <w:rPr>
                <w:rFonts w:ascii="Times New Roman" w:hAnsi="Times New Roman" w:cs="Times New Roman"/>
                <w:color w:val="000000"/>
                <w:sz w:val="24"/>
                <w:szCs w:val="24"/>
              </w:rPr>
              <w:t>3. Sociálne vplyvy</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rPr>
                <w:rFonts w:ascii="Times New Roman" w:hAnsi="Times New Roman" w:cs="Times New Roman"/>
                <w:color w:val="000000"/>
                <w:sz w:val="24"/>
                <w:szCs w:val="24"/>
              </w:rPr>
            </w:pPr>
            <w:r w:rsidRPr="00AD0067">
              <w:rPr>
                <w:rFonts w:ascii="Times New Roman" w:hAnsi="Times New Roman" w:cs="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1D1411">
            <w:pPr>
              <w:bidi w:val="0"/>
              <w:spacing w:after="0" w:line="240" w:lineRule="auto"/>
              <w:jc w:val="center"/>
              <w:rPr>
                <w:rFonts w:ascii="Times New Roman" w:hAnsi="Times New Roman" w:cs="Times New Roman"/>
                <w:color w:val="000000"/>
                <w:sz w:val="24"/>
                <w:szCs w:val="24"/>
              </w:rPr>
            </w:pPr>
            <w:r w:rsidR="001D1411">
              <w:rPr>
                <w:rFonts w:ascii="Times New Roman" w:hAnsi="Times New Roman" w:cs="Times New Roman"/>
                <w:color w:val="000000"/>
                <w:sz w:val="24"/>
                <w:szCs w:val="24"/>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r w:rsidR="001D1411">
              <w:rPr>
                <w:rFonts w:ascii="Times New Roman" w:hAnsi="Times New Roman" w:cs="Times New Roman"/>
                <w:color w:val="000000"/>
                <w:sz w:val="24"/>
                <w:szCs w:val="24"/>
              </w:rPr>
              <w:t>x</w:t>
            </w: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rPr>
                <w:rFonts w:ascii="Times New Roman" w:hAnsi="Times New Roman" w:cs="Times New Roman"/>
                <w:color w:val="000000"/>
                <w:sz w:val="24"/>
                <w:szCs w:val="24"/>
              </w:rPr>
            </w:pPr>
            <w:r w:rsidRPr="00AD0067">
              <w:rPr>
                <w:rFonts w:ascii="Times New Roman" w:hAnsi="Times New Roman" w:cs="Times New Roman"/>
                <w:color w:val="000000"/>
                <w:sz w:val="24"/>
                <w:szCs w:val="24"/>
              </w:rPr>
              <w:t>– sociálnu exklúziu,</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r w:rsidR="007D4FFF">
              <w:rPr>
                <w:rFonts w:ascii="Times New Roman" w:hAnsi="Times New Roman" w:cs="Times New Roman"/>
                <w:color w:val="000000"/>
                <w:sz w:val="24"/>
                <w:szCs w:val="24"/>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rPr>
                <w:rFonts w:ascii="Times New Roman" w:hAnsi="Times New Roman" w:cs="Times New Roman"/>
                <w:color w:val="000000"/>
                <w:sz w:val="24"/>
                <w:szCs w:val="24"/>
              </w:rPr>
            </w:pPr>
            <w:r w:rsidRPr="00AD0067">
              <w:rPr>
                <w:rFonts w:ascii="Times New Roman" w:hAnsi="Times New Roman" w:cs="Times New Roman"/>
                <w:color w:val="000000"/>
                <w:sz w:val="24"/>
                <w:szCs w:val="24"/>
              </w:rPr>
              <w:t>– rovnosť príležitostí a rodovú rovnosť a vplyvy na zamestnanosť</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r w:rsidR="007D4FFF">
              <w:rPr>
                <w:rFonts w:ascii="Times New Roman" w:hAnsi="Times New Roman" w:cs="Times New Roman"/>
                <w:color w:val="000000"/>
                <w:sz w:val="24"/>
                <w:szCs w:val="24"/>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rPr>
                <w:rFonts w:ascii="Times New Roman" w:hAnsi="Times New Roman" w:cs="Times New Roman"/>
                <w:color w:val="000000"/>
                <w:sz w:val="24"/>
                <w:szCs w:val="24"/>
              </w:rPr>
            </w:pPr>
            <w:r w:rsidRPr="00AD0067">
              <w:rPr>
                <w:rFonts w:ascii="Times New Roman" w:hAnsi="Times New Roman" w:cs="Times New Roman"/>
                <w:color w:val="000000"/>
                <w:sz w:val="24"/>
                <w:szCs w:val="24"/>
              </w:rPr>
              <w:t>4. Vplyvy na životné prostredie</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r w:rsidR="007D4FFF">
              <w:rPr>
                <w:rFonts w:ascii="Times New Roman" w:hAnsi="Times New Roman" w:cs="Times New Roman"/>
                <w:color w:val="000000"/>
                <w:sz w:val="24"/>
                <w:szCs w:val="24"/>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rPr>
                <w:rFonts w:ascii="Times New Roman" w:hAnsi="Times New Roman" w:cs="Times New Roman"/>
                <w:color w:val="000000"/>
                <w:sz w:val="24"/>
                <w:szCs w:val="24"/>
              </w:rPr>
            </w:pPr>
            <w:r w:rsidRPr="00AD0067">
              <w:rPr>
                <w:rFonts w:ascii="Times New Roman" w:hAnsi="Times New Roman" w:cs="Times New Roman"/>
                <w:color w:val="000000"/>
                <w:sz w:val="24"/>
                <w:szCs w:val="24"/>
              </w:rPr>
              <w:t>5. Vplyvy na informatizáciu spoločnosti</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r w:rsidR="007D4FFF">
              <w:rPr>
                <w:rFonts w:ascii="Times New Roman" w:hAnsi="Times New Roman" w:cs="Times New Roman"/>
                <w:color w:val="000000"/>
                <w:sz w:val="24"/>
                <w:szCs w:val="24"/>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7A4995" w:rsidRPr="00AD0067" w:rsidP="007A4995">
            <w:pPr>
              <w:bidi w:val="0"/>
              <w:spacing w:after="0" w:line="240" w:lineRule="auto"/>
              <w:jc w:val="center"/>
              <w:rPr>
                <w:rFonts w:ascii="Times New Roman" w:hAnsi="Times New Roman" w:cs="Times New Roman"/>
                <w:color w:val="000000"/>
                <w:sz w:val="24"/>
                <w:szCs w:val="24"/>
              </w:rPr>
            </w:pPr>
          </w:p>
        </w:tc>
      </w:tr>
    </w:tbl>
    <w:p w:rsidR="007A4995" w:rsidRPr="00AD0067" w:rsidP="007A4995">
      <w:pPr>
        <w:bidi w:val="0"/>
        <w:spacing w:after="0" w:line="240" w:lineRule="auto"/>
        <w:rPr>
          <w:rFonts w:ascii="Times New Roman" w:hAnsi="Times New Roman" w:cs="Times New Roman"/>
          <w:color w:val="000000"/>
          <w:sz w:val="24"/>
          <w:szCs w:val="24"/>
        </w:rPr>
      </w:pPr>
      <w:r w:rsidRPr="00AD0067">
        <w:rPr>
          <w:rFonts w:ascii="Times New Roman" w:hAnsi="Times New Roman" w:cs="Times New Roman"/>
          <w:color w:val="000000"/>
          <w:sz w:val="24"/>
          <w:szCs w:val="24"/>
        </w:rPr>
        <w:t> </w:t>
      </w:r>
    </w:p>
    <w:p w:rsidR="007A4995" w:rsidRPr="00AD0067" w:rsidP="007A4995">
      <w:pPr>
        <w:bidi w:val="0"/>
        <w:spacing w:after="0" w:line="240" w:lineRule="auto"/>
        <w:jc w:val="both"/>
        <w:rPr>
          <w:rFonts w:ascii="Times New Roman" w:hAnsi="Times New Roman" w:cs="Times New Roman"/>
          <w:b/>
          <w:bCs/>
          <w:color w:val="000000"/>
          <w:sz w:val="24"/>
          <w:szCs w:val="24"/>
        </w:rPr>
      </w:pPr>
    </w:p>
    <w:p w:rsidR="007A4995" w:rsidRPr="00AD0067" w:rsidP="007A4995">
      <w:pPr>
        <w:bidi w:val="0"/>
        <w:spacing w:after="0" w:line="240" w:lineRule="auto"/>
        <w:jc w:val="both"/>
        <w:rPr>
          <w:rFonts w:ascii="Times New Roman" w:hAnsi="Times New Roman" w:cs="Times New Roman"/>
          <w:b/>
          <w:bCs/>
          <w:color w:val="000000"/>
          <w:sz w:val="24"/>
          <w:szCs w:val="24"/>
        </w:rPr>
      </w:pPr>
      <w:r w:rsidRPr="00AD0067">
        <w:rPr>
          <w:rFonts w:ascii="Times New Roman" w:hAnsi="Times New Roman" w:cs="Times New Roman"/>
          <w:b/>
          <w:bCs/>
          <w:color w:val="000000"/>
          <w:sz w:val="24"/>
          <w:szCs w:val="24"/>
        </w:rPr>
        <w:t>A.3. Poznámky</w:t>
      </w:r>
    </w:p>
    <w:p w:rsidR="007A4995" w:rsidP="007A4995">
      <w:pPr>
        <w:bidi w:val="0"/>
        <w:spacing w:after="0" w:line="240" w:lineRule="auto"/>
        <w:jc w:val="both"/>
        <w:rPr>
          <w:rFonts w:ascii="Times New Roman" w:hAnsi="Times New Roman" w:cs="Times New Roman"/>
          <w:color w:val="000000"/>
          <w:sz w:val="24"/>
          <w:szCs w:val="24"/>
        </w:rPr>
      </w:pPr>
    </w:p>
    <w:p w:rsidR="00093100" w:rsidP="00093100">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Návrh zákona p</w:t>
      </w:r>
      <w:r w:rsidRPr="00093100" w:rsidR="00532894">
        <w:rPr>
          <w:rFonts w:ascii="Times New Roman" w:hAnsi="Times New Roman" w:cs="Times New Roman"/>
          <w:sz w:val="24"/>
          <w:szCs w:val="24"/>
        </w:rPr>
        <w:t xml:space="preserve">re obce stanovuje povinnosť minimálne raz za päť rokov prerokovať obecným zastupiteľstvom aktualizovanú koncepciu rozvoja obce v oblasti tepelnej energetiky a schválenú časť aktualizovanej koncepcie rozvoja obce v oblasti tepelnej energetiky doplniť do územno-plánovacej dokumentácie obce postupom podľa stavebného zákona. </w:t>
      </w:r>
    </w:p>
    <w:p w:rsidR="00093100" w:rsidP="00093100">
      <w:pPr>
        <w:bidi w:val="0"/>
        <w:spacing w:after="0" w:line="240" w:lineRule="auto"/>
        <w:jc w:val="both"/>
        <w:rPr>
          <w:rFonts w:ascii="Times New Roman" w:hAnsi="Times New Roman" w:cs="Times New Roman"/>
          <w:sz w:val="24"/>
          <w:szCs w:val="24"/>
        </w:rPr>
      </w:pPr>
      <w:r w:rsidRPr="00093100">
        <w:rPr>
          <w:rFonts w:ascii="Times New Roman" w:hAnsi="Times New Roman" w:cs="Times New Roman"/>
          <w:sz w:val="24"/>
          <w:szCs w:val="24"/>
        </w:rPr>
        <w:t xml:space="preserve">Uvedená povinnosť </w:t>
      </w:r>
      <w:r>
        <w:rPr>
          <w:rFonts w:ascii="Times New Roman" w:hAnsi="Times New Roman" w:cs="Times New Roman"/>
          <w:sz w:val="24"/>
          <w:szCs w:val="24"/>
        </w:rPr>
        <w:t>by mala byť</w:t>
      </w:r>
      <w:r w:rsidRPr="00093100">
        <w:rPr>
          <w:rFonts w:ascii="Times New Roman" w:hAnsi="Times New Roman" w:cs="Times New Roman"/>
          <w:sz w:val="24"/>
          <w:szCs w:val="24"/>
        </w:rPr>
        <w:t xml:space="preserve"> financovateľná prostredníctvom podporných mechanizmov EÚ</w:t>
      </w:r>
      <w:r>
        <w:rPr>
          <w:rFonts w:ascii="Times New Roman" w:hAnsi="Times New Roman" w:cs="Times New Roman"/>
          <w:sz w:val="24"/>
          <w:szCs w:val="24"/>
        </w:rPr>
        <w:t xml:space="preserve"> a to prostredníctvom </w:t>
      </w:r>
      <w:r w:rsidRPr="00093100">
        <w:rPr>
          <w:rFonts w:ascii="Times New Roman" w:hAnsi="Times New Roman" w:cs="Times New Roman"/>
          <w:sz w:val="24"/>
          <w:szCs w:val="24"/>
        </w:rPr>
        <w:t>pripravovan</w:t>
      </w:r>
      <w:r>
        <w:rPr>
          <w:rFonts w:ascii="Times New Roman" w:hAnsi="Times New Roman" w:cs="Times New Roman"/>
          <w:sz w:val="24"/>
          <w:szCs w:val="24"/>
        </w:rPr>
        <w:t>ého</w:t>
      </w:r>
      <w:r w:rsidRPr="00093100">
        <w:rPr>
          <w:rFonts w:ascii="Times New Roman" w:hAnsi="Times New Roman" w:cs="Times New Roman"/>
          <w:sz w:val="24"/>
          <w:szCs w:val="24"/>
        </w:rPr>
        <w:t xml:space="preserve"> O</w:t>
      </w:r>
      <w:r>
        <w:rPr>
          <w:rFonts w:ascii="Times New Roman" w:hAnsi="Times New Roman" w:cs="Times New Roman"/>
          <w:sz w:val="24"/>
          <w:szCs w:val="24"/>
        </w:rPr>
        <w:t xml:space="preserve">peračného programu </w:t>
      </w:r>
      <w:r w:rsidRPr="00093100">
        <w:rPr>
          <w:rFonts w:ascii="Times New Roman" w:hAnsi="Times New Roman" w:cs="Times New Roman"/>
          <w:sz w:val="24"/>
          <w:szCs w:val="24"/>
        </w:rPr>
        <w:t>Kvalita životného prostredia.</w:t>
      </w:r>
    </w:p>
    <w:p w:rsidR="00093100" w:rsidRPr="00093100" w:rsidP="00093100">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Vzhľadom k tomu, že v súčasnosti je návrh predmetného operačného programu v procese prípravy</w:t>
      </w:r>
      <w:r w:rsidR="007D4FFF">
        <w:rPr>
          <w:rFonts w:ascii="Times New Roman" w:hAnsi="Times New Roman" w:cs="Times New Roman"/>
          <w:sz w:val="24"/>
          <w:szCs w:val="24"/>
        </w:rPr>
        <w:t xml:space="preserve"> a finančné nároky budú závislé o žiadostí obcí, nie je možné v súčasnosti kvantifikovať vplyvy na rozpočet verejnej správy.  </w:t>
      </w:r>
      <w:r>
        <w:rPr>
          <w:rFonts w:ascii="Times New Roman" w:hAnsi="Times New Roman" w:cs="Times New Roman"/>
          <w:sz w:val="24"/>
          <w:szCs w:val="24"/>
        </w:rPr>
        <w:t xml:space="preserve"> </w:t>
      </w:r>
      <w:r w:rsidRPr="00093100">
        <w:rPr>
          <w:rFonts w:ascii="Times New Roman" w:hAnsi="Times New Roman" w:cs="Times New Roman"/>
          <w:sz w:val="24"/>
          <w:szCs w:val="24"/>
        </w:rPr>
        <w:t> </w:t>
      </w:r>
    </w:p>
    <w:p w:rsidR="00532894" w:rsidRPr="00AD0067" w:rsidP="007A4995">
      <w:pPr>
        <w:bidi w:val="0"/>
        <w:spacing w:after="0" w:line="240" w:lineRule="auto"/>
        <w:jc w:val="both"/>
        <w:rPr>
          <w:rFonts w:ascii="Times New Roman" w:hAnsi="Times New Roman" w:cs="Times New Roman"/>
          <w:color w:val="000000"/>
          <w:sz w:val="24"/>
          <w:szCs w:val="24"/>
        </w:rPr>
      </w:pPr>
    </w:p>
    <w:p w:rsidR="007A4995" w:rsidRPr="00AD0067" w:rsidP="007A4995">
      <w:pPr>
        <w:bidi w:val="0"/>
        <w:spacing w:after="0" w:line="240" w:lineRule="auto"/>
        <w:jc w:val="both"/>
        <w:rPr>
          <w:rFonts w:ascii="Times New Roman" w:hAnsi="Times New Roman" w:cs="Times New Roman"/>
          <w:i/>
          <w:iCs/>
          <w:color w:val="000000"/>
          <w:sz w:val="24"/>
          <w:szCs w:val="24"/>
        </w:rPr>
      </w:pPr>
      <w:r w:rsidRPr="00AD0067">
        <w:rPr>
          <w:rFonts w:ascii="Times New Roman" w:hAnsi="Times New Roman" w:cs="Times New Roman"/>
          <w:i/>
          <w:iCs/>
          <w:color w:val="000000"/>
          <w:sz w:val="24"/>
          <w:szCs w:val="24"/>
        </w:rPr>
        <w:t xml:space="preserve">      </w:t>
      </w:r>
    </w:p>
    <w:p w:rsidR="007A4995" w:rsidRPr="00AD0067" w:rsidP="007A4995">
      <w:pPr>
        <w:bidi w:val="0"/>
        <w:spacing w:after="0" w:line="240" w:lineRule="auto"/>
        <w:jc w:val="both"/>
        <w:rPr>
          <w:rFonts w:ascii="Times New Roman" w:hAnsi="Times New Roman" w:cs="Times New Roman"/>
          <w:b/>
          <w:bCs/>
          <w:color w:val="000000"/>
          <w:sz w:val="24"/>
          <w:szCs w:val="24"/>
        </w:rPr>
      </w:pPr>
      <w:r w:rsidRPr="00AD0067">
        <w:rPr>
          <w:rFonts w:ascii="Times New Roman" w:hAnsi="Times New Roman" w:cs="Times New Roman"/>
          <w:b/>
          <w:bCs/>
          <w:color w:val="000000"/>
          <w:sz w:val="24"/>
          <w:szCs w:val="24"/>
        </w:rPr>
        <w:t>A.4. Alternatívne riešenia</w:t>
      </w:r>
    </w:p>
    <w:p w:rsidR="007A4995" w:rsidRPr="00AD0067" w:rsidP="007A4995">
      <w:pPr>
        <w:bidi w:val="0"/>
        <w:spacing w:after="0" w:line="240" w:lineRule="auto"/>
        <w:jc w:val="both"/>
        <w:rPr>
          <w:rFonts w:ascii="Times New Roman" w:hAnsi="Times New Roman" w:cs="Times New Roman"/>
          <w:b/>
          <w:bCs/>
          <w:color w:val="000000"/>
          <w:sz w:val="24"/>
          <w:szCs w:val="24"/>
        </w:rPr>
      </w:pPr>
      <w:r w:rsidRPr="00AD0067">
        <w:rPr>
          <w:rFonts w:ascii="Times New Roman" w:hAnsi="Times New Roman" w:cs="Times New Roman"/>
          <w:color w:val="000000"/>
          <w:sz w:val="24"/>
          <w:szCs w:val="24"/>
        </w:rPr>
        <w:t> </w:t>
      </w:r>
    </w:p>
    <w:p w:rsidR="007A4995" w:rsidRPr="00AD0067" w:rsidP="007A4995">
      <w:pPr>
        <w:bidi w:val="0"/>
        <w:spacing w:after="0" w:line="240" w:lineRule="auto"/>
        <w:jc w:val="both"/>
        <w:rPr>
          <w:rFonts w:ascii="Times New Roman" w:hAnsi="Times New Roman" w:cs="Times New Roman"/>
          <w:b/>
          <w:bCs/>
          <w:color w:val="000000"/>
          <w:sz w:val="24"/>
          <w:szCs w:val="24"/>
        </w:rPr>
      </w:pPr>
    </w:p>
    <w:p w:rsidR="007A4995" w:rsidRPr="00AD0067" w:rsidP="007A4995">
      <w:pPr>
        <w:bidi w:val="0"/>
        <w:spacing w:after="0" w:line="240" w:lineRule="auto"/>
        <w:jc w:val="both"/>
        <w:rPr>
          <w:rFonts w:ascii="Times New Roman" w:hAnsi="Times New Roman" w:cs="Times New Roman"/>
          <w:b/>
          <w:bCs/>
          <w:color w:val="000000"/>
          <w:sz w:val="24"/>
          <w:szCs w:val="24"/>
        </w:rPr>
      </w:pPr>
      <w:r w:rsidRPr="00AD0067">
        <w:rPr>
          <w:rFonts w:ascii="Times New Roman" w:hAnsi="Times New Roman" w:cs="Times New Roman"/>
          <w:b/>
          <w:bCs/>
          <w:color w:val="000000"/>
          <w:sz w:val="24"/>
          <w:szCs w:val="24"/>
        </w:rPr>
        <w:t>A.5. Stanovisko gestorov</w:t>
      </w:r>
    </w:p>
    <w:p w:rsidR="00A67EBB" w:rsidRPr="00A67EBB" w:rsidP="00A67EBB">
      <w:pPr>
        <w:bidi w:val="0"/>
        <w:spacing w:after="0" w:line="240" w:lineRule="auto"/>
        <w:rPr>
          <w:rFonts w:ascii="Times New Roman" w:hAnsi="Times New Roman" w:cs="Times New Roman"/>
          <w:b/>
          <w:sz w:val="28"/>
          <w:szCs w:val="28"/>
        </w:rPr>
      </w:pPr>
      <w:r>
        <w:rPr>
          <w:rFonts w:ascii="Times New Roman" w:hAnsi="Times New Roman" w:cs="Times New Roman"/>
          <w:sz w:val="24"/>
          <w:szCs w:val="24"/>
        </w:rPr>
        <w:br w:type="page"/>
      </w:r>
      <w:r w:rsidRPr="00A67EBB">
        <w:rPr>
          <w:rFonts w:ascii="Times New Roman" w:hAnsi="Times New Roman" w:cs="Times New Roman"/>
          <w:b/>
          <w:sz w:val="28"/>
          <w:szCs w:val="28"/>
        </w:rPr>
        <w:t>Sociálne vplyvy -  vplyvy na hospodárenie obyvateľstva, sociálnu exklúziu, rovnosť príležitostí a rodovú rovnosť  a na zamestnanosť</w:t>
      </w:r>
    </w:p>
    <w:p w:rsidR="00A67EBB" w:rsidP="00A67EBB">
      <w:pPr>
        <w:bidi w:val="0"/>
        <w:spacing w:after="0" w:line="240" w:lineRule="auto"/>
        <w:rPr>
          <w:b/>
          <w:bCs/>
        </w:rPr>
      </w:pPr>
    </w:p>
    <w:p w:rsidR="00A67EBB" w:rsidP="00A67EBB">
      <w:pPr>
        <w:bidi w:val="0"/>
        <w:rPr>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A67EBB" w:rsidRPr="00A67EBB" w:rsidP="00A67EBB">
            <w:pPr>
              <w:bidi w:val="0"/>
              <w:spacing w:after="0" w:line="240" w:lineRule="auto"/>
              <w:jc w:val="center"/>
              <w:rPr>
                <w:rFonts w:ascii="Times New Roman" w:hAnsi="Times New Roman" w:cs="Times New Roman"/>
                <w:b/>
                <w:bCs/>
                <w:color w:val="FFFFFF"/>
                <w:sz w:val="24"/>
                <w:szCs w:val="24"/>
              </w:rPr>
            </w:pPr>
            <w:r w:rsidRPr="00A67EBB">
              <w:rPr>
                <w:rFonts w:ascii="Times New Roman" w:hAnsi="Times New Roman" w:cs="Times New Roman"/>
                <w:b/>
                <w:bCs/>
                <w:color w:val="FFFFFF"/>
                <w:sz w:val="24"/>
                <w:szCs w:val="24"/>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A67EBB" w:rsidRPr="00A67EBB" w:rsidP="00A67EBB">
            <w:pPr>
              <w:bidi w:val="0"/>
              <w:spacing w:after="0" w:line="240" w:lineRule="auto"/>
              <w:jc w:val="both"/>
              <w:rPr>
                <w:rFonts w:ascii="Times New Roman" w:hAnsi="Times New Roman" w:cs="Times New Roman"/>
                <w:sz w:val="24"/>
                <w:szCs w:val="24"/>
              </w:rPr>
            </w:pPr>
            <w:r w:rsidRPr="00A67EBB">
              <w:rPr>
                <w:rFonts w:ascii="Times New Roman" w:hAnsi="Times New Roman" w:cs="Times New Roman"/>
                <w:sz w:val="24"/>
                <w:szCs w:val="24"/>
              </w:rPr>
              <w:t xml:space="preserve">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A67EBB" w:rsidRPr="00A67EBB" w:rsidP="00A67EBB">
            <w:pPr>
              <w:bidi w:val="0"/>
              <w:spacing w:after="0" w:line="240" w:lineRule="auto"/>
              <w:jc w:val="both"/>
              <w:rPr>
                <w:rFonts w:ascii="Times New Roman" w:hAnsi="Times New Roman" w:cs="Times New Roman"/>
                <w:sz w:val="24"/>
                <w:szCs w:val="24"/>
              </w:rPr>
            </w:pPr>
            <w:r w:rsidRPr="00A67EBB">
              <w:rPr>
                <w:rFonts w:ascii="Times New Roman" w:hAnsi="Times New Roman" w:cs="Times New Roman"/>
                <w:sz w:val="24"/>
                <w:szCs w:val="24"/>
              </w:rPr>
              <w:t> Pozitívne, ako aj negatívne, budú ovplyvnené všetky domácnosti v bytových domoch s vlastným zdrojom tepla, ktoré doposiaľ nemali nainštalované pomerové rozdeľovače nákladov na vykurovanie. Ovplyvnených bude cca 10 000 domácností. Negatívny vplyv je daný potrebou jednorazového nákupu pomerových rozdeľovačov nákladov na vykurovanie. Pozitívny vplyv sa prejaví v možnosti priebežného sledovania spotreby tepla v domácnosti a následnej selektívnej regulácie spotreby tepla.</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A67EBB" w:rsidRPr="00A67EBB" w:rsidP="008C6D1E">
            <w:pPr>
              <w:bidi w:val="0"/>
              <w:spacing w:after="0" w:line="240" w:lineRule="auto"/>
              <w:ind w:firstLine="480" w:firstLineChars="200"/>
              <w:jc w:val="both"/>
              <w:rPr>
                <w:rFonts w:ascii="Times New Roman" w:hAnsi="Times New Roman" w:cs="Times New Roman"/>
                <w:sz w:val="24"/>
                <w:szCs w:val="24"/>
              </w:rPr>
            </w:pPr>
            <w:r w:rsidRPr="00A67EBB">
              <w:rPr>
                <w:rFonts w:ascii="Times New Roman" w:hAnsi="Times New Roman" w:cs="Times New Roman"/>
                <w:sz w:val="24"/>
                <w:szCs w:val="24"/>
              </w:rPr>
              <w:t xml:space="preserve">Kvantifikujte: </w:t>
            </w:r>
          </w:p>
        </w:tc>
        <w:tc>
          <w:tcPr>
            <w:tcW w:w="4140" w:type="dxa"/>
            <w:vMerge w:val="restart"/>
            <w:tcBorders>
              <w:top w:val="none" w:sz="0" w:space="0" w:color="auto"/>
              <w:left w:val="nil"/>
              <w:bottom w:val="single" w:sz="4" w:space="0" w:color="auto"/>
              <w:right w:val="single" w:sz="4" w:space="0" w:color="auto"/>
            </w:tcBorders>
            <w:textDirection w:val="lrTb"/>
            <w:vAlign w:val="top"/>
          </w:tcPr>
          <w:p w:rsidR="00A67EBB" w:rsidRPr="00A67EBB" w:rsidP="00A67EBB">
            <w:pPr>
              <w:widowControl/>
              <w:numPr>
                <w:numId w:val="3"/>
              </w:numPr>
              <w:bidi w:val="0"/>
              <w:adjustRightInd/>
              <w:spacing w:after="0" w:line="240" w:lineRule="auto"/>
              <w:ind w:left="0"/>
              <w:jc w:val="both"/>
              <w:rPr>
                <w:rFonts w:ascii="Times New Roman" w:hAnsi="Times New Roman" w:cs="Times New Roman"/>
                <w:sz w:val="24"/>
                <w:szCs w:val="24"/>
              </w:rPr>
            </w:pPr>
            <w:r w:rsidRPr="00A67EBB">
              <w:rPr>
                <w:rFonts w:ascii="Times New Roman" w:hAnsi="Times New Roman" w:cs="Times New Roman"/>
                <w:sz w:val="24"/>
                <w:szCs w:val="24"/>
              </w:rPr>
              <w:t>Celkový počet domácností cca 10 000</w:t>
            </w:r>
          </w:p>
          <w:p w:rsidR="00A67EBB" w:rsidRPr="00A67EBB" w:rsidP="00A67EBB">
            <w:pPr>
              <w:widowControl/>
              <w:numPr>
                <w:numId w:val="3"/>
              </w:numPr>
              <w:bidi w:val="0"/>
              <w:adjustRightInd/>
              <w:spacing w:after="0" w:line="240" w:lineRule="auto"/>
              <w:ind w:left="0"/>
              <w:jc w:val="both"/>
              <w:rPr>
                <w:rFonts w:ascii="Times New Roman" w:hAnsi="Times New Roman" w:cs="Times New Roman"/>
                <w:sz w:val="24"/>
                <w:szCs w:val="24"/>
              </w:rPr>
            </w:pPr>
            <w:r w:rsidRPr="00A67EBB">
              <w:rPr>
                <w:rFonts w:ascii="Times New Roman" w:hAnsi="Times New Roman" w:cs="Times New Roman"/>
                <w:sz w:val="24"/>
                <w:szCs w:val="24"/>
              </w:rPr>
              <w:t>Výdavky na domácnosť cca 30 eur na jeden pomerový rozdeľovač nákladov na teplo. V rámci domácnosti sa v priemere použije cca 3 pomerové rozdeľovače nákladov na teplo</w:t>
            </w:r>
          </w:p>
          <w:p w:rsidR="00A67EBB" w:rsidRPr="00A67EBB" w:rsidP="00A67EBB">
            <w:pPr>
              <w:widowControl/>
              <w:numPr>
                <w:numId w:val="3"/>
              </w:numPr>
              <w:bidi w:val="0"/>
              <w:adjustRightInd/>
              <w:spacing w:after="0" w:line="240" w:lineRule="auto"/>
              <w:ind w:left="0"/>
              <w:jc w:val="both"/>
              <w:rPr>
                <w:rFonts w:ascii="Times New Roman" w:hAnsi="Times New Roman" w:cs="Times New Roman"/>
                <w:sz w:val="24"/>
                <w:szCs w:val="24"/>
              </w:rPr>
            </w:pPr>
            <w:r w:rsidRPr="00A67EBB">
              <w:rPr>
                <w:rFonts w:ascii="Times New Roman" w:hAnsi="Times New Roman" w:cs="Times New Roman"/>
                <w:sz w:val="24"/>
                <w:szCs w:val="24"/>
              </w:rPr>
              <w:t>Výdavok priemerného obyvateľa cca 30 eur (v domácnosti 3 osoby)</w:t>
            </w:r>
          </w:p>
          <w:p w:rsidR="00A67EBB" w:rsidRPr="00A67EBB" w:rsidP="00A67EBB">
            <w:pPr>
              <w:widowControl/>
              <w:numPr>
                <w:numId w:val="3"/>
              </w:numPr>
              <w:bidi w:val="0"/>
              <w:adjustRightInd/>
              <w:spacing w:after="0" w:line="240" w:lineRule="auto"/>
              <w:ind w:left="0"/>
              <w:jc w:val="both"/>
              <w:rPr>
                <w:rFonts w:ascii="Times New Roman" w:hAnsi="Times New Roman" w:cs="Times New Roman"/>
                <w:sz w:val="24"/>
                <w:szCs w:val="24"/>
              </w:rPr>
            </w:pPr>
            <w:r w:rsidRPr="00A67EBB">
              <w:rPr>
                <w:rFonts w:ascii="Times New Roman" w:hAnsi="Times New Roman" w:cs="Times New Roman"/>
                <w:sz w:val="24"/>
                <w:szCs w:val="24"/>
              </w:rPr>
              <w:t>Zníženie výdavkov domácnosti na vykurovanie cca 10 eur/rok</w:t>
            </w:r>
          </w:p>
          <w:p w:rsidR="00A67EBB" w:rsidRPr="00A67EBB" w:rsidP="00A67EBB">
            <w:pPr>
              <w:widowControl/>
              <w:numPr>
                <w:numId w:val="3"/>
              </w:numPr>
              <w:bidi w:val="0"/>
              <w:adjustRightInd/>
              <w:spacing w:after="0" w:line="240" w:lineRule="auto"/>
              <w:ind w:left="0"/>
              <w:jc w:val="both"/>
              <w:rPr>
                <w:rFonts w:ascii="Times New Roman" w:hAnsi="Times New Roman" w:cs="Times New Roman"/>
                <w:sz w:val="24"/>
                <w:szCs w:val="24"/>
              </w:rPr>
            </w:pPr>
            <w:r w:rsidRPr="00A67EBB">
              <w:rPr>
                <w:rFonts w:ascii="Times New Roman" w:hAnsi="Times New Roman" w:cs="Times New Roman"/>
                <w:sz w:val="24"/>
                <w:szCs w:val="24"/>
              </w:rPr>
              <w:t>Zníženie výdavkov obyvateľa na vykurovanie cca 3,33 eur/rok</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A67EBB" w:rsidRPr="00A67EBB" w:rsidP="008C6D1E">
            <w:pPr>
              <w:bidi w:val="0"/>
              <w:spacing w:after="0" w:line="240" w:lineRule="auto"/>
              <w:ind w:firstLine="720" w:firstLineChars="300"/>
              <w:jc w:val="both"/>
              <w:rPr>
                <w:rFonts w:ascii="Times New Roman" w:hAnsi="Times New Roman" w:cs="Times New Roman"/>
                <w:sz w:val="24"/>
                <w:szCs w:val="24"/>
              </w:rPr>
            </w:pPr>
            <w:r w:rsidRPr="00A67EBB">
              <w:rPr>
                <w:rFonts w:ascii="Times New Roman" w:hAnsi="Times New Roman" w:cs="Times New Roman"/>
                <w:sz w:val="24"/>
                <w:szCs w:val="24"/>
              </w:rPr>
              <w:t>- Rast alebo pokles príjmov/výdavkov            na priemerného obyvateľa</w:t>
            </w:r>
          </w:p>
        </w:tc>
        <w:tc>
          <w:tcPr>
            <w:tcW w:w="4140" w:type="dxa"/>
            <w:vMerge/>
            <w:tcBorders>
              <w:top w:val="nil"/>
              <w:left w:val="nil"/>
              <w:bottom w:val="single" w:sz="4" w:space="0" w:color="auto"/>
              <w:right w:val="single" w:sz="4" w:space="0" w:color="auto"/>
            </w:tcBorders>
            <w:textDirection w:val="lrTb"/>
            <w:vAlign w:val="center"/>
          </w:tcPr>
          <w:p w:rsidR="00A67EBB" w:rsidRPr="00A67EBB" w:rsidP="00A67EBB">
            <w:pPr>
              <w:bidi w:val="0"/>
              <w:spacing w:after="0" w:line="240" w:lineRule="auto"/>
              <w:rPr>
                <w:rFonts w:ascii="Times New Roman" w:hAnsi="Times New Roman" w:cs="Times New Roman"/>
                <w:sz w:val="24"/>
                <w:szCs w:val="24"/>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A67EBB" w:rsidRPr="00A67EBB" w:rsidP="008C6D1E">
            <w:pPr>
              <w:bidi w:val="0"/>
              <w:spacing w:after="0" w:line="240" w:lineRule="auto"/>
              <w:ind w:firstLine="720" w:firstLineChars="300"/>
              <w:jc w:val="both"/>
              <w:rPr>
                <w:rFonts w:ascii="Times New Roman" w:hAnsi="Times New Roman" w:cs="Times New Roman"/>
                <w:sz w:val="24"/>
                <w:szCs w:val="24"/>
              </w:rPr>
            </w:pPr>
            <w:r w:rsidRPr="00A67EBB">
              <w:rPr>
                <w:rFonts w:ascii="Times New Roman" w:hAnsi="Times New Roman" w:cs="Times New Roman"/>
                <w:sz w:val="24"/>
                <w:szCs w:val="24"/>
              </w:rPr>
              <w:t>- Rast alebo pokles príjmov/výdavkov                  za jednotlivé ovplyvnené  skupiny domácností</w:t>
            </w:r>
          </w:p>
          <w:p w:rsidR="00A67EBB" w:rsidRPr="00A67EBB" w:rsidP="008C6D1E">
            <w:pPr>
              <w:bidi w:val="0"/>
              <w:spacing w:after="0" w:line="240" w:lineRule="auto"/>
              <w:ind w:firstLine="720" w:firstLineChars="300"/>
              <w:jc w:val="both"/>
              <w:rPr>
                <w:rFonts w:ascii="Times New Roman" w:hAnsi="Times New Roman" w:cs="Times New Roman"/>
                <w:sz w:val="24"/>
                <w:szCs w:val="24"/>
              </w:rPr>
            </w:pPr>
            <w:r w:rsidRPr="00A67EBB">
              <w:rPr>
                <w:rFonts w:ascii="Times New Roman" w:hAnsi="Times New Roman" w:cs="Times New Roman"/>
                <w:sz w:val="24"/>
                <w:szCs w:val="24"/>
              </w:rPr>
              <w:t>- Celkový počet obyvateľstva/domácností ovplyvnených predkladaným materiálom</w:t>
            </w:r>
          </w:p>
        </w:tc>
        <w:tc>
          <w:tcPr>
            <w:tcW w:w="4140" w:type="dxa"/>
            <w:vMerge/>
            <w:tcBorders>
              <w:top w:val="nil"/>
              <w:left w:val="nil"/>
              <w:bottom w:val="single" w:sz="4" w:space="0" w:color="auto"/>
              <w:right w:val="single" w:sz="4" w:space="0" w:color="auto"/>
            </w:tcBorders>
            <w:textDirection w:val="lrTb"/>
            <w:vAlign w:val="center"/>
          </w:tcPr>
          <w:p w:rsidR="00A67EBB" w:rsidRPr="00A67EBB" w:rsidP="00A67EBB">
            <w:pPr>
              <w:bidi w:val="0"/>
              <w:spacing w:after="0" w:line="240" w:lineRule="auto"/>
              <w:rPr>
                <w:rFonts w:ascii="Times New Roman" w:hAnsi="Times New Roman" w:cs="Times New Roman"/>
                <w:sz w:val="24"/>
                <w:szCs w:val="24"/>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A67EBB" w:rsidRPr="00A67EBB" w:rsidP="008C6D1E">
            <w:pPr>
              <w:bidi w:val="0"/>
              <w:spacing w:after="0" w:line="240" w:lineRule="auto"/>
              <w:ind w:firstLine="720" w:firstLineChars="300"/>
              <w:jc w:val="both"/>
              <w:rPr>
                <w:rFonts w:ascii="Times New Roman" w:hAnsi="Times New Roman" w:cs="Times New Roman"/>
                <w:sz w:val="24"/>
                <w:szCs w:val="24"/>
              </w:rPr>
            </w:pPr>
          </w:p>
        </w:tc>
        <w:tc>
          <w:tcPr>
            <w:tcW w:w="4140" w:type="dxa"/>
            <w:vMerge/>
            <w:tcBorders>
              <w:top w:val="nil"/>
              <w:left w:val="nil"/>
              <w:bottom w:val="single" w:sz="4" w:space="0" w:color="auto"/>
              <w:right w:val="single" w:sz="4" w:space="0" w:color="auto"/>
            </w:tcBorders>
            <w:textDirection w:val="lrTb"/>
            <w:vAlign w:val="center"/>
          </w:tcPr>
          <w:p w:rsidR="00A67EBB" w:rsidRPr="00A67EBB" w:rsidP="00A67EBB">
            <w:pPr>
              <w:bidi w:val="0"/>
              <w:spacing w:after="0" w:line="240" w:lineRule="auto"/>
              <w:rPr>
                <w:rFonts w:ascii="Times New Roman" w:hAnsi="Times New Roman" w:cs="Times New Roman"/>
                <w:sz w:val="24"/>
                <w:szCs w:val="24"/>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A67EBB" w:rsidRPr="00A67EBB" w:rsidP="00A67EBB">
            <w:pPr>
              <w:bidi w:val="0"/>
              <w:spacing w:after="0" w:line="240" w:lineRule="auto"/>
              <w:jc w:val="both"/>
              <w:rPr>
                <w:rFonts w:ascii="Times New Roman" w:hAnsi="Times New Roman" w:cs="Times New Roman"/>
                <w:sz w:val="24"/>
                <w:szCs w:val="24"/>
              </w:rPr>
            </w:pPr>
            <w:r w:rsidRPr="00A67EBB">
              <w:rPr>
                <w:rFonts w:ascii="Times New Roman" w:hAnsi="Times New Roman" w:cs="Times New Roman"/>
                <w:sz w:val="24"/>
                <w:szCs w:val="24"/>
              </w:rPr>
              <w:t>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A67EBB" w:rsidRPr="00A67EBB" w:rsidP="00A67EBB">
            <w:pPr>
              <w:bidi w:val="0"/>
              <w:spacing w:after="0" w:line="240" w:lineRule="auto"/>
              <w:jc w:val="both"/>
              <w:rPr>
                <w:rFonts w:ascii="Times New Roman" w:hAnsi="Times New Roman" w:cs="Times New Roman"/>
                <w:sz w:val="24"/>
                <w:szCs w:val="24"/>
              </w:rPr>
            </w:pPr>
            <w:r w:rsidRPr="00A67EBB">
              <w:rPr>
                <w:rFonts w:ascii="Times New Roman" w:hAnsi="Times New Roman" w:cs="Times New Roman"/>
                <w:sz w:val="24"/>
                <w:szCs w:val="24"/>
              </w:rPr>
              <w:t> Nehodnotí sa</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A67EBB" w:rsidRPr="00A67EBB" w:rsidP="00A67EBB">
            <w:pPr>
              <w:bidi w:val="0"/>
              <w:spacing w:after="0" w:line="240" w:lineRule="auto"/>
              <w:jc w:val="both"/>
              <w:rPr>
                <w:rFonts w:ascii="Times New Roman" w:hAnsi="Times New Roman" w:cs="Times New Roman"/>
                <w:sz w:val="24"/>
                <w:szCs w:val="24"/>
              </w:rPr>
            </w:pPr>
          </w:p>
          <w:p w:rsidR="00A67EBB" w:rsidRPr="00A67EBB" w:rsidP="00A67EBB">
            <w:pPr>
              <w:bidi w:val="0"/>
              <w:spacing w:after="0" w:line="240" w:lineRule="auto"/>
              <w:jc w:val="both"/>
              <w:rPr>
                <w:rFonts w:ascii="Times New Roman" w:hAnsi="Times New Roman" w:cs="Times New Roman"/>
                <w:sz w:val="24"/>
                <w:szCs w:val="24"/>
              </w:rPr>
            </w:pPr>
            <w:r w:rsidRPr="00A67EBB">
              <w:rPr>
                <w:rFonts w:ascii="Times New Roman" w:hAnsi="Times New Roman" w:cs="Times New Roman"/>
                <w:sz w:val="24"/>
                <w:szCs w:val="24"/>
              </w:rPr>
              <w:t>Zhodnoťte vplyv na rovnosť príležitostí:</w:t>
            </w:r>
          </w:p>
          <w:p w:rsidR="00A67EBB" w:rsidRPr="00A67EBB" w:rsidP="00A67EBB">
            <w:pPr>
              <w:bidi w:val="0"/>
              <w:spacing w:after="0" w:line="240" w:lineRule="auto"/>
              <w:jc w:val="both"/>
              <w:rPr>
                <w:rFonts w:ascii="Times New Roman" w:hAnsi="Times New Roman" w:cs="Times New Roman"/>
                <w:sz w:val="24"/>
                <w:szCs w:val="24"/>
              </w:rPr>
            </w:pPr>
          </w:p>
          <w:p w:rsidR="00A67EBB" w:rsidRPr="00A67EBB" w:rsidP="00A67EBB">
            <w:pPr>
              <w:bidi w:val="0"/>
              <w:spacing w:after="0" w:line="240" w:lineRule="auto"/>
              <w:jc w:val="both"/>
              <w:rPr>
                <w:rFonts w:ascii="Times New Roman" w:hAnsi="Times New Roman" w:cs="Times New Roman"/>
                <w:sz w:val="24"/>
                <w:szCs w:val="24"/>
              </w:rPr>
            </w:pPr>
            <w:r w:rsidRPr="00A67EBB">
              <w:rPr>
                <w:rFonts w:ascii="Times New Roman" w:hAnsi="Times New Roman" w:cs="Times New Roman"/>
                <w:sz w:val="24"/>
                <w:szCs w:val="24"/>
              </w:rPr>
              <w:t>Zhodnoťte vplyv na rodovú rovnosť.</w:t>
            </w:r>
          </w:p>
          <w:p w:rsidR="00A67EBB" w:rsidRPr="00A67EBB" w:rsidP="00A67EBB">
            <w:pPr>
              <w:bidi w:val="0"/>
              <w:spacing w:after="0" w:line="240" w:lineRule="auto"/>
              <w:jc w:val="both"/>
              <w:rPr>
                <w:rFonts w:ascii="Times New Roman" w:hAnsi="Times New Roman" w:cs="Times New Roman"/>
                <w:sz w:val="24"/>
                <w:szCs w:val="24"/>
              </w:rPr>
            </w:pPr>
          </w:p>
        </w:tc>
        <w:tc>
          <w:tcPr>
            <w:tcW w:w="4140" w:type="dxa"/>
            <w:tcBorders>
              <w:top w:val="nil"/>
              <w:left w:val="nil"/>
              <w:bottom w:val="single" w:sz="4" w:space="0" w:color="auto"/>
              <w:right w:val="single" w:sz="4" w:space="0" w:color="auto"/>
            </w:tcBorders>
            <w:textDirection w:val="lrTb"/>
            <w:vAlign w:val="top"/>
          </w:tcPr>
          <w:p w:rsidR="00A67EBB" w:rsidRPr="00A67EBB" w:rsidP="00A67EBB">
            <w:pPr>
              <w:bidi w:val="0"/>
              <w:spacing w:after="0" w:line="240" w:lineRule="auto"/>
              <w:jc w:val="both"/>
              <w:rPr>
                <w:rFonts w:ascii="Times New Roman" w:hAnsi="Times New Roman" w:cs="Times New Roman"/>
                <w:sz w:val="24"/>
                <w:szCs w:val="24"/>
              </w:rPr>
            </w:pPr>
            <w:r w:rsidRPr="00A67EBB">
              <w:rPr>
                <w:rFonts w:ascii="Times New Roman" w:hAnsi="Times New Roman" w:cs="Times New Roman"/>
                <w:sz w:val="24"/>
                <w:szCs w:val="24"/>
              </w:rPr>
              <w:t> Nehodnotí sa</w:t>
            </w:r>
          </w:p>
        </w:tc>
      </w:tr>
    </w:tbl>
    <w:p w:rsidR="00A67EBB" w:rsidRPr="00A67EBB" w:rsidP="00A67EBB">
      <w:pPr>
        <w:bidi w:val="0"/>
        <w:spacing w:after="0" w:line="240" w:lineRule="auto"/>
        <w:rPr>
          <w:rFonts w:ascii="Times New Roman" w:hAnsi="Times New Roman" w:cs="Times New Roman"/>
          <w:sz w:val="24"/>
          <w:szCs w:val="24"/>
        </w:rPr>
      </w:pPr>
      <w:r w:rsidRPr="00A67EBB">
        <w:rPr>
          <w:rFonts w:ascii="Times New Roman" w:hAnsi="Times New Roman" w:cs="Times New Roman"/>
          <w:sz w:val="24"/>
          <w:szCs w:val="24"/>
        </w:rPr>
        <w:br/>
        <w:br/>
      </w: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A67EBB" w:rsidRPr="00A67EBB" w:rsidP="00A67EBB">
            <w:pPr>
              <w:bidi w:val="0"/>
              <w:spacing w:after="0" w:line="240" w:lineRule="auto"/>
              <w:jc w:val="both"/>
              <w:rPr>
                <w:rFonts w:ascii="Times New Roman" w:hAnsi="Times New Roman" w:cs="Times New Roman"/>
                <w:sz w:val="24"/>
                <w:szCs w:val="24"/>
              </w:rPr>
            </w:pPr>
            <w:r w:rsidRPr="00A67EBB">
              <w:rPr>
                <w:rFonts w:ascii="Times New Roman" w:hAnsi="Times New Roman" w:cs="Times New Roman"/>
                <w:sz w:val="24"/>
                <w:szCs w:val="24"/>
              </w:rPr>
              <w:t>Zhodnoťte vplyvy na zamestnanosť.</w:t>
            </w:r>
          </w:p>
          <w:p w:rsidR="00A67EBB" w:rsidRPr="00A67EBB" w:rsidP="00A67EBB">
            <w:pPr>
              <w:bidi w:val="0"/>
              <w:spacing w:after="0" w:line="240" w:lineRule="auto"/>
              <w:jc w:val="both"/>
              <w:rPr>
                <w:rFonts w:ascii="Times New Roman" w:hAnsi="Times New Roman" w:cs="Times New Roman"/>
                <w:b/>
                <w:sz w:val="24"/>
                <w:szCs w:val="24"/>
              </w:rPr>
            </w:pPr>
          </w:p>
          <w:p w:rsidR="00A67EBB" w:rsidRPr="00A67EBB" w:rsidP="00A67EBB">
            <w:pPr>
              <w:bidi w:val="0"/>
              <w:spacing w:after="0" w:line="240" w:lineRule="auto"/>
              <w:jc w:val="both"/>
              <w:rPr>
                <w:rFonts w:ascii="Times New Roman" w:hAnsi="Times New Roman" w:cs="Times New Roman"/>
                <w:bCs/>
                <w:sz w:val="24"/>
                <w:szCs w:val="24"/>
              </w:rPr>
            </w:pPr>
            <w:r w:rsidRPr="00A67EBB">
              <w:rPr>
                <w:rFonts w:ascii="Times New Roman" w:hAnsi="Times New Roman" w:cs="Times New Roman"/>
                <w:bCs/>
                <w:sz w:val="24"/>
                <w:szCs w:val="24"/>
              </w:rPr>
              <w:t>Aké sú  vplyvy na zamestnanosť ?</w:t>
            </w:r>
          </w:p>
          <w:p w:rsidR="00A67EBB" w:rsidRPr="00A67EBB" w:rsidP="00A67EBB">
            <w:pPr>
              <w:bidi w:val="0"/>
              <w:spacing w:after="0" w:line="240" w:lineRule="auto"/>
              <w:jc w:val="both"/>
              <w:rPr>
                <w:rFonts w:ascii="Times New Roman" w:hAnsi="Times New Roman" w:cs="Times New Roman"/>
                <w:sz w:val="24"/>
                <w:szCs w:val="24"/>
              </w:rPr>
            </w:pPr>
            <w:r w:rsidRPr="00A67EBB">
              <w:rPr>
                <w:rFonts w:ascii="Times New Roman" w:hAnsi="Times New Roman" w:cs="Times New Roman"/>
                <w:bCs/>
                <w:sz w:val="24"/>
                <w:szCs w:val="24"/>
              </w:rPr>
              <w:t>Ktoré skupiny zamestnancov budú ohrozené schválením predkladaného materiálu ?</w:t>
            </w:r>
          </w:p>
          <w:p w:rsidR="00A67EBB" w:rsidRPr="00A67EBB" w:rsidP="00A67EBB">
            <w:pPr>
              <w:bidi w:val="0"/>
              <w:spacing w:after="0" w:line="240" w:lineRule="auto"/>
              <w:jc w:val="both"/>
              <w:rPr>
                <w:rFonts w:ascii="Times New Roman" w:hAnsi="Times New Roman" w:cs="Times New Roman"/>
                <w:bCs/>
                <w:sz w:val="24"/>
                <w:szCs w:val="24"/>
              </w:rPr>
            </w:pPr>
            <w:r w:rsidRPr="00A67EBB">
              <w:rPr>
                <w:rFonts w:ascii="Times New Roman" w:hAnsi="Times New Roman" w:cs="Times New Roman"/>
                <w:bCs/>
                <w:sz w:val="24"/>
                <w:szCs w:val="24"/>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A67EBB" w:rsidRPr="00A67EBB" w:rsidP="00A67EBB">
            <w:pPr>
              <w:bidi w:val="0"/>
              <w:spacing w:after="0" w:line="240" w:lineRule="auto"/>
              <w:jc w:val="both"/>
              <w:rPr>
                <w:rFonts w:ascii="Times New Roman" w:hAnsi="Times New Roman" w:cs="Times New Roman"/>
                <w:sz w:val="24"/>
                <w:szCs w:val="24"/>
              </w:rPr>
            </w:pPr>
            <w:r w:rsidRPr="00A67EBB">
              <w:rPr>
                <w:rFonts w:ascii="Times New Roman" w:hAnsi="Times New Roman" w:cs="Times New Roman"/>
                <w:sz w:val="24"/>
                <w:szCs w:val="24"/>
              </w:rPr>
              <w:t> </w:t>
            </w:r>
          </w:p>
          <w:p w:rsidR="00A67EBB" w:rsidRPr="00A67EBB" w:rsidP="00A67EBB">
            <w:pPr>
              <w:bidi w:val="0"/>
              <w:spacing w:after="0" w:line="240" w:lineRule="auto"/>
              <w:jc w:val="both"/>
              <w:rPr>
                <w:rFonts w:ascii="Times New Roman" w:hAnsi="Times New Roman" w:cs="Times New Roman"/>
                <w:sz w:val="24"/>
                <w:szCs w:val="24"/>
              </w:rPr>
            </w:pPr>
            <w:r w:rsidRPr="00A67EBB">
              <w:rPr>
                <w:rFonts w:ascii="Times New Roman" w:hAnsi="Times New Roman" w:cs="Times New Roman"/>
                <w:sz w:val="24"/>
                <w:szCs w:val="24"/>
              </w:rPr>
              <w:t>Bez vplyvu</w:t>
            </w:r>
          </w:p>
          <w:p w:rsidR="00A67EBB" w:rsidRPr="00A67EBB" w:rsidP="00A67EBB">
            <w:pPr>
              <w:bidi w:val="0"/>
              <w:spacing w:after="0" w:line="240" w:lineRule="auto"/>
              <w:jc w:val="both"/>
              <w:rPr>
                <w:rFonts w:ascii="Times New Roman" w:hAnsi="Times New Roman" w:cs="Times New Roman"/>
                <w:sz w:val="24"/>
                <w:szCs w:val="24"/>
              </w:rPr>
            </w:pPr>
          </w:p>
          <w:p w:rsidR="00A67EBB" w:rsidRPr="00A67EBB" w:rsidP="00A67EBB">
            <w:pPr>
              <w:bidi w:val="0"/>
              <w:spacing w:after="0" w:line="240" w:lineRule="auto"/>
              <w:jc w:val="both"/>
              <w:rPr>
                <w:rFonts w:ascii="Times New Roman" w:hAnsi="Times New Roman" w:cs="Times New Roman"/>
                <w:sz w:val="24"/>
                <w:szCs w:val="24"/>
              </w:rPr>
            </w:pPr>
          </w:p>
          <w:p w:rsidR="00A67EBB" w:rsidRPr="00A67EBB" w:rsidP="00A67EBB">
            <w:pPr>
              <w:bidi w:val="0"/>
              <w:spacing w:after="0" w:line="240" w:lineRule="auto"/>
              <w:jc w:val="both"/>
              <w:rPr>
                <w:rFonts w:ascii="Times New Roman" w:hAnsi="Times New Roman" w:cs="Times New Roman"/>
                <w:sz w:val="24"/>
                <w:szCs w:val="24"/>
              </w:rPr>
            </w:pPr>
          </w:p>
          <w:p w:rsidR="00A67EBB" w:rsidRPr="00A67EBB" w:rsidP="00A67EBB">
            <w:pPr>
              <w:bidi w:val="0"/>
              <w:spacing w:after="0" w:line="240" w:lineRule="auto"/>
              <w:jc w:val="both"/>
              <w:rPr>
                <w:rFonts w:ascii="Times New Roman" w:hAnsi="Times New Roman" w:cs="Times New Roman"/>
                <w:sz w:val="24"/>
                <w:szCs w:val="24"/>
              </w:rPr>
            </w:pPr>
          </w:p>
          <w:p w:rsidR="00A67EBB" w:rsidRPr="00A67EBB" w:rsidP="00A67EBB">
            <w:pPr>
              <w:bidi w:val="0"/>
              <w:spacing w:after="0" w:line="240" w:lineRule="auto"/>
              <w:jc w:val="both"/>
              <w:rPr>
                <w:rFonts w:ascii="Times New Roman" w:hAnsi="Times New Roman" w:cs="Times New Roman"/>
                <w:sz w:val="24"/>
                <w:szCs w:val="24"/>
              </w:rPr>
            </w:pPr>
          </w:p>
        </w:tc>
      </w:tr>
    </w:tbl>
    <w:p w:rsidR="00A67EBB" w:rsidP="00A67EBB">
      <w:pPr>
        <w:pStyle w:val="BodyText"/>
        <w:tabs>
          <w:tab w:val="num" w:pos="1080"/>
        </w:tabs>
        <w:bidi w:val="0"/>
        <w:spacing w:after="0"/>
        <w:jc w:val="both"/>
        <w:rPr>
          <w:b/>
          <w:bCs/>
        </w:rPr>
      </w:pPr>
    </w:p>
    <w:p w:rsidR="00A67EBB" w:rsidP="00A67EBB">
      <w:pPr>
        <w:pStyle w:val="BodyText"/>
        <w:tabs>
          <w:tab w:val="num" w:pos="1080"/>
        </w:tabs>
        <w:bidi w:val="0"/>
        <w:spacing w:after="0"/>
        <w:jc w:val="both"/>
        <w:rPr>
          <w:b/>
          <w:bCs/>
        </w:rPr>
      </w:pPr>
    </w:p>
    <w:p w:rsidR="00A67EBB" w:rsidP="00A67EBB">
      <w:pPr>
        <w:bidi w:val="0"/>
        <w:spacing w:after="0" w:line="240" w:lineRule="auto"/>
      </w:pPr>
    </w:p>
    <w:p w:rsidR="007A4995" w:rsidRPr="00AD0067" w:rsidP="00A67EBB">
      <w:pPr>
        <w:bidi w:val="0"/>
        <w:spacing w:after="0" w:line="240" w:lineRule="auto"/>
      </w:pPr>
    </w:p>
    <w:sectPr w:rsidSect="00824EA1">
      <w:pgSz w:w="12240" w:h="15840"/>
      <w:pgMar w:top="1276" w:right="1417" w:bottom="1134" w:left="1417" w:header="708" w:footer="1020"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8777F"/>
    <w:multiLevelType w:val="hybridMultilevel"/>
    <w:tmpl w:val="DDB0326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4346A1C"/>
    <w:multiLevelType w:val="singleLevel"/>
    <w:tmpl w:val="041B000F"/>
    <w:lvl w:ilvl="0">
      <w:start w:val="1"/>
      <w:numFmt w:val="decimal"/>
      <w:lvlText w:val="%1."/>
      <w:lvlJc w:val="left"/>
      <w:pPr>
        <w:tabs>
          <w:tab w:val="num" w:pos="360"/>
        </w:tabs>
        <w:ind w:left="360" w:hanging="360"/>
      </w:pPr>
      <w:rPr>
        <w:rFonts w:cs="Times New Roman" w:hint="default"/>
        <w:rtl w:val="0"/>
        <w:cs w:val="0"/>
      </w:rPr>
    </w:lvl>
  </w:abstractNum>
  <w:abstractNum w:abstractNumId="2">
    <w:nsid w:val="5B8E2C9F"/>
    <w:multiLevelType w:val="singleLevel"/>
    <w:tmpl w:val="1C4E2520"/>
    <w:lvl w:ilvl="0">
      <w:start w:val="1"/>
      <w:numFmt w:val="upperLetter"/>
      <w:lvlText w:val="%1."/>
      <w:lvlJc w:val="left"/>
      <w:pPr>
        <w:tabs>
          <w:tab w:val="num" w:pos="1065"/>
        </w:tabs>
        <w:ind w:left="1065" w:hanging="1065"/>
      </w:pPr>
      <w:rPr>
        <w:rFonts w:cs="Times New Roman" w:hint="default"/>
        <w:rtl w:val="0"/>
        <w:cs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110"/>
  <w:displayHorizontalDrawingGridEvery w:val="2"/>
  <w:characterSpacingControl w:val="doNotCompress"/>
  <w:doNotValidateAgainstSchema/>
  <w:doNotDemarcateInvalidXml/>
  <w:compat>
    <w:doNotUseIndentAsNumberingTabStop/>
    <w:allowSpaceOfSameStyleInTable/>
    <w:splitPgBreakAndParaMark/>
    <w:useAnsiKerningPairs/>
  </w:compat>
  <w:rsids>
    <w:rsidRoot w:val="00150F97"/>
    <w:rsid w:val="000265BE"/>
    <w:rsid w:val="000302E7"/>
    <w:rsid w:val="00046B81"/>
    <w:rsid w:val="00051450"/>
    <w:rsid w:val="00055363"/>
    <w:rsid w:val="00070025"/>
    <w:rsid w:val="0009011E"/>
    <w:rsid w:val="00093100"/>
    <w:rsid w:val="000A2315"/>
    <w:rsid w:val="000C0D27"/>
    <w:rsid w:val="000C3285"/>
    <w:rsid w:val="000D2857"/>
    <w:rsid w:val="000D4E03"/>
    <w:rsid w:val="000E11F8"/>
    <w:rsid w:val="000E6E9F"/>
    <w:rsid w:val="00105280"/>
    <w:rsid w:val="00150F97"/>
    <w:rsid w:val="00164A64"/>
    <w:rsid w:val="00171EEF"/>
    <w:rsid w:val="00184401"/>
    <w:rsid w:val="001D1411"/>
    <w:rsid w:val="002045EF"/>
    <w:rsid w:val="00212C5A"/>
    <w:rsid w:val="00237070"/>
    <w:rsid w:val="0026162D"/>
    <w:rsid w:val="002774D6"/>
    <w:rsid w:val="00294B5E"/>
    <w:rsid w:val="002971D4"/>
    <w:rsid w:val="002C2818"/>
    <w:rsid w:val="002D3843"/>
    <w:rsid w:val="002E6D62"/>
    <w:rsid w:val="00306FB3"/>
    <w:rsid w:val="00310A2F"/>
    <w:rsid w:val="003377DE"/>
    <w:rsid w:val="003414CD"/>
    <w:rsid w:val="003873B5"/>
    <w:rsid w:val="0039739E"/>
    <w:rsid w:val="003B59E0"/>
    <w:rsid w:val="003B6708"/>
    <w:rsid w:val="003D6B85"/>
    <w:rsid w:val="004057DB"/>
    <w:rsid w:val="00464D16"/>
    <w:rsid w:val="00471638"/>
    <w:rsid w:val="00482651"/>
    <w:rsid w:val="00483EFC"/>
    <w:rsid w:val="004947D5"/>
    <w:rsid w:val="004B1B5C"/>
    <w:rsid w:val="004B1EB2"/>
    <w:rsid w:val="004B5B1A"/>
    <w:rsid w:val="004F5388"/>
    <w:rsid w:val="004F74C9"/>
    <w:rsid w:val="00532894"/>
    <w:rsid w:val="005573D1"/>
    <w:rsid w:val="0058428F"/>
    <w:rsid w:val="00592F66"/>
    <w:rsid w:val="00594B9D"/>
    <w:rsid w:val="005A69DF"/>
    <w:rsid w:val="005D1D24"/>
    <w:rsid w:val="005D3B1C"/>
    <w:rsid w:val="0062004E"/>
    <w:rsid w:val="00625922"/>
    <w:rsid w:val="00631B74"/>
    <w:rsid w:val="00645A0D"/>
    <w:rsid w:val="00684A03"/>
    <w:rsid w:val="006B6B43"/>
    <w:rsid w:val="006C059B"/>
    <w:rsid w:val="00704A2E"/>
    <w:rsid w:val="007210CA"/>
    <w:rsid w:val="00777181"/>
    <w:rsid w:val="007814FD"/>
    <w:rsid w:val="007A4995"/>
    <w:rsid w:val="007D4FFF"/>
    <w:rsid w:val="007F266C"/>
    <w:rsid w:val="00803CB3"/>
    <w:rsid w:val="00824EA1"/>
    <w:rsid w:val="00827628"/>
    <w:rsid w:val="008504E7"/>
    <w:rsid w:val="00855009"/>
    <w:rsid w:val="008A27D1"/>
    <w:rsid w:val="008A6656"/>
    <w:rsid w:val="008B7909"/>
    <w:rsid w:val="008C5DDE"/>
    <w:rsid w:val="008C6D1E"/>
    <w:rsid w:val="008D182E"/>
    <w:rsid w:val="00927843"/>
    <w:rsid w:val="009444F0"/>
    <w:rsid w:val="009449A0"/>
    <w:rsid w:val="009611A5"/>
    <w:rsid w:val="00976C9B"/>
    <w:rsid w:val="009A6690"/>
    <w:rsid w:val="009B1D45"/>
    <w:rsid w:val="009C5286"/>
    <w:rsid w:val="009E5219"/>
    <w:rsid w:val="009F2D2B"/>
    <w:rsid w:val="00A04D73"/>
    <w:rsid w:val="00A21585"/>
    <w:rsid w:val="00A34A1A"/>
    <w:rsid w:val="00A5129B"/>
    <w:rsid w:val="00A67EBB"/>
    <w:rsid w:val="00A71B25"/>
    <w:rsid w:val="00A816DE"/>
    <w:rsid w:val="00A95C28"/>
    <w:rsid w:val="00AB585C"/>
    <w:rsid w:val="00AB5C0E"/>
    <w:rsid w:val="00AC5DCE"/>
    <w:rsid w:val="00AD0067"/>
    <w:rsid w:val="00AE00C6"/>
    <w:rsid w:val="00AE3C67"/>
    <w:rsid w:val="00AE7377"/>
    <w:rsid w:val="00B21F97"/>
    <w:rsid w:val="00B23ED8"/>
    <w:rsid w:val="00B721D8"/>
    <w:rsid w:val="00B91668"/>
    <w:rsid w:val="00B91815"/>
    <w:rsid w:val="00BA492E"/>
    <w:rsid w:val="00BA6ECE"/>
    <w:rsid w:val="00BB58BC"/>
    <w:rsid w:val="00BB6463"/>
    <w:rsid w:val="00BB74F1"/>
    <w:rsid w:val="00BC07BF"/>
    <w:rsid w:val="00C0046E"/>
    <w:rsid w:val="00C127DB"/>
    <w:rsid w:val="00C20535"/>
    <w:rsid w:val="00C35D8B"/>
    <w:rsid w:val="00C3634B"/>
    <w:rsid w:val="00C63FDB"/>
    <w:rsid w:val="00C87AD0"/>
    <w:rsid w:val="00C95F5F"/>
    <w:rsid w:val="00CF6B61"/>
    <w:rsid w:val="00D22138"/>
    <w:rsid w:val="00D56273"/>
    <w:rsid w:val="00D91D08"/>
    <w:rsid w:val="00D97FB2"/>
    <w:rsid w:val="00DA2177"/>
    <w:rsid w:val="00DB7F3C"/>
    <w:rsid w:val="00DC3D33"/>
    <w:rsid w:val="00DE7DD4"/>
    <w:rsid w:val="00E104F3"/>
    <w:rsid w:val="00E16FC2"/>
    <w:rsid w:val="00E26316"/>
    <w:rsid w:val="00E33406"/>
    <w:rsid w:val="00E419BB"/>
    <w:rsid w:val="00E77B7F"/>
    <w:rsid w:val="00EC095C"/>
    <w:rsid w:val="00F306A1"/>
    <w:rsid w:val="00F637C4"/>
    <w:rsid w:val="00F64C4A"/>
    <w:rsid w:val="00F74A12"/>
    <w:rsid w:val="00FA2ACF"/>
    <w:rsid w:val="00FA714C"/>
    <w:rsid w:val="00FC7D32"/>
    <w:rsid w:val="00FE7EA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8B"/>
    <w:pPr>
      <w:framePr w:wrap="auto"/>
      <w:widowControl w:val="0"/>
      <w:autoSpaceDE/>
      <w:autoSpaceDN/>
      <w:adjustRightInd w:val="0"/>
      <w:spacing w:after="200" w:line="276" w:lineRule="auto"/>
      <w:ind w:left="0" w:right="0"/>
      <w:jc w:val="left"/>
      <w:textAlignment w:val="auto"/>
    </w:pPr>
    <w:rPr>
      <w:rFonts w:ascii="Calibri" w:hAnsi="Calibri" w:cs="Calibri"/>
      <w:sz w:val="22"/>
      <w:szCs w:val="22"/>
      <w:rtl w:val="0"/>
      <w:cs w:val="0"/>
      <w:lang w:val="sk-SK" w:eastAsia="en-US" w:bidi="ar-SA"/>
    </w:rPr>
  </w:style>
  <w:style w:type="paragraph" w:styleId="Heading1">
    <w:name w:val="heading 1"/>
    <w:basedOn w:val="Normal"/>
    <w:link w:val="Nadpis1Char"/>
    <w:uiPriority w:val="99"/>
    <w:qFormat/>
    <w:rsid w:val="007A4995"/>
    <w:pPr>
      <w:autoSpaceDE w:val="0"/>
      <w:autoSpaceDN w:val="0"/>
      <w:spacing w:after="0" w:line="240" w:lineRule="auto"/>
      <w:jc w:val="left"/>
      <w:outlineLvl w:val="0"/>
    </w:pPr>
    <w:rPr>
      <w:rFonts w:ascii="Arial" w:hAnsi="Arial" w:cs="Arial"/>
      <w:sz w:val="20"/>
      <w:szCs w:val="20"/>
      <w:lang w:eastAsia="sk-SK"/>
    </w:rPr>
  </w:style>
  <w:style w:type="paragraph" w:styleId="Heading2">
    <w:name w:val="heading 2"/>
    <w:basedOn w:val="Normal"/>
    <w:link w:val="Nadpis2Char"/>
    <w:uiPriority w:val="99"/>
    <w:qFormat/>
    <w:rsid w:val="007A4995"/>
    <w:pPr>
      <w:autoSpaceDE w:val="0"/>
      <w:autoSpaceDN w:val="0"/>
      <w:spacing w:after="0" w:line="240" w:lineRule="auto"/>
      <w:jc w:val="left"/>
      <w:outlineLvl w:val="1"/>
    </w:pPr>
    <w:rPr>
      <w:rFonts w:ascii="Arial" w:hAnsi="Arial" w:cs="Arial"/>
      <w:sz w:val="20"/>
      <w:szCs w:val="20"/>
      <w:lang w:eastAsia="sk-SK"/>
    </w:rPr>
  </w:style>
  <w:style w:type="paragraph" w:styleId="Heading3">
    <w:name w:val="heading 3"/>
    <w:basedOn w:val="Normal"/>
    <w:next w:val="Normal"/>
    <w:link w:val="Nadpis3Char"/>
    <w:uiPriority w:val="99"/>
    <w:qFormat/>
    <w:locked/>
    <w:rsid w:val="00E16FC2"/>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7A4995"/>
    <w:rPr>
      <w:rFonts w:ascii="Arial" w:hAnsi="Arial" w:cs="Arial"/>
      <w:rtl w:val="0"/>
      <w:cs w:val="0"/>
      <w:lang w:val="sk-SK" w:eastAsia="sk-SK"/>
    </w:rPr>
  </w:style>
  <w:style w:type="character" w:customStyle="1" w:styleId="Nadpis2Char">
    <w:name w:val="Nadpis 2 Char"/>
    <w:basedOn w:val="DefaultParagraphFont"/>
    <w:link w:val="Heading2"/>
    <w:uiPriority w:val="99"/>
    <w:semiHidden/>
    <w:locked/>
    <w:rsid w:val="007A4995"/>
    <w:rPr>
      <w:rFonts w:ascii="Arial" w:hAnsi="Arial" w:cs="Arial"/>
      <w:rtl w:val="0"/>
      <w:cs w:val="0"/>
      <w:lang w:val="sk-SK" w:eastAsia="sk-SK"/>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lang w:val="x-none" w:eastAsia="en-US"/>
    </w:rPr>
  </w:style>
  <w:style w:type="table" w:styleId="TableGrid">
    <w:name w:val="Table Grid"/>
    <w:basedOn w:val="TableNormal"/>
    <w:uiPriority w:val="99"/>
    <w:rsid w:val="00594B9D"/>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character" w:styleId="PlaceholderText">
    <w:name w:val="Placeholder Text"/>
    <w:basedOn w:val="DefaultParagraphFont"/>
    <w:uiPriority w:val="99"/>
    <w:semiHidden/>
    <w:rsid w:val="00594B9D"/>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594B9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94B9D"/>
    <w:rPr>
      <w:rFonts w:ascii="Tahoma" w:hAnsi="Tahoma" w:cs="Tahoma"/>
      <w:sz w:val="16"/>
      <w:szCs w:val="16"/>
      <w:rtl w:val="0"/>
      <w:cs w:val="0"/>
    </w:rPr>
  </w:style>
  <w:style w:type="paragraph" w:styleId="Header">
    <w:name w:val="header"/>
    <w:basedOn w:val="Normal"/>
    <w:link w:val="HlavikaChar"/>
    <w:uiPriority w:val="99"/>
    <w:rsid w:val="00E26316"/>
    <w:pPr>
      <w:tabs>
        <w:tab w:val="center" w:pos="4703"/>
        <w:tab w:val="right" w:pos="9406"/>
      </w:tabs>
      <w:spacing w:after="0" w:line="240" w:lineRule="auto"/>
      <w:jc w:val="left"/>
    </w:pPr>
  </w:style>
  <w:style w:type="character" w:customStyle="1" w:styleId="HlavikaChar">
    <w:name w:val="Hlavička Char"/>
    <w:basedOn w:val="DefaultParagraphFont"/>
    <w:link w:val="Header"/>
    <w:uiPriority w:val="99"/>
    <w:locked/>
    <w:rsid w:val="00E26316"/>
    <w:rPr>
      <w:rFonts w:ascii="Times New Roman" w:hAnsi="Times New Roman" w:cs="Times New Roman"/>
      <w:rtl w:val="0"/>
      <w:cs w:val="0"/>
    </w:rPr>
  </w:style>
  <w:style w:type="paragraph" w:styleId="Footer">
    <w:name w:val="footer"/>
    <w:basedOn w:val="Normal"/>
    <w:link w:val="PtaChar"/>
    <w:uiPriority w:val="99"/>
    <w:rsid w:val="00E26316"/>
    <w:pPr>
      <w:tabs>
        <w:tab w:val="center" w:pos="4703"/>
        <w:tab w:val="right" w:pos="9406"/>
      </w:tabs>
      <w:spacing w:after="0" w:line="240" w:lineRule="auto"/>
      <w:jc w:val="left"/>
    </w:pPr>
  </w:style>
  <w:style w:type="character" w:customStyle="1" w:styleId="PtaChar">
    <w:name w:val="Päta Char"/>
    <w:basedOn w:val="DefaultParagraphFont"/>
    <w:link w:val="Footer"/>
    <w:uiPriority w:val="99"/>
    <w:locked/>
    <w:rsid w:val="00E26316"/>
    <w:rPr>
      <w:rFonts w:ascii="Times New Roman" w:hAnsi="Times New Roman" w:cs="Times New Roman"/>
      <w:rtl w:val="0"/>
      <w:cs w:val="0"/>
    </w:rPr>
  </w:style>
  <w:style w:type="paragraph" w:styleId="FootnoteText">
    <w:name w:val="footnote text"/>
    <w:basedOn w:val="Normal"/>
    <w:link w:val="TextpoznmkypodiarouChar"/>
    <w:uiPriority w:val="99"/>
    <w:semiHidden/>
    <w:rsid w:val="007A4995"/>
    <w:pPr>
      <w:spacing w:after="0" w:line="240" w:lineRule="auto"/>
      <w:jc w:val="left"/>
    </w:pPr>
    <w:rPr>
      <w:sz w:val="20"/>
      <w:szCs w:val="20"/>
      <w:lang w:eastAsia="sk-SK"/>
    </w:rPr>
  </w:style>
  <w:style w:type="character" w:customStyle="1" w:styleId="TextpoznmkypodiarouChar">
    <w:name w:val="Text poznámky pod čiarou Char"/>
    <w:basedOn w:val="DefaultParagraphFont"/>
    <w:link w:val="FootnoteText"/>
    <w:uiPriority w:val="99"/>
    <w:semiHidden/>
    <w:locked/>
    <w:rsid w:val="007A4995"/>
    <w:rPr>
      <w:rFonts w:cs="Times New Roman"/>
      <w:rtl w:val="0"/>
      <w:cs w:val="0"/>
      <w:lang w:val="sk-SK" w:eastAsia="sk-SK"/>
    </w:rPr>
  </w:style>
  <w:style w:type="character" w:styleId="FootnoteReference">
    <w:name w:val="footnote reference"/>
    <w:basedOn w:val="DefaultParagraphFont"/>
    <w:uiPriority w:val="99"/>
    <w:semiHidden/>
    <w:rsid w:val="007A4995"/>
    <w:rPr>
      <w:rFonts w:cs="Times New Roman"/>
      <w:vertAlign w:val="superscript"/>
      <w:rtl w:val="0"/>
      <w:cs w:val="0"/>
    </w:rPr>
  </w:style>
  <w:style w:type="paragraph" w:styleId="BodyText2">
    <w:name w:val="Body Text 2"/>
    <w:basedOn w:val="Normal"/>
    <w:link w:val="Zkladntext2Char"/>
    <w:uiPriority w:val="99"/>
    <w:rsid w:val="00482651"/>
    <w:pPr>
      <w:widowControl/>
      <w:adjustRightInd/>
      <w:spacing w:after="120" w:line="480" w:lineRule="auto"/>
      <w:jc w:val="left"/>
    </w:pPr>
    <w:rPr>
      <w:sz w:val="24"/>
      <w:szCs w:val="24"/>
      <w:lang w:eastAsia="sk-SK"/>
    </w:rPr>
  </w:style>
  <w:style w:type="character" w:customStyle="1" w:styleId="Zkladntext2Char">
    <w:name w:val="Základný text 2 Char"/>
    <w:basedOn w:val="DefaultParagraphFont"/>
    <w:link w:val="BodyText2"/>
    <w:uiPriority w:val="99"/>
    <w:semiHidden/>
    <w:locked/>
    <w:rPr>
      <w:rFonts w:cs="Times New Roman"/>
      <w:rtl w:val="0"/>
      <w:cs w:val="0"/>
      <w:lang w:val="x-none" w:eastAsia="en-US"/>
    </w:rPr>
  </w:style>
  <w:style w:type="paragraph" w:styleId="Title">
    <w:name w:val="Title"/>
    <w:basedOn w:val="Normal"/>
    <w:link w:val="NzovChar"/>
    <w:uiPriority w:val="99"/>
    <w:qFormat/>
    <w:rsid w:val="009A6690"/>
    <w:pPr>
      <w:widowControl/>
      <w:adjustRightInd/>
      <w:spacing w:after="0" w:line="240" w:lineRule="auto"/>
      <w:jc w:val="center"/>
    </w:pPr>
    <w:rPr>
      <w:sz w:val="28"/>
      <w:szCs w:val="28"/>
      <w:lang w:eastAsia="sk-SK"/>
    </w:rPr>
  </w:style>
  <w:style w:type="character" w:customStyle="1" w:styleId="NzovChar">
    <w:name w:val="Názov Char"/>
    <w:basedOn w:val="DefaultParagraphFont"/>
    <w:link w:val="Title"/>
    <w:uiPriority w:val="99"/>
    <w:locked/>
    <w:rPr>
      <w:rFonts w:ascii="Cambria" w:hAnsi="Cambria" w:cs="Cambria"/>
      <w:b/>
      <w:bCs/>
      <w:kern w:val="28"/>
      <w:sz w:val="32"/>
      <w:szCs w:val="32"/>
      <w:rtl w:val="0"/>
      <w:cs w:val="0"/>
      <w:lang w:val="x-none" w:eastAsia="en-US"/>
    </w:rPr>
  </w:style>
  <w:style w:type="paragraph" w:styleId="BodyText">
    <w:name w:val="Body Text"/>
    <w:basedOn w:val="Normal"/>
    <w:link w:val="ZkladntextChar"/>
    <w:uiPriority w:val="99"/>
    <w:rsid w:val="009A6690"/>
    <w:pPr>
      <w:widowControl/>
      <w:adjustRightInd/>
      <w:spacing w:after="120" w:line="240" w:lineRule="auto"/>
      <w:jc w:val="left"/>
    </w:pPr>
    <w:rPr>
      <w:sz w:val="20"/>
      <w:szCs w:val="20"/>
      <w:lang w:eastAsia="sk-SK"/>
    </w:rPr>
  </w:style>
  <w:style w:type="character" w:customStyle="1" w:styleId="ZkladntextChar">
    <w:name w:val="Základný text Char"/>
    <w:basedOn w:val="DefaultParagraphFont"/>
    <w:link w:val="BodyText"/>
    <w:uiPriority w:val="99"/>
    <w:locked/>
    <w:rPr>
      <w:rFonts w:cs="Times New Roman"/>
      <w:rtl w:val="0"/>
      <w:cs w:val="0"/>
      <w:lang w:val="x-none" w:eastAsia="en-US"/>
    </w:rPr>
  </w:style>
  <w:style w:type="paragraph" w:styleId="BodyTextIndent">
    <w:name w:val="Body Text Indent"/>
    <w:basedOn w:val="Normal"/>
    <w:link w:val="ZarkazkladnhotextuChar"/>
    <w:uiPriority w:val="99"/>
    <w:rsid w:val="00BB6463"/>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524</Words>
  <Characters>2990</Characters>
  <Application>Microsoft Office Word</Application>
  <DocSecurity>0</DocSecurity>
  <Lines>0</Lines>
  <Paragraphs>0</Paragraphs>
  <ScaleCrop>false</ScaleCrop>
  <Company>Abyss Studios, Ltd.</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koki</dc:creator>
  <cp:lastModifiedBy>Franczel Marek</cp:lastModifiedBy>
  <cp:revision>2</cp:revision>
  <cp:lastPrinted>2013-10-14T16:28:00Z</cp:lastPrinted>
  <dcterms:created xsi:type="dcterms:W3CDTF">2013-12-19T08:52:00Z</dcterms:created>
  <dcterms:modified xsi:type="dcterms:W3CDTF">2013-12-19T08:52:00Z</dcterms:modified>
</cp:coreProperties>
</file>