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2A39">
      <w:pPr>
        <w:pStyle w:val="Header"/>
        <w:tabs>
          <w:tab w:val="clear" w:pos="4536"/>
          <w:tab w:val="clear" w:pos="9072"/>
        </w:tabs>
        <w:bidi w:val="0"/>
        <w:jc w:val="center"/>
        <w:rPr>
          <w:b/>
          <w:bCs/>
          <w:sz w:val="18"/>
          <w:szCs w:val="18"/>
        </w:rPr>
      </w:pPr>
      <w:r>
        <w:rPr>
          <w:rFonts w:hint="default"/>
          <w:b/>
          <w:bCs/>
          <w:sz w:val="22"/>
          <w:szCs w:val="22"/>
        </w:rPr>
        <w:t>Tabuľ</w:t>
      </w:r>
      <w:r>
        <w:rPr>
          <w:rFonts w:hint="default"/>
          <w:b/>
          <w:bCs/>
          <w:sz w:val="22"/>
          <w:szCs w:val="22"/>
        </w:rPr>
        <w:t>ka zhody</w:t>
      </w:r>
    </w:p>
    <w:p w:rsidR="00532A39">
      <w:pPr>
        <w:pStyle w:val="Header"/>
        <w:tabs>
          <w:tab w:val="clear" w:pos="4536"/>
          <w:tab w:val="clear" w:pos="9072"/>
        </w:tabs>
        <w:bidi w:val="0"/>
        <w:jc w:val="center"/>
        <w:rPr>
          <w:b/>
          <w:bCs/>
          <w:sz w:val="18"/>
          <w:szCs w:val="18"/>
        </w:rPr>
      </w:pPr>
      <w:r>
        <w:rPr>
          <w:rFonts w:hint="default"/>
          <w:b/>
          <w:bCs/>
          <w:sz w:val="18"/>
          <w:szCs w:val="18"/>
        </w:rPr>
        <w:t>ná</w:t>
      </w:r>
      <w:r>
        <w:rPr>
          <w:rFonts w:hint="default"/>
          <w:b/>
          <w:bCs/>
          <w:sz w:val="18"/>
          <w:szCs w:val="18"/>
        </w:rPr>
        <w:t>vrhu zá</w:t>
      </w:r>
      <w:r>
        <w:rPr>
          <w:rFonts w:hint="default"/>
          <w:b/>
          <w:bCs/>
          <w:sz w:val="18"/>
          <w:szCs w:val="18"/>
        </w:rPr>
        <w:t>kona o </w:t>
      </w:r>
      <w:r>
        <w:rPr>
          <w:rFonts w:hint="default"/>
          <w:b/>
          <w:bCs/>
          <w:sz w:val="18"/>
          <w:szCs w:val="18"/>
        </w:rPr>
        <w:t>divadelnej č</w:t>
      </w:r>
      <w:r>
        <w:rPr>
          <w:rFonts w:hint="default"/>
          <w:b/>
          <w:bCs/>
          <w:sz w:val="18"/>
          <w:szCs w:val="18"/>
        </w:rPr>
        <w:t>innosti a </w:t>
      </w:r>
      <w:r>
        <w:rPr>
          <w:rFonts w:hint="default"/>
          <w:b/>
          <w:bCs/>
          <w:sz w:val="18"/>
          <w:szCs w:val="18"/>
        </w:rPr>
        <w:t>hudobnej č</w:t>
      </w:r>
      <w:r>
        <w:rPr>
          <w:rFonts w:hint="default"/>
          <w:b/>
          <w:bCs/>
          <w:sz w:val="18"/>
          <w:szCs w:val="18"/>
        </w:rPr>
        <w:t>innosti a o zmene a </w:t>
      </w:r>
      <w:r>
        <w:rPr>
          <w:rFonts w:hint="default"/>
          <w:b/>
          <w:bCs/>
          <w:sz w:val="18"/>
          <w:szCs w:val="18"/>
        </w:rPr>
        <w:t>doplnení</w:t>
      </w:r>
      <w:r>
        <w:rPr>
          <w:rFonts w:hint="default"/>
          <w:b/>
          <w:bCs/>
          <w:sz w:val="18"/>
          <w:szCs w:val="18"/>
        </w:rPr>
        <w:t xml:space="preserve"> niektorý</w:t>
      </w:r>
      <w:r>
        <w:rPr>
          <w:rFonts w:hint="default"/>
          <w:b/>
          <w:bCs/>
          <w:sz w:val="18"/>
          <w:szCs w:val="18"/>
        </w:rPr>
        <w:t>ch zá</w:t>
      </w:r>
      <w:r>
        <w:rPr>
          <w:rFonts w:hint="default"/>
          <w:b/>
          <w:bCs/>
          <w:sz w:val="18"/>
          <w:szCs w:val="18"/>
        </w:rPr>
        <w:t>konov s</w:t>
      </w:r>
      <w:r w:rsidR="000C0B8E">
        <w:rPr>
          <w:b/>
          <w:bCs/>
          <w:sz w:val="18"/>
          <w:szCs w:val="18"/>
        </w:rPr>
        <w:t> </w:t>
      </w:r>
      <w:r>
        <w:rPr>
          <w:rFonts w:hint="default"/>
          <w:b/>
          <w:bCs/>
          <w:sz w:val="18"/>
          <w:szCs w:val="18"/>
        </w:rPr>
        <w:t>prá</w:t>
      </w:r>
      <w:r>
        <w:rPr>
          <w:rFonts w:hint="default"/>
          <w:b/>
          <w:bCs/>
          <w:sz w:val="18"/>
          <w:szCs w:val="18"/>
        </w:rPr>
        <w:t>v</w:t>
      </w:r>
      <w:r w:rsidR="000C0B8E">
        <w:rPr>
          <w:rFonts w:hint="default"/>
          <w:b/>
          <w:bCs/>
          <w:sz w:val="18"/>
          <w:szCs w:val="18"/>
        </w:rPr>
        <w:t>ne zá</w:t>
      </w:r>
      <w:r w:rsidR="000C0B8E">
        <w:rPr>
          <w:rFonts w:hint="default"/>
          <w:b/>
          <w:bCs/>
          <w:sz w:val="18"/>
          <w:szCs w:val="18"/>
        </w:rPr>
        <w:t>vä</w:t>
      </w:r>
      <w:r w:rsidR="000C0B8E">
        <w:rPr>
          <w:rFonts w:hint="default"/>
          <w:b/>
          <w:bCs/>
          <w:sz w:val="18"/>
          <w:szCs w:val="18"/>
        </w:rPr>
        <w:t>zný</w:t>
      </w:r>
      <w:r w:rsidR="000C0B8E">
        <w:rPr>
          <w:rFonts w:hint="default"/>
          <w:b/>
          <w:bCs/>
          <w:sz w:val="18"/>
          <w:szCs w:val="18"/>
        </w:rPr>
        <w:t>mi aktmi Euró</w:t>
      </w:r>
      <w:r w:rsidR="000C0B8E">
        <w:rPr>
          <w:rFonts w:hint="default"/>
          <w:b/>
          <w:bCs/>
          <w:sz w:val="18"/>
          <w:szCs w:val="18"/>
        </w:rPr>
        <w:t>pskej ú</w:t>
      </w:r>
      <w:r w:rsidR="000C0B8E">
        <w:rPr>
          <w:rFonts w:hint="default"/>
          <w:b/>
          <w:bCs/>
          <w:sz w:val="18"/>
          <w:szCs w:val="18"/>
        </w:rPr>
        <w:t>nie</w:t>
      </w:r>
    </w:p>
    <w:p w:rsidR="00532A39">
      <w:pPr>
        <w:pStyle w:val="Header"/>
        <w:tabs>
          <w:tab w:val="clear" w:pos="4536"/>
          <w:tab w:val="clear" w:pos="9072"/>
        </w:tabs>
        <w:bidi w:val="0"/>
        <w:jc w:val="center"/>
        <w:rPr>
          <w:b/>
          <w:bCs/>
          <w:sz w:val="18"/>
          <w:szCs w:val="18"/>
        </w:rPr>
      </w:pPr>
    </w:p>
    <w:tbl>
      <w:tblPr>
        <w:tblStyle w:val="TableNormal"/>
        <w:tblW w:w="1400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20"/>
        <w:gridCol w:w="5040"/>
        <w:gridCol w:w="801"/>
        <w:gridCol w:w="819"/>
        <w:gridCol w:w="720"/>
        <w:gridCol w:w="4860"/>
        <w:gridCol w:w="446"/>
        <w:gridCol w:w="598"/>
      </w:tblGrid>
      <w:tr>
        <w:tblPrEx>
          <w:tblW w:w="14004" w:type="dxa"/>
          <w:tblInd w:w="-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7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7431" w:rsidP="00F93E6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E6DF3" w:rsidP="001E6DF3">
            <w:pPr>
              <w:pStyle w:val="Title"/>
              <w:keepNext w:val="0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Smernica Europskeho parlamentu a rady</w:t>
            </w:r>
            <w:r w:rsidRPr="001E6DF3" w:rsidR="00077431">
              <w:rPr>
                <w:rFonts w:ascii="Times New Roman" w:hAnsi="Times New Roman" w:cs="Times New Roman"/>
                <w:sz w:val="18"/>
                <w:szCs w:val="18"/>
              </w:rPr>
              <w:t xml:space="preserve"> 2003/88/ES</w:t>
            </w:r>
          </w:p>
          <w:p w:rsidR="00077431" w:rsidRPr="001E6DF3" w:rsidP="001E6DF3">
            <w:pPr>
              <w:pStyle w:val="Title"/>
              <w:keepNext w:val="0"/>
              <w:bidi w:val="0"/>
              <w:spacing w:before="0" w:after="0" w:line="240" w:lineRule="auto"/>
              <w:jc w:val="both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1E6DF3" w:rsidR="00E464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6DF3">
              <w:rPr>
                <w:rFonts w:ascii="Times New Roman" w:hAnsi="Times New Roman" w:cs="Times New Roman"/>
                <w:sz w:val="18"/>
                <w:szCs w:val="18"/>
              </w:rPr>
              <w:t>zo 4. novembra 2003 o </w:t>
            </w:r>
            <w:r w:rsidRPr="001E6DF3">
              <w:rPr>
                <w:rFonts w:ascii="Times New Roman" w:hAnsi="Times New Roman" w:cs="Times New Roman" w:hint="default"/>
                <w:sz w:val="18"/>
                <w:szCs w:val="18"/>
              </w:rPr>
              <w:t>niektorý</w:t>
            </w:r>
            <w:r w:rsidRPr="001E6DF3">
              <w:rPr>
                <w:rFonts w:ascii="Times New Roman" w:hAnsi="Times New Roman" w:cs="Times New Roman" w:hint="default"/>
                <w:sz w:val="18"/>
                <w:szCs w:val="18"/>
              </w:rPr>
              <w:t>ch aspektoch organizá</w:t>
            </w:r>
            <w:r w:rsidRPr="001E6DF3">
              <w:rPr>
                <w:rFonts w:ascii="Times New Roman" w:hAnsi="Times New Roman" w:cs="Times New Roman" w:hint="default"/>
                <w:sz w:val="18"/>
                <w:szCs w:val="18"/>
              </w:rPr>
              <w:t>cie pracovné</w:t>
            </w:r>
            <w:r w:rsidRPr="001E6DF3">
              <w:rPr>
                <w:rFonts w:ascii="Times New Roman" w:hAnsi="Times New Roman" w:cs="Times New Roman" w:hint="default"/>
                <w:sz w:val="18"/>
                <w:szCs w:val="18"/>
              </w:rPr>
              <w:t>ho č</w:t>
            </w:r>
            <w:r w:rsidRPr="001E6DF3">
              <w:rPr>
                <w:rFonts w:ascii="Times New Roman" w:hAnsi="Times New Roman" w:cs="Times New Roman" w:hint="default"/>
                <w:sz w:val="18"/>
                <w:szCs w:val="18"/>
              </w:rPr>
              <w:t>asu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077431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7431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7431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46441" w:rsidP="00E46441"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0" w:line="240" w:lineRule="auto"/>
              <w:jc w:val="both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rFonts w:hint="default"/>
                <w:b/>
                <w:bCs/>
                <w:sz w:val="18"/>
                <w:szCs w:val="18"/>
              </w:rPr>
              <w:t>Ná</w:t>
            </w:r>
            <w:r>
              <w:rPr>
                <w:rFonts w:hint="default"/>
                <w:b/>
                <w:bCs/>
                <w:sz w:val="18"/>
                <w:szCs w:val="18"/>
              </w:rPr>
              <w:t>vrh zá</w:t>
            </w:r>
            <w:r>
              <w:rPr>
                <w:rFonts w:hint="default"/>
                <w:b/>
                <w:bCs/>
                <w:sz w:val="18"/>
                <w:szCs w:val="18"/>
              </w:rPr>
              <w:t>kona o </w:t>
            </w:r>
            <w:r>
              <w:rPr>
                <w:rFonts w:hint="default"/>
                <w:b/>
                <w:bCs/>
                <w:sz w:val="18"/>
                <w:szCs w:val="18"/>
              </w:rPr>
              <w:t>divadelnej č</w:t>
            </w:r>
            <w:r>
              <w:rPr>
                <w:rFonts w:hint="default"/>
                <w:b/>
                <w:bCs/>
                <w:sz w:val="18"/>
                <w:szCs w:val="18"/>
              </w:rPr>
              <w:t>innosti a </w:t>
            </w:r>
            <w:r>
              <w:rPr>
                <w:rFonts w:hint="default"/>
                <w:b/>
                <w:bCs/>
                <w:sz w:val="18"/>
                <w:szCs w:val="18"/>
              </w:rPr>
              <w:t>hudobnej č</w:t>
            </w:r>
            <w:r>
              <w:rPr>
                <w:rFonts w:hint="default"/>
                <w:b/>
                <w:bCs/>
                <w:sz w:val="18"/>
                <w:szCs w:val="18"/>
              </w:rPr>
              <w:t>innosti a o zmene a </w:t>
            </w:r>
            <w:r>
              <w:rPr>
                <w:rFonts w:hint="default"/>
                <w:b/>
                <w:bCs/>
                <w:sz w:val="18"/>
                <w:szCs w:val="18"/>
              </w:rPr>
              <w:t>doplnení</w:t>
            </w:r>
            <w:r>
              <w:rPr>
                <w:rFonts w:hint="default"/>
                <w:b/>
                <w:bCs/>
                <w:sz w:val="18"/>
                <w:szCs w:val="18"/>
              </w:rPr>
              <w:t xml:space="preserve"> niektorý</w:t>
            </w:r>
            <w:r>
              <w:rPr>
                <w:rFonts w:hint="default"/>
                <w:b/>
                <w:bCs/>
                <w:sz w:val="18"/>
                <w:szCs w:val="18"/>
              </w:rPr>
              <w:t>ch zá</w:t>
            </w:r>
            <w:r>
              <w:rPr>
                <w:rFonts w:hint="default"/>
                <w:b/>
                <w:bCs/>
                <w:sz w:val="18"/>
                <w:szCs w:val="18"/>
              </w:rPr>
              <w:t>konov s </w:t>
            </w:r>
            <w:r>
              <w:rPr>
                <w:rFonts w:hint="default"/>
                <w:b/>
                <w:bCs/>
                <w:sz w:val="18"/>
                <w:szCs w:val="18"/>
              </w:rPr>
              <w:t>prá</w:t>
            </w:r>
            <w:r>
              <w:rPr>
                <w:rFonts w:hint="default"/>
                <w:b/>
                <w:bCs/>
                <w:sz w:val="18"/>
                <w:szCs w:val="18"/>
              </w:rPr>
              <w:t>vne zá</w:t>
            </w:r>
            <w:r>
              <w:rPr>
                <w:rFonts w:hint="default"/>
                <w:b/>
                <w:bCs/>
                <w:sz w:val="18"/>
                <w:szCs w:val="18"/>
              </w:rPr>
              <w:t>vä</w:t>
            </w:r>
            <w:r>
              <w:rPr>
                <w:rFonts w:hint="default"/>
                <w:b/>
                <w:bCs/>
                <w:sz w:val="18"/>
                <w:szCs w:val="18"/>
              </w:rPr>
              <w:t>zný</w:t>
            </w:r>
            <w:r>
              <w:rPr>
                <w:rFonts w:hint="default"/>
                <w:b/>
                <w:bCs/>
                <w:sz w:val="18"/>
                <w:szCs w:val="18"/>
              </w:rPr>
              <w:t>mi aktmi Euró</w:t>
            </w:r>
            <w:r>
              <w:rPr>
                <w:rFonts w:hint="default"/>
                <w:b/>
                <w:bCs/>
                <w:sz w:val="18"/>
                <w:szCs w:val="18"/>
              </w:rPr>
              <w:t>pskej ú</w:t>
            </w:r>
            <w:r>
              <w:rPr>
                <w:rFonts w:hint="default"/>
                <w:b/>
                <w:bCs/>
                <w:sz w:val="18"/>
                <w:szCs w:val="18"/>
              </w:rPr>
              <w:t>nie</w:t>
            </w:r>
          </w:p>
          <w:p w:rsidR="00E46441" w:rsidP="00E46441">
            <w:pPr>
              <w:pStyle w:val="Header"/>
              <w:tabs>
                <w:tab w:val="clear" w:pos="4536"/>
                <w:tab w:val="clear" w:pos="9072"/>
              </w:tabs>
              <w:bidi w:val="0"/>
              <w:spacing w:after="0" w:line="240" w:lineRule="auto"/>
              <w:jc w:val="both"/>
              <w:rPr>
                <w:rFonts w:hint="default"/>
                <w:b/>
                <w:bCs/>
                <w:sz w:val="18"/>
                <w:szCs w:val="18"/>
              </w:rPr>
            </w:pPr>
          </w:p>
          <w:p w:rsidR="00077431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7431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77431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4004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7"/>
        </w:trPr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 w:rsidP="00F93E6A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>
        <w:tblPrEx>
          <w:tblW w:w="14004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Č</w:t>
            </w:r>
            <w:r>
              <w:rPr>
                <w:rFonts w:hint="default"/>
                <w:sz w:val="18"/>
                <w:szCs w:val="18"/>
              </w:rPr>
              <w:t>lá</w:t>
            </w:r>
            <w:r>
              <w:rPr>
                <w:rFonts w:hint="default"/>
                <w:sz w:val="18"/>
                <w:szCs w:val="18"/>
              </w:rPr>
              <w:t>nok</w:t>
            </w:r>
          </w:p>
          <w:p w:rsidR="00FC6195">
            <w:pPr>
              <w:bidi w:val="0"/>
              <w:spacing w:after="0" w:line="240" w:lineRule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odsek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Text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Spô</w:t>
            </w:r>
            <w:r>
              <w:rPr>
                <w:rFonts w:hint="default"/>
                <w:sz w:val="18"/>
                <w:szCs w:val="18"/>
              </w:rPr>
              <w:t>sob</w:t>
            </w:r>
          </w:p>
          <w:p w:rsidR="00FC6195">
            <w:pPr>
              <w:bidi w:val="0"/>
              <w:spacing w:after="0" w:line="240" w:lineRule="auto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tr.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Čí</w:t>
            </w:r>
            <w:r>
              <w:rPr>
                <w:rFonts w:hint="default"/>
                <w:sz w:val="18"/>
                <w:szCs w:val="18"/>
              </w:rPr>
              <w:t>slo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Č</w:t>
            </w:r>
            <w:r>
              <w:rPr>
                <w:rFonts w:hint="default"/>
                <w:sz w:val="18"/>
                <w:szCs w:val="18"/>
              </w:rPr>
              <w:t>lá</w:t>
            </w:r>
            <w:r>
              <w:rPr>
                <w:rFonts w:hint="default"/>
                <w:sz w:val="18"/>
                <w:szCs w:val="18"/>
              </w:rPr>
              <w:t>nok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Text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Zho-da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bidi w:val="0"/>
              <w:spacing w:after="0" w:line="24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Po-zn.</w:t>
            </w:r>
          </w:p>
        </w:tc>
      </w:tr>
      <w:tr>
        <w:tblPrEx>
          <w:tblW w:w="14004" w:type="dxa"/>
          <w:tblInd w:w="-290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pStyle w:val="BodyText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C.17</w:t>
            </w:r>
          </w:p>
          <w:p w:rsidR="00FC6195">
            <w:pPr>
              <w:pStyle w:val="BodyText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Bold-Identity-H" w:hint="default"/>
                <w:b/>
                <w:bCs/>
                <w:sz w:val="18"/>
                <w:szCs w:val="18"/>
              </w:rPr>
            </w:pPr>
            <w:r>
              <w:rPr>
                <w:rFonts w:eastAsia="EUAlbertina-Bold-Identity-H" w:hint="default"/>
                <w:b/>
                <w:bCs/>
                <w:sz w:val="18"/>
                <w:szCs w:val="18"/>
              </w:rPr>
              <w:t>Odchý</w:t>
            </w:r>
            <w:r>
              <w:rPr>
                <w:rFonts w:eastAsia="EUAlbertina-Bold-Identity-H" w:hint="default"/>
                <w:b/>
                <w:bCs/>
                <w:sz w:val="18"/>
                <w:szCs w:val="18"/>
              </w:rPr>
              <w:t>lky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Bold-Identity-H" w:hint="default"/>
                <w:b/>
                <w:bCs/>
                <w:sz w:val="18"/>
                <w:szCs w:val="18"/>
              </w:rPr>
            </w:pP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1. Pri zachovaní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ná</w:t>
            </w:r>
            <w:r>
              <w:rPr>
                <w:rFonts w:eastAsia="EUAlbertina-Regular-Identity-H" w:hint="default"/>
                <w:sz w:val="18"/>
                <w:szCs w:val="18"/>
              </w:rPr>
              <w:t>lež</w:t>
            </w:r>
            <w:r>
              <w:rPr>
                <w:rFonts w:eastAsia="EUAlbertina-Regular-Identity-H" w:hint="default"/>
                <w:sz w:val="18"/>
                <w:szCs w:val="18"/>
              </w:rPr>
              <w:t>ité</w:t>
            </w:r>
            <w:r>
              <w:rPr>
                <w:rFonts w:eastAsia="EUAlbertina-Regular-Identity-H" w:hint="default"/>
                <w:sz w:val="18"/>
                <w:szCs w:val="18"/>
              </w:rPr>
              <w:t>ho zreteľ</w:t>
            </w:r>
            <w:r>
              <w:rPr>
                <w:rFonts w:eastAsia="EUAlbertina-Regular-Identity-H" w:hint="default"/>
                <w:sz w:val="18"/>
                <w:szCs w:val="18"/>
              </w:rPr>
              <w:t>a na vš</w:t>
            </w:r>
            <w:r>
              <w:rPr>
                <w:rFonts w:eastAsia="EUAlbertina-Regular-Identity-H" w:hint="default"/>
                <w:sz w:val="18"/>
                <w:szCs w:val="18"/>
              </w:rPr>
              <w:t>eobecné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zá</w:t>
            </w:r>
            <w:r>
              <w:rPr>
                <w:rFonts w:eastAsia="EUAlbertina-Regular-Identity-H" w:hint="default"/>
                <w:sz w:val="18"/>
                <w:szCs w:val="18"/>
              </w:rPr>
              <w:t>sady ochrany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bezpeč</w:t>
            </w:r>
            <w:r>
              <w:rPr>
                <w:rFonts w:eastAsia="EUAlbertina-Regular-Identity-H" w:hint="default"/>
                <w:sz w:val="18"/>
                <w:szCs w:val="18"/>
              </w:rPr>
              <w:t>nosti a zdravia pracovní</w:t>
            </w:r>
            <w:r>
              <w:rPr>
                <w:rFonts w:eastAsia="EUAlbertina-Regular-Identity-H" w:hint="default"/>
                <w:sz w:val="18"/>
                <w:szCs w:val="18"/>
              </w:rPr>
              <w:t>kov sa č</w:t>
            </w:r>
            <w:r>
              <w:rPr>
                <w:rFonts w:eastAsia="EUAlbertina-Regular-Identity-H" w:hint="default"/>
                <w:sz w:val="18"/>
                <w:szCs w:val="18"/>
              </w:rPr>
              <w:t>lenské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š</w:t>
            </w:r>
            <w:r>
              <w:rPr>
                <w:rFonts w:eastAsia="EUAlbertina-Regular-Identity-H" w:hint="default"/>
                <w:sz w:val="18"/>
                <w:szCs w:val="18"/>
              </w:rPr>
              <w:t>tá</w:t>
            </w:r>
            <w:r>
              <w:rPr>
                <w:rFonts w:eastAsia="EUAlbertina-Regular-Identity-H" w:hint="default"/>
                <w:sz w:val="18"/>
                <w:szCs w:val="18"/>
              </w:rPr>
              <w:t>ty môž</w:t>
            </w:r>
            <w:r>
              <w:rPr>
                <w:rFonts w:eastAsia="EUAlbertina-Regular-Identity-H" w:hint="default"/>
                <w:sz w:val="18"/>
                <w:szCs w:val="18"/>
              </w:rPr>
              <w:t>u odchý</w:t>
            </w:r>
            <w:r>
              <w:rPr>
                <w:rFonts w:eastAsia="EUAlbertina-Regular-Identity-H" w:hint="default"/>
                <w:sz w:val="18"/>
                <w:szCs w:val="18"/>
              </w:rPr>
              <w:t>liť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od uplatň</w:t>
            </w:r>
            <w:r>
              <w:rPr>
                <w:rFonts w:eastAsia="EUAlbertina-Regular-Identity-H" w:hint="default"/>
                <w:sz w:val="18"/>
                <w:szCs w:val="18"/>
              </w:rPr>
              <w:t>ovania č</w:t>
            </w:r>
            <w:r>
              <w:rPr>
                <w:rFonts w:eastAsia="EUAlbertina-Regular-Identity-H" w:hint="default"/>
                <w:sz w:val="18"/>
                <w:szCs w:val="18"/>
              </w:rPr>
              <w:t>lá</w:t>
            </w:r>
            <w:r>
              <w:rPr>
                <w:rFonts w:eastAsia="EUAlbertina-Regular-Identity-H" w:hint="default"/>
                <w:sz w:val="18"/>
                <w:szCs w:val="18"/>
              </w:rPr>
              <w:t>nkov 3 až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6, 8 a 16, keď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vzhľ</w:t>
            </w:r>
            <w:r>
              <w:rPr>
                <w:rFonts w:eastAsia="EUAlbertina-Regular-Identity-H" w:hint="default"/>
                <w:sz w:val="18"/>
                <w:szCs w:val="18"/>
              </w:rPr>
              <w:t>adom na osobitnú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povahu prí</w:t>
            </w:r>
            <w:r>
              <w:rPr>
                <w:rFonts w:eastAsia="EUAlbertina-Regular-Identity-H" w:hint="default"/>
                <w:sz w:val="18"/>
                <w:szCs w:val="18"/>
              </w:rPr>
              <w:t>sluš</w:t>
            </w:r>
            <w:r>
              <w:rPr>
                <w:rFonts w:eastAsia="EUAlbertina-Regular-Identity-H" w:hint="default"/>
                <w:sz w:val="18"/>
                <w:szCs w:val="18"/>
              </w:rPr>
              <w:t>ný</w:t>
            </w:r>
            <w:r>
              <w:rPr>
                <w:rFonts w:eastAsia="EUAlbertina-Regular-Identity-H" w:hint="default"/>
                <w:sz w:val="18"/>
                <w:szCs w:val="18"/>
              </w:rPr>
              <w:t>ch č</w:t>
            </w:r>
            <w:r>
              <w:rPr>
                <w:rFonts w:eastAsia="EUAlbertina-Regular-Identity-H" w:hint="default"/>
                <w:sz w:val="18"/>
                <w:szCs w:val="18"/>
              </w:rPr>
              <w:t>inností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sa trvanie pracovné</w:t>
            </w:r>
            <w:r>
              <w:rPr>
                <w:rFonts w:eastAsia="EUAlbertina-Regular-Identity-H" w:hint="default"/>
                <w:sz w:val="18"/>
                <w:szCs w:val="18"/>
              </w:rPr>
              <w:t>ho č</w:t>
            </w:r>
            <w:r>
              <w:rPr>
                <w:rFonts w:eastAsia="EUAlbertina-Regular-Identity-H" w:hint="default"/>
                <w:sz w:val="18"/>
                <w:szCs w:val="18"/>
              </w:rPr>
              <w:t>asu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nemeria a/alebo nie je vopred ur</w:t>
            </w:r>
            <w:r>
              <w:rPr>
                <w:rFonts w:eastAsia="EUAlbertina-Regular-Identity-H" w:hint="default"/>
                <w:sz w:val="18"/>
                <w:szCs w:val="18"/>
              </w:rPr>
              <w:t>č</w:t>
            </w:r>
            <w:r>
              <w:rPr>
                <w:rFonts w:eastAsia="EUAlbertina-Regular-Identity-H" w:hint="default"/>
                <w:sz w:val="18"/>
                <w:szCs w:val="18"/>
              </w:rPr>
              <w:t>ené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alebo si ho môž</w:t>
            </w:r>
            <w:r>
              <w:rPr>
                <w:rFonts w:eastAsia="EUAlbertina-Regular-Identity-H" w:hint="default"/>
                <w:sz w:val="18"/>
                <w:szCs w:val="18"/>
              </w:rPr>
              <w:t>u urč</w:t>
            </w:r>
            <w:r>
              <w:rPr>
                <w:rFonts w:eastAsia="EUAlbertina-Regular-Identity-H" w:hint="default"/>
                <w:sz w:val="18"/>
                <w:szCs w:val="18"/>
              </w:rPr>
              <w:t>iť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sami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pracovní</w:t>
            </w:r>
            <w:r>
              <w:rPr>
                <w:rFonts w:eastAsia="EUAlbertina-Regular-Identity-H" w:hint="default"/>
                <w:sz w:val="18"/>
                <w:szCs w:val="18"/>
              </w:rPr>
              <w:t>ci a najmä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v prí</w:t>
            </w:r>
            <w:r>
              <w:rPr>
                <w:rFonts w:eastAsia="EUAlbertina-Regular-Identity-H" w:hint="default"/>
                <w:sz w:val="18"/>
                <w:szCs w:val="18"/>
              </w:rPr>
              <w:t>pade: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a) vrcholový</w:t>
            </w:r>
            <w:r>
              <w:rPr>
                <w:rFonts w:eastAsia="EUAlbertina-Regular-Identity-H" w:hint="default"/>
                <w:sz w:val="18"/>
                <w:szCs w:val="18"/>
              </w:rPr>
              <w:t>ch riadiacich pracovní</w:t>
            </w:r>
            <w:r>
              <w:rPr>
                <w:rFonts w:eastAsia="EUAlbertina-Regular-Identity-H" w:hint="default"/>
                <w:sz w:val="18"/>
                <w:szCs w:val="18"/>
              </w:rPr>
              <w:t>kov alebo iný</w:t>
            </w:r>
            <w:r>
              <w:rPr>
                <w:rFonts w:eastAsia="EUAlbertina-Regular-Identity-H" w:hint="default"/>
                <w:sz w:val="18"/>
                <w:szCs w:val="18"/>
              </w:rPr>
              <w:t>ch osô</w:t>
            </w:r>
            <w:r>
              <w:rPr>
                <w:rFonts w:eastAsia="EUAlbertina-Regular-Identity-H" w:hint="default"/>
                <w:sz w:val="18"/>
                <w:szCs w:val="18"/>
              </w:rPr>
              <w:t>b s prá</w:t>
            </w:r>
            <w:r>
              <w:rPr>
                <w:rFonts w:eastAsia="EUAlbertina-Regular-Identity-H" w:hint="default"/>
                <w:sz w:val="18"/>
                <w:szCs w:val="18"/>
              </w:rPr>
              <w:t>vomocou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nezá</w:t>
            </w:r>
            <w:r>
              <w:rPr>
                <w:rFonts w:eastAsia="EUAlbertina-Regular-Identity-H" w:hint="default"/>
                <w:sz w:val="18"/>
                <w:szCs w:val="18"/>
              </w:rPr>
              <w:t>vislé</w:t>
            </w:r>
            <w:r>
              <w:rPr>
                <w:rFonts w:eastAsia="EUAlbertina-Regular-Identity-H" w:hint="default"/>
                <w:sz w:val="18"/>
                <w:szCs w:val="18"/>
              </w:rPr>
              <w:t>ho rozhodovania;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b) rodinný</w:t>
            </w:r>
            <w:r>
              <w:rPr>
                <w:rFonts w:eastAsia="EUAlbertina-Regular-Identity-H" w:hint="default"/>
                <w:sz w:val="18"/>
                <w:szCs w:val="18"/>
              </w:rPr>
              <w:t>ch pracovní</w:t>
            </w:r>
            <w:r>
              <w:rPr>
                <w:rFonts w:eastAsia="EUAlbertina-Regular-Identity-H" w:hint="default"/>
                <w:sz w:val="18"/>
                <w:szCs w:val="18"/>
              </w:rPr>
              <w:t>kov alebo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c) pracovní</w:t>
            </w:r>
            <w:r>
              <w:rPr>
                <w:rFonts w:eastAsia="EUAlbertina-Regular-Identity-H" w:hint="default"/>
                <w:sz w:val="18"/>
                <w:szCs w:val="18"/>
              </w:rPr>
              <w:t>kov slúž</w:t>
            </w:r>
            <w:r>
              <w:rPr>
                <w:rFonts w:eastAsia="EUAlbertina-Regular-Identity-H" w:hint="default"/>
                <w:sz w:val="18"/>
                <w:szCs w:val="18"/>
              </w:rPr>
              <w:t>iacich ná</w:t>
            </w:r>
            <w:r>
              <w:rPr>
                <w:rFonts w:eastAsia="EUAlbertina-Regular-Identity-H" w:hint="default"/>
                <w:sz w:val="18"/>
                <w:szCs w:val="18"/>
              </w:rPr>
              <w:t>bož</w:t>
            </w:r>
            <w:r>
              <w:rPr>
                <w:rFonts w:eastAsia="EUAlbertina-Regular-Identity-H" w:hint="default"/>
                <w:sz w:val="18"/>
                <w:szCs w:val="18"/>
              </w:rPr>
              <w:t>enské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obrady v kostoloch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a ná</w:t>
            </w:r>
            <w:r>
              <w:rPr>
                <w:rFonts w:eastAsia="EUAlbertina-Regular-Identity-H" w:hint="default"/>
                <w:sz w:val="18"/>
                <w:szCs w:val="18"/>
              </w:rPr>
              <w:t>bož</w:t>
            </w:r>
            <w:r>
              <w:rPr>
                <w:rFonts w:eastAsia="EUAlbertina-Regular-Identity-H" w:hint="default"/>
                <w:sz w:val="18"/>
                <w:szCs w:val="18"/>
              </w:rPr>
              <w:t>enský</w:t>
            </w:r>
            <w:r>
              <w:rPr>
                <w:rFonts w:eastAsia="EUAlbertina-Regular-Identity-H" w:hint="default"/>
                <w:sz w:val="18"/>
                <w:szCs w:val="18"/>
              </w:rPr>
              <w:t>ch spoloč</w:t>
            </w:r>
            <w:r>
              <w:rPr>
                <w:rFonts w:eastAsia="EUAlbertina-Regular-Identity-H" w:hint="default"/>
                <w:sz w:val="18"/>
                <w:szCs w:val="18"/>
              </w:rPr>
              <w:t>enstvá</w:t>
            </w:r>
            <w:r>
              <w:rPr>
                <w:rFonts w:eastAsia="EUAlbertina-Regular-Identity-H" w:hint="default"/>
                <w:sz w:val="18"/>
                <w:szCs w:val="18"/>
              </w:rPr>
              <w:t>ch.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2. Odchý</w:t>
            </w:r>
            <w:r>
              <w:rPr>
                <w:rFonts w:eastAsia="EUAlbertina-Regular-Identity-H" w:hint="default"/>
                <w:sz w:val="18"/>
                <w:szCs w:val="18"/>
              </w:rPr>
              <w:t>lky uvedené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v odsekoch 3, 4 a 5 sa môž</w:t>
            </w:r>
            <w:r>
              <w:rPr>
                <w:rFonts w:eastAsia="EUAlbertina-Regular-Identity-H" w:hint="default"/>
                <w:sz w:val="18"/>
                <w:szCs w:val="18"/>
              </w:rPr>
              <w:t>u prijať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prostrední</w:t>
            </w:r>
            <w:r>
              <w:rPr>
                <w:rFonts w:eastAsia="EUAlbertina-Regular-Identity-H" w:hint="default"/>
                <w:sz w:val="18"/>
                <w:szCs w:val="18"/>
              </w:rPr>
              <w:t>ctvom zá</w:t>
            </w:r>
            <w:r>
              <w:rPr>
                <w:rFonts w:eastAsia="EUAlbertina-Regular-Identity-H" w:hint="default"/>
                <w:sz w:val="18"/>
                <w:szCs w:val="18"/>
              </w:rPr>
              <w:t>konov, iný</w:t>
            </w:r>
            <w:r>
              <w:rPr>
                <w:rFonts w:eastAsia="EUAlbertina-Regular-Identity-H" w:hint="default"/>
                <w:sz w:val="18"/>
                <w:szCs w:val="18"/>
              </w:rPr>
              <w:t>ch prá</w:t>
            </w:r>
            <w:r>
              <w:rPr>
                <w:rFonts w:eastAsia="EUAlbertina-Regular-Identity-H" w:hint="default"/>
                <w:sz w:val="18"/>
                <w:szCs w:val="18"/>
              </w:rPr>
              <w:t>vnych predpisov alebo sprá</w:t>
            </w:r>
            <w:r>
              <w:rPr>
                <w:rFonts w:eastAsia="EUAlbertina-Regular-Identity-H" w:hint="default"/>
                <w:sz w:val="18"/>
                <w:szCs w:val="18"/>
              </w:rPr>
              <w:t>vnych opatrení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alebo prostrední</w:t>
            </w:r>
            <w:r>
              <w:rPr>
                <w:rFonts w:eastAsia="EUAlbertina-Regular-Identity-H" w:hint="default"/>
                <w:sz w:val="18"/>
                <w:szCs w:val="18"/>
              </w:rPr>
              <w:t>ctvom kolektí</w:t>
            </w:r>
            <w:r>
              <w:rPr>
                <w:rFonts w:eastAsia="EUAlbertina-Regular-Identity-H" w:hint="default"/>
                <w:sz w:val="18"/>
                <w:szCs w:val="18"/>
              </w:rPr>
              <w:t>vnych zmlú</w:t>
            </w:r>
            <w:r>
              <w:rPr>
                <w:rFonts w:eastAsia="EUAlbertina-Regular-Identity-H" w:hint="default"/>
                <w:sz w:val="18"/>
                <w:szCs w:val="18"/>
              </w:rPr>
              <w:t>v alebo dohô</w:t>
            </w:r>
            <w:r>
              <w:rPr>
                <w:rFonts w:eastAsia="EUAlbertina-Regular-Identity-H" w:hint="default"/>
                <w:sz w:val="18"/>
                <w:szCs w:val="18"/>
              </w:rPr>
              <w:t>d medzi sociá</w:t>
            </w:r>
            <w:r>
              <w:rPr>
                <w:rFonts w:eastAsia="EUAlbertina-Regular-Identity-H" w:hint="default"/>
                <w:sz w:val="18"/>
                <w:szCs w:val="18"/>
              </w:rPr>
              <w:t>lnymi partnermi za predpokladu, ž</w:t>
            </w:r>
            <w:r>
              <w:rPr>
                <w:rFonts w:eastAsia="EUAlbertina-Regular-Identity-H" w:hint="default"/>
                <w:sz w:val="18"/>
                <w:szCs w:val="18"/>
              </w:rPr>
              <w:t>e prí</w:t>
            </w:r>
            <w:r>
              <w:rPr>
                <w:rFonts w:eastAsia="EUAlbertina-Regular-Identity-H" w:hint="default"/>
                <w:sz w:val="18"/>
                <w:szCs w:val="18"/>
              </w:rPr>
              <w:t>sluš</w:t>
            </w:r>
            <w:r>
              <w:rPr>
                <w:rFonts w:eastAsia="EUAlbertina-Regular-Identity-H" w:hint="default"/>
                <w:sz w:val="18"/>
                <w:szCs w:val="18"/>
              </w:rPr>
              <w:t>ný</w:t>
            </w:r>
            <w:r>
              <w:rPr>
                <w:rFonts w:eastAsia="EUAlbertina-Regular-Identity-H" w:hint="default"/>
                <w:sz w:val="18"/>
                <w:szCs w:val="18"/>
              </w:rPr>
              <w:t>m pracovní</w:t>
            </w:r>
            <w:r>
              <w:rPr>
                <w:rFonts w:eastAsia="EUAlbertina-Regular-Identity-H" w:hint="default"/>
                <w:sz w:val="18"/>
                <w:szCs w:val="18"/>
              </w:rPr>
              <w:t>kom sa poskytne rovnocenný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ná</w:t>
            </w:r>
            <w:r>
              <w:rPr>
                <w:rFonts w:eastAsia="EUAlbertina-Regular-Identity-H" w:hint="default"/>
                <w:sz w:val="18"/>
                <w:szCs w:val="18"/>
              </w:rPr>
              <w:t>hradný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č</w:t>
            </w:r>
            <w:r>
              <w:rPr>
                <w:rFonts w:eastAsia="EUAlbertina-Regular-Identity-H" w:hint="default"/>
                <w:sz w:val="18"/>
                <w:szCs w:val="18"/>
              </w:rPr>
              <w:t>as odpoč</w:t>
            </w:r>
            <w:r>
              <w:rPr>
                <w:rFonts w:eastAsia="EUAlbertina-Regular-Identity-H" w:hint="default"/>
                <w:sz w:val="18"/>
                <w:szCs w:val="18"/>
              </w:rPr>
              <w:t>inku alebo ž</w:t>
            </w:r>
            <w:r>
              <w:rPr>
                <w:rFonts w:eastAsia="EUAlbertina-Regular-Identity-H" w:hint="default"/>
                <w:sz w:val="18"/>
                <w:szCs w:val="18"/>
              </w:rPr>
              <w:t>e vo vý</w:t>
            </w:r>
            <w:r>
              <w:rPr>
                <w:rFonts w:eastAsia="EUAlbertina-Regular-Identity-H" w:hint="default"/>
                <w:sz w:val="18"/>
                <w:szCs w:val="18"/>
              </w:rPr>
              <w:t>nimoč</w:t>
            </w:r>
            <w:r>
              <w:rPr>
                <w:rFonts w:eastAsia="EUAlbertina-Regular-Identity-H" w:hint="default"/>
                <w:sz w:val="18"/>
                <w:szCs w:val="18"/>
              </w:rPr>
              <w:t>ný</w:t>
            </w:r>
            <w:r>
              <w:rPr>
                <w:rFonts w:eastAsia="EUAlbertina-Regular-Identity-H" w:hint="default"/>
                <w:sz w:val="18"/>
                <w:szCs w:val="18"/>
              </w:rPr>
              <w:t>ch prí</w:t>
            </w:r>
            <w:r>
              <w:rPr>
                <w:rFonts w:eastAsia="EUAlbertina-Regular-Identity-H" w:hint="default"/>
                <w:sz w:val="18"/>
                <w:szCs w:val="18"/>
              </w:rPr>
              <w:t>padoch, keď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nie je z </w:t>
            </w:r>
            <w:r>
              <w:rPr>
                <w:rFonts w:eastAsia="EUAlbertina-Regular-Identity-H" w:hint="default"/>
                <w:sz w:val="18"/>
                <w:szCs w:val="18"/>
              </w:rPr>
              <w:t>objektí</w:t>
            </w:r>
            <w:r>
              <w:rPr>
                <w:rFonts w:eastAsia="EUAlbertina-Regular-Identity-H" w:hint="default"/>
                <w:sz w:val="18"/>
                <w:szCs w:val="18"/>
              </w:rPr>
              <w:t>vnych dô</w:t>
            </w:r>
            <w:r>
              <w:rPr>
                <w:rFonts w:eastAsia="EUAlbertina-Regular-Identity-H" w:hint="default"/>
                <w:sz w:val="18"/>
                <w:szCs w:val="18"/>
              </w:rPr>
              <w:t>vodov mož</w:t>
            </w:r>
            <w:r>
              <w:rPr>
                <w:rFonts w:eastAsia="EUAlbertina-Regular-Identity-H" w:hint="default"/>
                <w:sz w:val="18"/>
                <w:szCs w:val="18"/>
              </w:rPr>
              <w:t>né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poskytnúť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rovnocenný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ná</w:t>
            </w:r>
            <w:r>
              <w:rPr>
                <w:rFonts w:eastAsia="EUAlbertina-Regular-Identity-H" w:hint="default"/>
                <w:sz w:val="18"/>
                <w:szCs w:val="18"/>
              </w:rPr>
              <w:t>hradný</w:t>
            </w:r>
            <w:r>
              <w:rPr>
                <w:rFonts w:eastAsia="EUAlbertina-Regular-Identity-H" w:hint="default"/>
                <w:sz w:val="18"/>
                <w:szCs w:val="18"/>
              </w:rPr>
              <w:t xml:space="preserve"> č</w:t>
            </w:r>
            <w:r>
              <w:rPr>
                <w:rFonts w:eastAsia="EUAlbertina-Regular-Identity-H" w:hint="default"/>
                <w:sz w:val="18"/>
                <w:szCs w:val="18"/>
              </w:rPr>
              <w:t>as odpoč</w:t>
            </w:r>
            <w:r>
              <w:rPr>
                <w:rFonts w:eastAsia="EUAlbertina-Regular-Identity-H" w:hint="default"/>
                <w:sz w:val="18"/>
                <w:szCs w:val="18"/>
              </w:rPr>
              <w:t>inku, sa dotknutý</w:t>
            </w:r>
            <w:r>
              <w:rPr>
                <w:rFonts w:eastAsia="EUAlbertina-Regular-Identity-H" w:hint="default"/>
                <w:sz w:val="18"/>
                <w:szCs w:val="18"/>
              </w:rPr>
              <w:t>m pracovní</w:t>
            </w:r>
            <w:r>
              <w:rPr>
                <w:rFonts w:eastAsia="EUAlbertina-Regular-Identity-H" w:hint="default"/>
                <w:sz w:val="18"/>
                <w:szCs w:val="18"/>
              </w:rPr>
              <w:t>kom poskytne primeraná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Regular-Identity-H" w:hint="default"/>
                <w:sz w:val="18"/>
                <w:szCs w:val="18"/>
              </w:rPr>
            </w:pPr>
            <w:r>
              <w:rPr>
                <w:rFonts w:eastAsia="EUAlbertina-Regular-Identity-H" w:hint="default"/>
                <w:sz w:val="18"/>
                <w:szCs w:val="18"/>
              </w:rPr>
              <w:t>ochrana.</w:t>
            </w:r>
          </w:p>
          <w:p w:rsidR="00FC619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eastAsia="EUAlbertina-Italic-Identity-H"/>
                <w:sz w:val="18"/>
                <w:szCs w:val="18"/>
              </w:rPr>
            </w:pPr>
          </w:p>
          <w:p w:rsidR="00FC6195">
            <w:pPr>
              <w:pStyle w:val="J-formtdokumentu"/>
              <w:tabs>
                <w:tab w:val="left" w:pos="279"/>
                <w:tab w:val="left" w:pos="704"/>
              </w:tabs>
              <w:bidi w:val="0"/>
              <w:spacing w:before="0" w:after="0" w:line="240" w:lineRule="auto"/>
              <w:ind w:left="1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extDirection w:val="lrTb"/>
            <w:vAlign w:val="top"/>
          </w:tcPr>
          <w:p w:rsidR="00FC6195">
            <w:pPr>
              <w:pStyle w:val="BodyText"/>
              <w:bidi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Ná</w:t>
            </w:r>
            <w:r>
              <w:rPr>
                <w:rFonts w:hint="default"/>
                <w:sz w:val="18"/>
                <w:szCs w:val="18"/>
              </w:rPr>
              <w:t xml:space="preserve">vrh NR SR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 w:rsidP="00DB4AB5">
            <w:pPr>
              <w:pStyle w:val="BodyText"/>
              <w:bidi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56FF0">
              <w:rPr>
                <w:rFonts w:hint="default"/>
                <w:bCs/>
                <w:sz w:val="18"/>
                <w:szCs w:val="18"/>
              </w:rPr>
              <w:t>§</w:t>
            </w:r>
            <w:r w:rsidRPr="00B56FF0">
              <w:rPr>
                <w:rFonts w:hint="default"/>
                <w:bCs/>
                <w:sz w:val="18"/>
                <w:szCs w:val="18"/>
              </w:rPr>
              <w:t xml:space="preserve"> 11</w:t>
            </w:r>
          </w:p>
          <w:p w:rsidR="00FC6195" w:rsidRPr="00B56FF0" w:rsidP="00DB4AB5">
            <w:pPr>
              <w:pStyle w:val="BodyText"/>
              <w:bidi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B56FF0">
              <w:rPr>
                <w:bCs/>
                <w:sz w:val="18"/>
                <w:szCs w:val="18"/>
              </w:rPr>
              <w:t xml:space="preserve">o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 w:rsidRPr="00527C83">
            <w:pPr>
              <w:bidi w:val="0"/>
              <w:spacing w:after="0" w:line="240" w:lineRule="auto"/>
              <w:ind w:right="-648" w:firstLine="360"/>
              <w:jc w:val="center"/>
              <w:rPr>
                <w:rFonts w:hint="default"/>
                <w:b/>
                <w:bCs/>
                <w:color w:val="003300"/>
                <w:sz w:val="18"/>
                <w:szCs w:val="18"/>
              </w:rPr>
            </w:pPr>
            <w:r w:rsidRPr="00527C83">
              <w:rPr>
                <w:rFonts w:hint="default"/>
                <w:b/>
                <w:bCs/>
                <w:color w:val="003300"/>
                <w:sz w:val="18"/>
                <w:szCs w:val="18"/>
              </w:rPr>
              <w:t>§</w:t>
            </w:r>
            <w:r w:rsidRPr="00527C83">
              <w:rPr>
                <w:rFonts w:hint="default"/>
                <w:b/>
                <w:bCs/>
                <w:color w:val="003300"/>
                <w:sz w:val="18"/>
                <w:szCs w:val="18"/>
              </w:rPr>
              <w:t xml:space="preserve"> 11 </w:t>
            </w:r>
          </w:p>
          <w:p w:rsidR="00FC6195" w:rsidRPr="00527C83" w:rsidP="001350CB">
            <w:pPr>
              <w:pStyle w:val="ListParagraph"/>
              <w:bidi w:val="0"/>
              <w:spacing w:after="0" w:line="240" w:lineRule="auto"/>
              <w:ind w:left="0"/>
              <w:jc w:val="both"/>
              <w:rPr>
                <w:rFonts w:ascii="Times New Roman" w:hAnsi="Times New Roman" w:cs="Times New Roman" w:hint="default"/>
                <w:sz w:val="18"/>
                <w:szCs w:val="18"/>
              </w:rPr>
            </w:pP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(3) Ak povaha prá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ce alebo podmienky prevá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dzky neumožň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ujú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rozvrhnúť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pracovný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č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as podľ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a osobitné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ho predpisu,</w:t>
            </w:r>
            <w:r w:rsidRPr="00527C8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5)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zamestná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vateľ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môž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e zamestnancovi starš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iemu ako 18 rokov, ktorý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je divadelný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m umelcom alebo hudobný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m umelcom, po dohode so zá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stupcami zamestnancov, alebo ak u zamestná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vateľ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a nepô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sobia zá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stupcovia zamestnancov, po dohode s 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tý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mto zamestnancom, rozvrhnúť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pracovný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č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as tak, aby mal raz za 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tyri týž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dne najmenej dva po sebe nasledujú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ce dni nepretrž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ité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ho odpoč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inku; zamestná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vateľ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je pov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i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nný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poskytnúť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zamestnancovi ná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hradný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nepretrž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itý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 xml:space="preserve"> odpoč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inok v 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týž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dni do zač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iatku hromadné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ho č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erpania dovolenky, najneskô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r vš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ak do 12 mesiacov, odkedy sa mal odpoč</w:t>
            </w:r>
            <w:r w:rsidRPr="00527C83">
              <w:rPr>
                <w:rFonts w:ascii="Times New Roman" w:hAnsi="Times New Roman" w:cs="Times New Roman" w:hint="default"/>
                <w:sz w:val="18"/>
                <w:szCs w:val="18"/>
              </w:rPr>
              <w:t>inok poskytnúť.</w:t>
            </w:r>
          </w:p>
          <w:p w:rsidR="00FC6195" w:rsidRPr="00C411F7">
            <w:pPr>
              <w:bidi w:val="0"/>
              <w:spacing w:after="0" w:line="240" w:lineRule="auto"/>
              <w:ind w:right="-648"/>
              <w:jc w:val="both"/>
              <w:rPr>
                <w:color w:val="003300"/>
                <w:sz w:val="22"/>
                <w:szCs w:val="22"/>
              </w:rPr>
            </w:pPr>
          </w:p>
          <w:p w:rsidR="00FC6195" w:rsidRPr="007A429A" w:rsidP="00255EF3">
            <w:pPr>
              <w:bidi w:val="0"/>
              <w:spacing w:after="0" w:line="240" w:lineRule="auto"/>
              <w:ind w:right="70"/>
              <w:jc w:val="both"/>
            </w:pPr>
            <w:r w:rsidRPr="007A429A">
              <w:rPr>
                <w:rFonts w:hint="default"/>
                <w:vertAlign w:val="superscript"/>
              </w:rPr>
              <w:t>5) §</w:t>
            </w:r>
            <w:r w:rsidRPr="007A429A">
              <w:rPr>
                <w:rFonts w:hint="default"/>
                <w:vertAlign w:val="superscript"/>
              </w:rPr>
              <w:t xml:space="preserve"> 93 Zá</w:t>
            </w:r>
            <w:r w:rsidRPr="007A429A">
              <w:rPr>
                <w:rFonts w:hint="default"/>
                <w:vertAlign w:val="superscript"/>
              </w:rPr>
              <w:t>konní</w:t>
            </w:r>
            <w:r w:rsidRPr="007A429A">
              <w:rPr>
                <w:rFonts w:hint="default"/>
                <w:vertAlign w:val="superscript"/>
              </w:rPr>
              <w:t>ka prá</w:t>
            </w:r>
            <w:r w:rsidRPr="007A429A">
              <w:rPr>
                <w:rFonts w:hint="default"/>
                <w:vertAlign w:val="superscript"/>
              </w:rPr>
              <w:t>ce v </w:t>
            </w:r>
            <w:r w:rsidRPr="007A429A">
              <w:rPr>
                <w:rFonts w:hint="default"/>
                <w:vertAlign w:val="superscript"/>
              </w:rPr>
              <w:t>znení</w:t>
            </w:r>
            <w:r w:rsidRPr="007A429A">
              <w:rPr>
                <w:rFonts w:hint="default"/>
                <w:vertAlign w:val="superscript"/>
              </w:rPr>
              <w:t xml:space="preserve"> neskorší</w:t>
            </w:r>
            <w:r w:rsidRPr="007A429A">
              <w:rPr>
                <w:rFonts w:hint="default"/>
                <w:vertAlign w:val="superscript"/>
              </w:rPr>
              <w:t>ch predpisov.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pStyle w:val="BodyText"/>
              <w:bidi w:val="0"/>
              <w:spacing w:after="0" w:line="240" w:lineRule="auto"/>
              <w:jc w:val="center"/>
              <w:rPr>
                <w:rFonts w:hint="default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</w:rPr>
              <w:t>Ú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C6195">
            <w:pPr>
              <w:pStyle w:val="BodyText"/>
              <w:bidi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532A39">
      <w:pPr>
        <w:pStyle w:val="Header"/>
        <w:tabs>
          <w:tab w:val="clear" w:pos="4536"/>
          <w:tab w:val="clear" w:pos="9072"/>
        </w:tabs>
        <w:bidi w:val="0"/>
        <w:jc w:val="center"/>
        <w:rPr>
          <w:b/>
          <w:bCs/>
          <w:sz w:val="22"/>
          <w:szCs w:val="22"/>
        </w:rPr>
      </w:pPr>
    </w:p>
    <w:p w:rsidR="00532A39">
      <w:pPr>
        <w:bidi w:val="0"/>
        <w:jc w:val="both"/>
        <w:rPr>
          <w:sz w:val="22"/>
          <w:szCs w:val="22"/>
        </w:rPr>
      </w:pPr>
    </w:p>
    <w:sectPr>
      <w:footerReference w:type="default" r:id="rId5"/>
      <w:pgSz w:w="16838" w:h="11906" w:orient="landscape" w:code="9"/>
      <w:pgMar w:top="1418" w:right="1418" w:bottom="141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Regular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Italic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Bold-Identity-H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Italic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6B7">
    <w:pPr>
      <w:pStyle w:val="Footer"/>
      <w:framePr w:vAnchor="text" w:hAnchor="margin" w:xAlign="center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786D">
      <w:rPr>
        <w:rStyle w:val="PageNumber"/>
        <w:noProof/>
      </w:rPr>
      <w:t>1</w:t>
    </w:r>
    <w:r>
      <w:rPr>
        <w:rStyle w:val="PageNumber"/>
      </w:rPr>
      <w:fldChar w:fldCharType="end"/>
    </w:r>
  </w:p>
  <w:p w:rsidR="004616B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3BBF"/>
    <w:multiLevelType w:val="singleLevel"/>
    <w:tmpl w:val="F4BC82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32970AF"/>
    <w:multiLevelType w:val="singleLevel"/>
    <w:tmpl w:val="4B4407E4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Times New Roman"/>
        <w:rtl w:val="0"/>
        <w:cs w:val="0"/>
      </w:rPr>
    </w:lvl>
  </w:abstractNum>
  <w:abstractNum w:abstractNumId="2">
    <w:nsid w:val="135C75D9"/>
    <w:multiLevelType w:val="singleLevel"/>
    <w:tmpl w:val="51FEEC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">
    <w:nsid w:val="14C17478"/>
    <w:multiLevelType w:val="singleLevel"/>
    <w:tmpl w:val="CF78B422"/>
    <w:lvl w:ilvl="0">
      <w:start w:val="15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  <w:rtl w:val="0"/>
        <w:cs w:val="0"/>
      </w:rPr>
    </w:lvl>
  </w:abstractNum>
  <w:abstractNum w:abstractNumId="4">
    <w:nsid w:val="1961632D"/>
    <w:multiLevelType w:val="singleLevel"/>
    <w:tmpl w:val="13F4EB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5">
    <w:nsid w:val="25EC148F"/>
    <w:multiLevelType w:val="singleLevel"/>
    <w:tmpl w:val="9BC443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6">
    <w:nsid w:val="36F478B0"/>
    <w:multiLevelType w:val="singleLevel"/>
    <w:tmpl w:val="6ED6A9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3CD734FC"/>
    <w:multiLevelType w:val="singleLevel"/>
    <w:tmpl w:val="334C3DEC"/>
    <w:lvl w:ilvl="0">
      <w:start w:val="1"/>
      <w:numFmt w:val="decimal"/>
      <w:pStyle w:val="Styl1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  <w:rtl w:val="0"/>
        <w:cs w:val="0"/>
      </w:rPr>
    </w:lvl>
  </w:abstractNum>
  <w:abstractNum w:abstractNumId="8">
    <w:nsid w:val="54C66A30"/>
    <w:multiLevelType w:val="singleLevel"/>
    <w:tmpl w:val="F4BC821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9">
    <w:nsid w:val="56D90162"/>
    <w:multiLevelType w:val="singleLevel"/>
    <w:tmpl w:val="AE1618EE"/>
    <w:lvl w:ilvl="0">
      <w:start w:val="2"/>
      <w:numFmt w:val="lowerLetter"/>
      <w:lvlText w:val="%1)"/>
      <w:lvlJc w:val="left"/>
      <w:pPr>
        <w:tabs>
          <w:tab w:val="num" w:pos="530"/>
        </w:tabs>
        <w:ind w:left="170"/>
      </w:pPr>
      <w:rPr>
        <w:rFonts w:cs="Times New Roman" w:hint="default"/>
        <w:rtl w:val="0"/>
        <w:cs w:val="0"/>
      </w:rPr>
    </w:lvl>
  </w:abstractNum>
  <w:abstractNum w:abstractNumId="10">
    <w:nsid w:val="65C762AE"/>
    <w:multiLevelType w:val="singleLevel"/>
    <w:tmpl w:val="0B8A328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  <w:rtl w:val="0"/>
        <w:cs w:val="0"/>
      </w:rPr>
    </w:lvl>
  </w:abstractNum>
  <w:abstractNum w:abstractNumId="11">
    <w:nsid w:val="6ABD15D1"/>
    <w:multiLevelType w:val="multilevel"/>
    <w:tmpl w:val="303CC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6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32A39"/>
    <w:rsid w:val="00077431"/>
    <w:rsid w:val="000A2F98"/>
    <w:rsid w:val="000C0B8E"/>
    <w:rsid w:val="001350CB"/>
    <w:rsid w:val="001E6DF3"/>
    <w:rsid w:val="00225F01"/>
    <w:rsid w:val="00255EF3"/>
    <w:rsid w:val="002660B2"/>
    <w:rsid w:val="002A0874"/>
    <w:rsid w:val="002A792D"/>
    <w:rsid w:val="004616B7"/>
    <w:rsid w:val="004C19C3"/>
    <w:rsid w:val="004D786D"/>
    <w:rsid w:val="00527C83"/>
    <w:rsid w:val="00532A39"/>
    <w:rsid w:val="00695734"/>
    <w:rsid w:val="006A325E"/>
    <w:rsid w:val="007929B2"/>
    <w:rsid w:val="007A429A"/>
    <w:rsid w:val="009101AD"/>
    <w:rsid w:val="00A60AA3"/>
    <w:rsid w:val="00AA17F8"/>
    <w:rsid w:val="00B56FF0"/>
    <w:rsid w:val="00C411F7"/>
    <w:rsid w:val="00DB4AB5"/>
    <w:rsid w:val="00E46441"/>
    <w:rsid w:val="00E93B91"/>
    <w:rsid w:val="00F31F7D"/>
    <w:rsid w:val="00F55AE7"/>
    <w:rsid w:val="00F93E6A"/>
    <w:rsid w:val="00FA021B"/>
    <w:rsid w:val="00FC619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240" w:after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spacing w:before="120" w:line="240" w:lineRule="atLeast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tabs>
        <w:tab w:val="left" w:pos="284"/>
      </w:tabs>
      <w:spacing w:before="120"/>
      <w:ind w:left="284" w:hanging="284"/>
      <w:jc w:val="center"/>
      <w:outlineLvl w:val="3"/>
    </w:pPr>
    <w:rPr>
      <w:rFonts w:ascii="Arial" w:hAnsi="Arial" w:cs="Arial"/>
      <w:i/>
      <w:i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spacing w:before="12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ind w:left="360" w:hanging="36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spacing w:before="120"/>
      <w:jc w:val="center"/>
      <w:outlineLvl w:val="7"/>
    </w:pPr>
    <w:rPr>
      <w:rFonts w:ascii="Arial" w:hAnsi="Arial" w:cs="Arial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customStyle="1" w:styleId="Styl1">
    <w:name w:val="Styl1"/>
    <w:basedOn w:val="Normal"/>
    <w:uiPriority w:val="99"/>
    <w:pPr>
      <w:numPr>
        <w:numId w:val="1"/>
      </w:numPr>
      <w:overflowPunct w:val="0"/>
      <w:autoSpaceDE w:val="0"/>
      <w:autoSpaceDN w:val="0"/>
      <w:adjustRightInd w:val="0"/>
      <w:spacing w:before="120"/>
      <w:ind w:left="283" w:hanging="283"/>
      <w:jc w:val="both"/>
      <w:textAlignment w:val="baseline"/>
    </w:pPr>
  </w:style>
  <w:style w:type="paragraph" w:styleId="BodyText">
    <w:name w:val="Body Text"/>
    <w:basedOn w:val="Normal"/>
    <w:link w:val="ZkladntextChar"/>
    <w:uiPriority w:val="99"/>
    <w:pPr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tabs>
        <w:tab w:val="left" w:pos="284"/>
      </w:tabs>
      <w:spacing w:before="120"/>
      <w:ind w:left="284" w:hanging="284"/>
      <w:jc w:val="both"/>
    </w:pPr>
    <w:rPr>
      <w:rFonts w:ascii="Arial" w:hAnsi="Arial" w:cs="Arial"/>
      <w:sz w:val="22"/>
      <w:szCs w:val="22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J-formtdokumentu">
    <w:name w:val="J-formát dokumentu"/>
    <w:basedOn w:val="Normal"/>
    <w:uiPriority w:val="99"/>
    <w:pPr>
      <w:spacing w:before="120"/>
      <w:jc w:val="both"/>
    </w:pPr>
    <w:rPr>
      <w:rFonts w:ascii="Arial" w:hAnsi="Arial" w:cs="Arial"/>
      <w:sz w:val="22"/>
      <w:szCs w:val="22"/>
    </w:rPr>
  </w:style>
  <w:style w:type="paragraph" w:styleId="Title">
    <w:name w:val="Title"/>
    <w:basedOn w:val="Normal"/>
    <w:link w:val="NzovChar"/>
    <w:uiPriority w:val="99"/>
    <w:qFormat/>
    <w:pPr>
      <w:keepNext/>
      <w:spacing w:before="120" w:after="6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before="120"/>
      <w:ind w:left="426" w:hanging="142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before="120"/>
      <w:jc w:val="both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odsek">
    <w:name w:val="odsek"/>
    <w:basedOn w:val="Normal"/>
    <w:uiPriority w:val="99"/>
    <w:pPr>
      <w:keepNext/>
      <w:spacing w:before="60" w:after="60"/>
      <w:ind w:firstLine="709"/>
      <w:jc w:val="both"/>
    </w:p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rFonts w:ascii="Arial" w:hAnsi="Arial" w:cs="Arial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a">
    <w:name w:val="§"/>
    <w:basedOn w:val="Normal"/>
    <w:next w:val="Normal"/>
    <w:uiPriority w:val="99"/>
    <w:pPr>
      <w:keepNext/>
      <w:numPr>
        <w:numId w:val="2"/>
      </w:numPr>
      <w:tabs>
        <w:tab w:val="left" w:pos="648"/>
        <w:tab w:val="num" w:pos="720"/>
      </w:tabs>
      <w:overflowPunct w:val="0"/>
      <w:autoSpaceDE w:val="0"/>
      <w:autoSpaceDN w:val="0"/>
      <w:adjustRightInd w:val="0"/>
      <w:spacing w:before="360" w:after="240"/>
      <w:ind w:left="720" w:hanging="360"/>
      <w:jc w:val="center"/>
      <w:textAlignment w:val="baseline"/>
    </w:pPr>
    <w:rPr>
      <w:b/>
      <w:bCs/>
    </w:rPr>
  </w:style>
  <w:style w:type="paragraph" w:customStyle="1" w:styleId="adda">
    <w:name w:val="adda"/>
    <w:basedOn w:val="Normal"/>
    <w:uiPriority w:val="99"/>
    <w:pPr>
      <w:keepNext/>
      <w:spacing w:before="60" w:after="60"/>
      <w:jc w:val="both"/>
    </w:p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jc w:val="left"/>
    </w:pPr>
    <w:rPr>
      <w:sz w:val="20"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  <w:rtl w:val="0"/>
      <w:cs w:val="0"/>
    </w:rPr>
  </w:style>
  <w:style w:type="paragraph" w:customStyle="1" w:styleId="tl4">
    <w:name w:val="Štýl4"/>
    <w:basedOn w:val="Normal"/>
    <w:autoRedefine/>
    <w:uiPriority w:val="99"/>
    <w:pPr>
      <w:keepNext/>
      <w:numPr>
        <w:numId w:val="3"/>
      </w:numPr>
      <w:tabs>
        <w:tab w:val="num" w:pos="0"/>
        <w:tab w:val="num" w:pos="648"/>
      </w:tabs>
      <w:ind w:left="360" w:firstLine="4536"/>
      <w:jc w:val="left"/>
      <w:outlineLvl w:val="0"/>
    </w:pPr>
  </w:style>
  <w:style w:type="paragraph" w:customStyle="1" w:styleId="tl9">
    <w:name w:val="Štýl9"/>
    <w:basedOn w:val="Normal"/>
    <w:autoRedefine/>
    <w:uiPriority w:val="99"/>
    <w:pPr>
      <w:keepNext/>
      <w:numPr>
        <w:numId w:val="332"/>
      </w:numPr>
      <w:tabs>
        <w:tab w:val="num" w:pos="360"/>
      </w:tabs>
      <w:jc w:val="left"/>
      <w:outlineLvl w:val="0"/>
    </w:pPr>
  </w:style>
  <w:style w:type="paragraph" w:customStyle="1" w:styleId="tl6">
    <w:name w:val="Štýl6"/>
    <w:basedOn w:val="tl4"/>
    <w:autoRedefine/>
    <w:uiPriority w:val="99"/>
    <w:pPr>
      <w:numPr>
        <w:numId w:val="269"/>
      </w:numPr>
      <w:tabs>
        <w:tab w:val="clear" w:pos="0"/>
        <w:tab w:val="num" w:pos="360"/>
        <w:tab w:val="clear" w:pos="648"/>
      </w:tabs>
      <w:ind w:hanging="72"/>
      <w:jc w:val="left"/>
    </w:p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rtl w:val="0"/>
      <w:cs w:val="0"/>
    </w:rPr>
  </w:style>
  <w:style w:type="paragraph" w:customStyle="1" w:styleId="DefinitionTerm">
    <w:name w:val="Definition Term"/>
    <w:basedOn w:val="Normal"/>
    <w:next w:val="Normal"/>
    <w:uiPriority w:val="99"/>
    <w:pPr>
      <w:jc w:val="left"/>
    </w:pPr>
  </w:style>
  <w:style w:type="paragraph" w:styleId="TOC1">
    <w:name w:val="toc 1"/>
    <w:basedOn w:val="Normal"/>
    <w:next w:val="Normal"/>
    <w:autoRedefine/>
    <w:uiPriority w:val="99"/>
    <w:pPr>
      <w:jc w:val="both"/>
    </w:pPr>
    <w:rPr>
      <w:b/>
      <w:bCs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99"/>
    <w:qFormat/>
    <w:rsid w:val="001350CB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852B-B222-498D-A9E9-8AEB2215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342</Words>
  <Characters>1955</Characters>
  <Application>Microsoft Office Word</Application>
  <DocSecurity>0</DocSecurity>
  <Lines>0</Lines>
  <Paragraphs>0</Paragraphs>
  <ScaleCrop>false</ScaleCrop>
  <Company>MDPT SR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EP a RADY 2003/88/ES</dc:title>
  <dc:creator>Tisovský</dc:creator>
  <cp:lastModifiedBy>Pápayová Daniela</cp:lastModifiedBy>
  <cp:revision>2</cp:revision>
  <cp:lastPrinted>2013-11-27T09:41:00Z</cp:lastPrinted>
  <dcterms:created xsi:type="dcterms:W3CDTF">2013-12-11T16:45:00Z</dcterms:created>
  <dcterms:modified xsi:type="dcterms:W3CDTF">2013-12-11T16:45:00Z</dcterms:modified>
</cp:coreProperties>
</file>