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BF2E75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BF2E75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BF2E75" w:rsidP="002D6885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="00427976">
        <w:rPr>
          <w:rFonts w:ascii="Arial" w:hAnsi="Arial" w:cs="Arial"/>
          <w:b/>
          <w:sz w:val="26"/>
          <w:szCs w:val="26"/>
        </w:rPr>
        <w:t>n</w:t>
      </w:r>
      <w:r w:rsidRPr="00BF2E75">
        <w:rPr>
          <w:rFonts w:ascii="Arial" w:hAnsi="Arial" w:cs="Arial"/>
          <w:b/>
          <w:sz w:val="26"/>
          <w:szCs w:val="26"/>
        </w:rPr>
        <w:t>ávrhu zákon</w:t>
      </w:r>
      <w:r w:rsidR="00D43CB7">
        <w:rPr>
          <w:rFonts w:ascii="Arial" w:hAnsi="Arial" w:cs="Arial"/>
          <w:b/>
          <w:sz w:val="26"/>
          <w:szCs w:val="26"/>
        </w:rPr>
        <w:t>a</w:t>
      </w:r>
      <w:r w:rsidRPr="00BF2E75">
        <w:rPr>
          <w:rFonts w:ascii="Arial" w:hAnsi="Arial" w:cs="Arial"/>
          <w:b/>
          <w:sz w:val="26"/>
          <w:szCs w:val="26"/>
        </w:rPr>
        <w:t xml:space="preserve"> s právom Európskych spoločenstiev a právom Európskej únie</w:t>
      </w:r>
    </w:p>
    <w:p w:rsidR="004559BB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2D6885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BF2E75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BF2E75" w:rsidP="000546A5">
      <w:pPr>
        <w:bidi w:val="0"/>
        <w:ind w:left="709"/>
        <w:jc w:val="both"/>
        <w:rPr>
          <w:rFonts w:ascii="Arial" w:hAnsi="Arial" w:cs="Arial"/>
          <w:sz w:val="26"/>
          <w:szCs w:val="26"/>
        </w:rPr>
      </w:pPr>
      <w:r w:rsidRPr="00BF2E75">
        <w:rPr>
          <w:rFonts w:ascii="Arial" w:hAnsi="Arial" w:cs="Arial"/>
          <w:sz w:val="26"/>
          <w:szCs w:val="26"/>
        </w:rPr>
        <w:t>Poslanc</w:t>
      </w:r>
      <w:r w:rsidR="000546A5">
        <w:rPr>
          <w:rFonts w:ascii="Arial" w:hAnsi="Arial" w:cs="Arial"/>
          <w:sz w:val="26"/>
          <w:szCs w:val="26"/>
        </w:rPr>
        <w:t>i</w:t>
      </w:r>
      <w:r w:rsidRPr="00BF2E75">
        <w:rPr>
          <w:rFonts w:ascii="Arial" w:hAnsi="Arial" w:cs="Arial"/>
          <w:sz w:val="26"/>
          <w:szCs w:val="26"/>
        </w:rPr>
        <w:t xml:space="preserve"> Národnej rady Slovenskej republiky</w:t>
      </w:r>
      <w:r w:rsidRPr="00BF2E75" w:rsidR="00766226">
        <w:rPr>
          <w:rFonts w:ascii="Arial" w:hAnsi="Arial" w:cs="Arial"/>
          <w:sz w:val="26"/>
          <w:szCs w:val="26"/>
        </w:rPr>
        <w:t xml:space="preserve"> Pavol Zajac</w:t>
      </w:r>
      <w:r w:rsidR="000546A5">
        <w:rPr>
          <w:rFonts w:ascii="Arial" w:hAnsi="Arial" w:cs="Arial"/>
          <w:sz w:val="26"/>
          <w:szCs w:val="26"/>
        </w:rPr>
        <w:t>, Ján Hudacký a Ján Figeľ</w:t>
      </w:r>
      <w:r w:rsidRPr="00BF2E75">
        <w:rPr>
          <w:rFonts w:ascii="Arial" w:hAnsi="Arial" w:cs="Arial"/>
          <w:sz w:val="26"/>
          <w:szCs w:val="26"/>
        </w:rPr>
        <w:t>.</w:t>
      </w:r>
    </w:p>
    <w:p w:rsidR="00C8345A" w:rsidRPr="00BF2E75" w:rsidP="002D6885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190F51" w:rsidRPr="00BF2E75" w:rsidP="00401C47">
      <w:pPr>
        <w:widowControl w:val="0"/>
        <w:tabs>
          <w:tab w:val="left" w:pos="284"/>
        </w:tabs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  <w:kern w:val="1"/>
        </w:rPr>
      </w:pPr>
      <w:r w:rsidRPr="00BF2E75">
        <w:rPr>
          <w:rFonts w:ascii="Arial" w:hAnsi="Arial" w:cs="Arial"/>
          <w:b/>
          <w:bCs/>
          <w:kern w:val="1"/>
        </w:rPr>
        <w:t>2.</w:t>
        <w:tab/>
        <w:t>Názov návrhu právneho predpisu:</w:t>
      </w:r>
      <w:r w:rsidRPr="00BF2E75">
        <w:rPr>
          <w:rFonts w:ascii="Arial" w:hAnsi="Arial" w:cs="Arial"/>
          <w:kern w:val="1"/>
        </w:rPr>
        <w:t xml:space="preserve"> Návrh zákona, ktorým sa mení a dopĺňa </w:t>
      </w:r>
      <w:r w:rsidRPr="00BF2E75">
        <w:rPr>
          <w:rFonts w:ascii="Arial" w:hAnsi="Arial" w:cs="Arial"/>
          <w:bCs/>
        </w:rPr>
        <w:t>zákon č. 129/2010 Z. z. o </w:t>
      </w:r>
      <w:r w:rsidRPr="00BF2E75">
        <w:rPr>
          <w:rFonts w:ascii="Arial" w:hAnsi="Arial" w:cs="Arial"/>
        </w:rPr>
        <w:t>spotrebiteľských úveroch a o iných úveroch a pôžičkách pre spotrebiteľov a o zmene a doplnení niektorých zákonov</w:t>
      </w:r>
      <w:r w:rsidR="00427976">
        <w:rPr>
          <w:rFonts w:ascii="Arial" w:hAnsi="Arial" w:cs="Arial"/>
        </w:rPr>
        <w:t>.</w:t>
      </w:r>
    </w:p>
    <w:p w:rsidR="00601578" w:rsidP="002D6885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709" w:hanging="283"/>
        <w:jc w:val="both"/>
        <w:rPr>
          <w:rFonts w:ascii="Arial" w:hAnsi="Arial" w:cs="Arial"/>
        </w:rPr>
      </w:pPr>
    </w:p>
    <w:p w:rsidR="00601578" w:rsidRPr="00601578" w:rsidP="00601578">
      <w:pPr>
        <w:tabs>
          <w:tab w:val="num" w:pos="0"/>
        </w:tabs>
        <w:autoSpaceDE w:val="0"/>
        <w:autoSpaceDN w:val="0"/>
        <w:bidi w:val="0"/>
        <w:adjustRightInd w:val="0"/>
        <w:spacing w:after="120"/>
        <w:jc w:val="both"/>
        <w:rPr>
          <w:rFonts w:ascii="Arial" w:hAnsi="Arial" w:cs="Arial"/>
          <w:b/>
          <w:bCs/>
          <w:kern w:val="1"/>
        </w:rPr>
      </w:pPr>
      <w:r w:rsidRPr="00601578">
        <w:rPr>
          <w:rFonts w:ascii="Arial" w:hAnsi="Arial" w:cs="Arial"/>
          <w:b/>
          <w:bCs/>
          <w:kern w:val="1"/>
        </w:rPr>
        <w:t>3. Problematika návrhu právneho predpisu:</w:t>
      </w:r>
    </w:p>
    <w:p w:rsidR="00601578" w:rsidRPr="00601578" w:rsidP="00F1244E">
      <w:pPr>
        <w:pStyle w:val="ListParagraph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lang w:eastAsia="en-US"/>
        </w:rPr>
      </w:pPr>
      <w:r w:rsidRPr="00601578">
        <w:rPr>
          <w:rFonts w:ascii="Arial" w:hAnsi="Arial" w:cs="Arial"/>
          <w:lang w:eastAsia="en-US"/>
        </w:rPr>
        <w:t>je upravená v práve Európskej únie:</w:t>
      </w:r>
    </w:p>
    <w:p w:rsidR="00601578" w:rsidRPr="00601578" w:rsidP="00601578">
      <w:pPr>
        <w:pStyle w:val="BodyTextIndent"/>
        <w:bidi w:val="0"/>
        <w:spacing w:before="60" w:after="60"/>
        <w:ind w:firstLine="425"/>
        <w:rPr>
          <w:rFonts w:ascii="Arial" w:hAnsi="Arial" w:cs="Arial"/>
          <w:b/>
        </w:rPr>
      </w:pPr>
      <w:r w:rsidRPr="00601578">
        <w:rPr>
          <w:rFonts w:ascii="Arial" w:hAnsi="Arial" w:cs="Arial"/>
          <w:b/>
        </w:rPr>
        <w:t>Primárne právo:</w:t>
      </w:r>
    </w:p>
    <w:p w:rsidR="00601578" w:rsidRPr="00601578" w:rsidP="00F1244E">
      <w:pPr>
        <w:pStyle w:val="BodyTextIndent"/>
        <w:numPr>
          <w:numId w:val="1"/>
        </w:numPr>
        <w:tabs>
          <w:tab w:val="clear" w:pos="900"/>
          <w:tab w:val="num" w:pos="1134"/>
        </w:tabs>
        <w:autoSpaceDE w:val="0"/>
        <w:autoSpaceDN w:val="0"/>
        <w:bidi w:val="0"/>
        <w:adjustRightInd w:val="0"/>
        <w:ind w:left="1134" w:hanging="283"/>
        <w:jc w:val="both"/>
        <w:rPr>
          <w:rFonts w:ascii="Arial" w:hAnsi="Arial" w:cs="Arial"/>
        </w:rPr>
      </w:pPr>
      <w:r w:rsidRPr="00601578">
        <w:rPr>
          <w:rFonts w:ascii="Arial" w:hAnsi="Arial" w:cs="Arial"/>
        </w:rPr>
        <w:t>čl. 114 a 169 Zmluvy o fungovaní Európskej únie (Ú.v. EÚ C 83, 30. 3. 2010).</w:t>
      </w:r>
    </w:p>
    <w:p w:rsidR="00601578" w:rsidRPr="00601578" w:rsidP="00601578">
      <w:pPr>
        <w:autoSpaceDE w:val="0"/>
        <w:autoSpaceDN w:val="0"/>
        <w:bidi w:val="0"/>
        <w:spacing w:after="60"/>
        <w:ind w:left="720"/>
        <w:jc w:val="both"/>
        <w:rPr>
          <w:rFonts w:ascii="Arial" w:hAnsi="Arial" w:cs="Arial"/>
        </w:rPr>
      </w:pPr>
      <w:r w:rsidRPr="00601578">
        <w:rPr>
          <w:rFonts w:ascii="Arial" w:hAnsi="Arial" w:cs="Arial"/>
          <w:b/>
        </w:rPr>
        <w:t>Sekundárne právo</w:t>
      </w:r>
      <w:r w:rsidRPr="00601578">
        <w:rPr>
          <w:rFonts w:ascii="Arial" w:hAnsi="Arial" w:cs="Arial"/>
        </w:rPr>
        <w:t xml:space="preserve">  (prijaté po nadobudnutí platnosti Lisabonskej zmluvy, ktorou sa mení a dopĺňa Zmluva o Európskej únii a Zmluva o založení Európskeho spoločenstva</w:t>
      </w:r>
      <w:r>
        <w:rPr>
          <w:rFonts w:ascii="Arial" w:hAnsi="Arial" w:cs="Arial"/>
        </w:rPr>
        <w:t xml:space="preserve"> - </w:t>
      </w:r>
      <w:r w:rsidRPr="00601578">
        <w:rPr>
          <w:rFonts w:ascii="Arial" w:hAnsi="Arial" w:cs="Arial"/>
        </w:rPr>
        <w:t>po 30. novembri 2009):</w:t>
      </w:r>
    </w:p>
    <w:p w:rsidR="00601578" w:rsidRPr="00601578" w:rsidP="00F1244E">
      <w:pPr>
        <w:pStyle w:val="BodyTextIndent"/>
        <w:numPr>
          <w:ilvl w:val="1"/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601578">
        <w:rPr>
          <w:rFonts w:ascii="Arial" w:hAnsi="Arial" w:cs="Arial"/>
        </w:rPr>
        <w:t>smernica Komisie 2011/90/EÚ zo 14. novembra 2011, ktorou sa mení a dopĺňa časť II prílohy I k smernici Európskeho parlamentu a Rady 2008/48/ES stanovujúca dodatočné predpoklady na výpočet ročnej percentuálnej miery nákladov (Text s významom pre EHP) (Ú.v. EÚ L 296, 15. 11. 2011).</w:t>
      </w:r>
    </w:p>
    <w:p w:rsidR="00601578" w:rsidRPr="00601578" w:rsidP="00601578">
      <w:pPr>
        <w:autoSpaceDE w:val="0"/>
        <w:autoSpaceDN w:val="0"/>
        <w:bidi w:val="0"/>
        <w:spacing w:after="60"/>
        <w:ind w:left="720"/>
        <w:jc w:val="both"/>
        <w:rPr>
          <w:rFonts w:ascii="Arial" w:hAnsi="Arial" w:cs="Arial"/>
        </w:rPr>
      </w:pPr>
      <w:r w:rsidRPr="00601578">
        <w:rPr>
          <w:rFonts w:ascii="Arial" w:hAnsi="Arial" w:cs="Arial"/>
          <w:b/>
        </w:rPr>
        <w:t>Sekundárne právo</w:t>
      </w:r>
      <w:r w:rsidRPr="00601578">
        <w:rPr>
          <w:rFonts w:ascii="Arial" w:hAnsi="Arial" w:cs="Arial"/>
        </w:rPr>
        <w:t xml:space="preserve">  (prijaté pred nadobudnutím platnosti Lisabonskej zmluvy, ktorou sa mení a dopĺňa Zmluva o Európskej únii a Zmluva o založení Európskeho spoločenstva - do 30. novembra 2009):</w:t>
      </w:r>
    </w:p>
    <w:p w:rsidR="00601578" w:rsidRPr="00601578" w:rsidP="00F1244E">
      <w:pPr>
        <w:pStyle w:val="BodyTextIndent"/>
        <w:numPr>
          <w:ilvl w:val="1"/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601578">
        <w:rPr>
          <w:rFonts w:ascii="Arial" w:hAnsi="Arial" w:cs="Arial"/>
        </w:rPr>
        <w:t>smernica Európskeho parlamentu a Rady 2008/48/ES z 23. apríla 2008 o zmluvách o spotrebiteľskom úvere a o zrušení smernice Rady 87/102/EHS (Ú.v. EÚ L 133, 22. 5. 2008) v platnom znení.</w:t>
      </w:r>
    </w:p>
    <w:p w:rsidR="00601578" w:rsidRPr="00601578" w:rsidP="00601578">
      <w:pPr>
        <w:pStyle w:val="ListParagraph"/>
        <w:autoSpaceDE w:val="0"/>
        <w:autoSpaceDN w:val="0"/>
        <w:bidi w:val="0"/>
        <w:adjustRightInd w:val="0"/>
        <w:jc w:val="both"/>
        <w:rPr>
          <w:rFonts w:ascii="Arial" w:hAnsi="Arial" w:cs="Arial"/>
          <w:lang w:eastAsia="en-US"/>
        </w:rPr>
      </w:pPr>
    </w:p>
    <w:p w:rsidR="00601578" w:rsidRPr="00601578" w:rsidP="00F1244E">
      <w:pPr>
        <w:pStyle w:val="ListParagraph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lang w:eastAsia="en-US"/>
        </w:rPr>
      </w:pPr>
      <w:r w:rsidRPr="00601578">
        <w:rPr>
          <w:rFonts w:ascii="Arial" w:hAnsi="Arial" w:cs="Arial"/>
          <w:lang w:eastAsia="en-US"/>
        </w:rPr>
        <w:t>je obsiahnutá v judikatúre Súdneho dvora Európskej únie:</w:t>
      </w:r>
    </w:p>
    <w:p w:rsidR="00601578" w:rsidRPr="00601578" w:rsidP="00F1244E">
      <w:pPr>
        <w:pStyle w:val="BodyText"/>
        <w:numPr>
          <w:numId w:val="1"/>
        </w:numPr>
        <w:tabs>
          <w:tab w:val="clear" w:pos="900"/>
          <w:tab w:val="num" w:pos="1134"/>
        </w:tabs>
        <w:bidi w:val="0"/>
        <w:spacing w:before="120" w:after="120"/>
        <w:ind w:left="1134" w:hanging="283"/>
        <w:rPr>
          <w:rFonts w:ascii="Arial" w:hAnsi="Arial" w:cs="Arial"/>
          <w:lang w:eastAsia="en-US"/>
        </w:rPr>
      </w:pPr>
      <w:r w:rsidRPr="00601578">
        <w:rPr>
          <w:rFonts w:ascii="Arial" w:hAnsi="Arial" w:cs="Arial"/>
          <w:lang w:eastAsia="en-US"/>
        </w:rPr>
        <w:t xml:space="preserve">rozsudok Súdneho dvora vo veci C - 192/94, El Corte Inglés SA v. Cristina Blázquez Rivero, rok 1996, </w:t>
      </w:r>
    </w:p>
    <w:p w:rsidR="00601578" w:rsidRPr="00601578" w:rsidP="00F1244E">
      <w:pPr>
        <w:pStyle w:val="BodyText"/>
        <w:numPr>
          <w:numId w:val="1"/>
        </w:numPr>
        <w:tabs>
          <w:tab w:val="clear" w:pos="900"/>
          <w:tab w:val="num" w:pos="1134"/>
        </w:tabs>
        <w:bidi w:val="0"/>
        <w:spacing w:before="120" w:after="120"/>
        <w:ind w:left="1134" w:hanging="283"/>
        <w:rPr>
          <w:rFonts w:ascii="Arial" w:hAnsi="Arial" w:cs="Arial"/>
          <w:lang w:eastAsia="en-US"/>
        </w:rPr>
      </w:pPr>
      <w:r w:rsidRPr="00601578">
        <w:rPr>
          <w:rFonts w:ascii="Arial" w:hAnsi="Arial" w:cs="Arial"/>
          <w:lang w:eastAsia="en-US"/>
        </w:rPr>
        <w:t xml:space="preserve">rozsudok Súdneho dvora vo veci C - 208/98, Berliner Kindl Brauerei AG v. Andreas Siepert, rok 2000, </w:t>
      </w:r>
    </w:p>
    <w:p w:rsidR="00601578" w:rsidRPr="00601578" w:rsidP="00F1244E">
      <w:pPr>
        <w:pStyle w:val="BodyText"/>
        <w:numPr>
          <w:numId w:val="1"/>
        </w:numPr>
        <w:tabs>
          <w:tab w:val="clear" w:pos="900"/>
          <w:tab w:val="num" w:pos="1134"/>
        </w:tabs>
        <w:bidi w:val="0"/>
        <w:spacing w:before="120" w:after="120"/>
        <w:ind w:left="1134" w:hanging="283"/>
        <w:rPr>
          <w:rFonts w:ascii="Arial" w:hAnsi="Arial" w:cs="Arial"/>
          <w:lang w:eastAsia="en-US"/>
        </w:rPr>
      </w:pPr>
      <w:r w:rsidRPr="00601578">
        <w:rPr>
          <w:rFonts w:ascii="Arial" w:hAnsi="Arial" w:cs="Arial"/>
          <w:lang w:eastAsia="en-US"/>
        </w:rPr>
        <w:t xml:space="preserve">rozsudok Súdneho dvora vo veci C - 264/02, Cofinoga Mérignac SA v. Sylvain Sachithanathan, rok 2004, </w:t>
      </w:r>
    </w:p>
    <w:p w:rsidR="00601578" w:rsidRPr="00601578" w:rsidP="00F1244E">
      <w:pPr>
        <w:pStyle w:val="BodyText"/>
        <w:numPr>
          <w:numId w:val="1"/>
        </w:numPr>
        <w:tabs>
          <w:tab w:val="clear" w:pos="900"/>
          <w:tab w:val="num" w:pos="1134"/>
        </w:tabs>
        <w:bidi w:val="0"/>
        <w:spacing w:before="120" w:after="120"/>
        <w:ind w:left="1134" w:hanging="283"/>
        <w:rPr>
          <w:rFonts w:ascii="Arial" w:hAnsi="Arial" w:cs="Arial"/>
          <w:lang w:eastAsia="en-US"/>
        </w:rPr>
      </w:pPr>
      <w:r w:rsidRPr="00601578">
        <w:rPr>
          <w:rFonts w:ascii="Arial" w:hAnsi="Arial" w:cs="Arial"/>
          <w:lang w:eastAsia="en-US"/>
        </w:rPr>
        <w:t>rozsudok Súdneho dvora vo veci C - 509/07, Luigi Scarpelli v. NEOS Banca SpA, rok 2009.</w:t>
      </w:r>
    </w:p>
    <w:p w:rsidR="00190F51" w:rsidRPr="00BF2E75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kern w:val="1"/>
        </w:rPr>
      </w:pPr>
    </w:p>
    <w:p w:rsidR="00190F51" w:rsidRPr="00BF2E75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  <w:r w:rsidRPr="00BF2E75">
        <w:rPr>
          <w:rFonts w:ascii="Arial" w:hAnsi="Arial" w:cs="Arial"/>
          <w:b/>
          <w:bCs/>
          <w:kern w:val="1"/>
        </w:rPr>
        <w:t>4.</w:t>
        <w:tab/>
        <w:t xml:space="preserve">Záväzky Slovenskej republiky vo vzťahu k Európskej únii: </w:t>
      </w:r>
    </w:p>
    <w:p w:rsidR="00190F51" w:rsidRPr="00BF2E75" w:rsidP="002D6885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hanging="20"/>
        <w:jc w:val="both"/>
        <w:rPr>
          <w:rFonts w:ascii="Arial" w:hAnsi="Arial" w:cs="Arial"/>
          <w:kern w:val="1"/>
        </w:rPr>
      </w:pPr>
      <w:r w:rsidRPr="00BF2E75">
        <w:rPr>
          <w:rFonts w:ascii="Arial" w:hAnsi="Arial" w:cs="Arial"/>
          <w:kern w:val="1"/>
        </w:rPr>
        <w:t>bezpredmetné </w:t>
      </w:r>
    </w:p>
    <w:p w:rsidR="00190F51" w:rsidRPr="00BF2E75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kern w:val="1"/>
        </w:rPr>
      </w:pPr>
    </w:p>
    <w:p w:rsidR="00190F51" w:rsidRPr="00BF2E75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  <w:r w:rsidRPr="00BF2E75">
        <w:rPr>
          <w:rFonts w:ascii="Arial" w:hAnsi="Arial" w:cs="Arial"/>
          <w:b/>
          <w:bCs/>
          <w:kern w:val="1"/>
        </w:rPr>
        <w:t>5.</w:t>
        <w:tab/>
        <w:t>Stupeň zlučiteľnosti návrhu právneho predpisu s právom Európskej únie:</w:t>
      </w:r>
    </w:p>
    <w:p w:rsidR="00190F51" w:rsidRPr="00BF2E75" w:rsidP="002D6885">
      <w:pPr>
        <w:widowControl w:val="0"/>
        <w:autoSpaceDE w:val="0"/>
        <w:autoSpaceDN w:val="0"/>
        <w:bidi w:val="0"/>
        <w:adjustRightInd w:val="0"/>
        <w:spacing w:before="80" w:after="80"/>
        <w:ind w:left="720"/>
        <w:jc w:val="both"/>
        <w:rPr>
          <w:rFonts w:ascii="Arial" w:hAnsi="Arial" w:cs="Arial"/>
        </w:rPr>
      </w:pPr>
      <w:r w:rsidRPr="00BF2E75">
        <w:rPr>
          <w:rFonts w:ascii="Arial" w:hAnsi="Arial" w:cs="Arial"/>
          <w:kern w:val="1"/>
        </w:rPr>
        <w:t>Stupeň zlučiteľnosti – úplný</w:t>
      </w:r>
      <w:r w:rsidR="00601578">
        <w:rPr>
          <w:rFonts w:ascii="Arial" w:hAnsi="Arial" w:cs="Arial"/>
        </w:rPr>
        <w:t>.</w:t>
      </w:r>
    </w:p>
    <w:p w:rsidR="00190F51" w:rsidRPr="00BF2E75" w:rsidP="002D6885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  <w:kern w:val="1"/>
        </w:rPr>
      </w:pPr>
      <w:r w:rsidRPr="00BF2E75">
        <w:rPr>
          <w:rFonts w:ascii="Arial" w:hAnsi="Arial" w:cs="Arial"/>
        </w:rPr>
        <w:t xml:space="preserve"> </w:t>
      </w: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DB4"/>
    <w:multiLevelType w:val="hybridMultilevel"/>
    <w:tmpl w:val="228A93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546A5"/>
    <w:rsid w:val="00082B88"/>
    <w:rsid w:val="000B1565"/>
    <w:rsid w:val="000D4345"/>
    <w:rsid w:val="000E6C02"/>
    <w:rsid w:val="00103F32"/>
    <w:rsid w:val="001136F7"/>
    <w:rsid w:val="00124EA0"/>
    <w:rsid w:val="001277C9"/>
    <w:rsid w:val="00154751"/>
    <w:rsid w:val="00166AD2"/>
    <w:rsid w:val="001717C1"/>
    <w:rsid w:val="00190F5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885"/>
    <w:rsid w:val="002D6A66"/>
    <w:rsid w:val="00306DCC"/>
    <w:rsid w:val="00320D58"/>
    <w:rsid w:val="0033126C"/>
    <w:rsid w:val="003326D2"/>
    <w:rsid w:val="003471DF"/>
    <w:rsid w:val="0035482E"/>
    <w:rsid w:val="00355F3C"/>
    <w:rsid w:val="00361429"/>
    <w:rsid w:val="003639D1"/>
    <w:rsid w:val="00365769"/>
    <w:rsid w:val="0038795A"/>
    <w:rsid w:val="003A303E"/>
    <w:rsid w:val="003A7B5B"/>
    <w:rsid w:val="003F098C"/>
    <w:rsid w:val="00401C47"/>
    <w:rsid w:val="00401E81"/>
    <w:rsid w:val="00427976"/>
    <w:rsid w:val="004312F0"/>
    <w:rsid w:val="004559BB"/>
    <w:rsid w:val="00464032"/>
    <w:rsid w:val="00474FB7"/>
    <w:rsid w:val="00494D46"/>
    <w:rsid w:val="00496179"/>
    <w:rsid w:val="004A175C"/>
    <w:rsid w:val="004A74FC"/>
    <w:rsid w:val="004F0EAB"/>
    <w:rsid w:val="004F1F94"/>
    <w:rsid w:val="004F71C2"/>
    <w:rsid w:val="0052178B"/>
    <w:rsid w:val="00527E9D"/>
    <w:rsid w:val="00532858"/>
    <w:rsid w:val="00541C30"/>
    <w:rsid w:val="005427C1"/>
    <w:rsid w:val="0055294F"/>
    <w:rsid w:val="0056058F"/>
    <w:rsid w:val="00561FFF"/>
    <w:rsid w:val="005700A8"/>
    <w:rsid w:val="005862F9"/>
    <w:rsid w:val="005945C3"/>
    <w:rsid w:val="005F7AE5"/>
    <w:rsid w:val="00601578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622F"/>
    <w:rsid w:val="009A0D22"/>
    <w:rsid w:val="00A64AA9"/>
    <w:rsid w:val="00A70858"/>
    <w:rsid w:val="00A816CA"/>
    <w:rsid w:val="00A86C15"/>
    <w:rsid w:val="00A93F5C"/>
    <w:rsid w:val="00AB030A"/>
    <w:rsid w:val="00AB6AF9"/>
    <w:rsid w:val="00AD6BF2"/>
    <w:rsid w:val="00B40955"/>
    <w:rsid w:val="00B8204C"/>
    <w:rsid w:val="00BA32E7"/>
    <w:rsid w:val="00BB3823"/>
    <w:rsid w:val="00BC35A3"/>
    <w:rsid w:val="00BE5462"/>
    <w:rsid w:val="00BF2E75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C8345A"/>
    <w:rsid w:val="00C94502"/>
    <w:rsid w:val="00D04E46"/>
    <w:rsid w:val="00D240F0"/>
    <w:rsid w:val="00D35057"/>
    <w:rsid w:val="00D36D38"/>
    <w:rsid w:val="00D43CB7"/>
    <w:rsid w:val="00D43D95"/>
    <w:rsid w:val="00D63D7A"/>
    <w:rsid w:val="00D768F5"/>
    <w:rsid w:val="00D85665"/>
    <w:rsid w:val="00DC37F3"/>
    <w:rsid w:val="00DF2691"/>
    <w:rsid w:val="00E03DC1"/>
    <w:rsid w:val="00E15AE2"/>
    <w:rsid w:val="00E24460"/>
    <w:rsid w:val="00E303BB"/>
    <w:rsid w:val="00E346D2"/>
    <w:rsid w:val="00E509BD"/>
    <w:rsid w:val="00EC193B"/>
    <w:rsid w:val="00EC72C8"/>
    <w:rsid w:val="00F07326"/>
    <w:rsid w:val="00F1244E"/>
    <w:rsid w:val="00F6281C"/>
    <w:rsid w:val="00F71363"/>
    <w:rsid w:val="00FB407B"/>
    <w:rsid w:val="00FB42B3"/>
    <w:rsid w:val="00FB73BD"/>
    <w:rsid w:val="00FE7F8E"/>
    <w:rsid w:val="00FF301E"/>
    <w:rsid w:val="00FF43AC"/>
    <w:rsid w:val="00FF5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99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C8345A"/>
    <w:pPr>
      <w:jc w:val="center"/>
    </w:pPr>
    <w:rPr>
      <w:b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345A"/>
    <w:rPr>
      <w:rFonts w:cs="Times New Roman"/>
      <w:b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52C4-F4C1-4552-98DC-68940465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310</Words>
  <Characters>1770</Characters>
  <Application>Microsoft Office Word</Application>
  <DocSecurity>0</DocSecurity>
  <Lines>0</Lines>
  <Paragraphs>0</Paragraphs>
  <ScaleCrop>false</ScaleCrop>
  <Company>MPSVR SR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2013-12-19T14:59:00Z</dcterms:created>
  <dcterms:modified xsi:type="dcterms:W3CDTF">2013-12-19T14:59:00Z</dcterms:modified>
</cp:coreProperties>
</file>