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F357F" w:rsidRPr="0033126C" w:rsidP="00860639">
      <w:pPr>
        <w:bidi w:val="0"/>
        <w:jc w:val="center"/>
        <w:rPr>
          <w:rFonts w:ascii="Arial" w:hAnsi="Arial" w:cs="Arial"/>
          <w:b/>
          <w:sz w:val="32"/>
          <w:szCs w:val="32"/>
        </w:rPr>
      </w:pPr>
      <w:r w:rsidRPr="0033126C" w:rsidR="00860639">
        <w:rPr>
          <w:rFonts w:ascii="Arial" w:hAnsi="Arial" w:cs="Arial"/>
          <w:b/>
          <w:caps/>
          <w:sz w:val="32"/>
          <w:szCs w:val="32"/>
        </w:rPr>
        <w:t>DôVODOVÁ</w:t>
      </w:r>
      <w:r w:rsidRPr="0033126C" w:rsidR="00860639">
        <w:rPr>
          <w:rFonts w:ascii="Arial" w:hAnsi="Arial" w:cs="Arial"/>
          <w:b/>
          <w:sz w:val="32"/>
          <w:szCs w:val="32"/>
        </w:rPr>
        <w:t xml:space="preserve"> SPRÁVA</w:t>
      </w:r>
    </w:p>
    <w:p w:rsidR="00BF357F">
      <w:pPr>
        <w:bidi w:val="0"/>
        <w:jc w:val="both"/>
        <w:rPr>
          <w:rFonts w:ascii="Arial" w:hAnsi="Arial" w:cs="Arial"/>
        </w:rPr>
      </w:pPr>
    </w:p>
    <w:p w:rsidR="002727F8" w:rsidRPr="0033126C">
      <w:pPr>
        <w:bidi w:val="0"/>
        <w:jc w:val="both"/>
        <w:rPr>
          <w:rFonts w:ascii="Arial" w:hAnsi="Arial" w:cs="Arial"/>
        </w:rPr>
      </w:pPr>
    </w:p>
    <w:p w:rsidR="00BF357F" w:rsidRPr="0033126C" w:rsidP="0073168B">
      <w:pPr>
        <w:numPr>
          <w:numId w:val="1"/>
        </w:numPr>
        <w:tabs>
          <w:tab w:val="clear" w:pos="1080"/>
        </w:tabs>
        <w:bidi w:val="0"/>
        <w:ind w:left="374" w:hanging="374"/>
        <w:jc w:val="both"/>
        <w:rPr>
          <w:rFonts w:ascii="Arial" w:hAnsi="Arial" w:cs="Arial"/>
          <w:b/>
          <w:sz w:val="28"/>
          <w:szCs w:val="28"/>
        </w:rPr>
      </w:pPr>
      <w:r w:rsidRPr="0033126C" w:rsidR="004559BB">
        <w:rPr>
          <w:rFonts w:ascii="Arial" w:hAnsi="Arial" w:cs="Arial"/>
          <w:b/>
          <w:sz w:val="28"/>
          <w:szCs w:val="28"/>
        </w:rPr>
        <w:t>Všeobecná časť</w:t>
      </w:r>
    </w:p>
    <w:p w:rsidR="004559BB" w:rsidRPr="00174D5C" w:rsidP="004559BB">
      <w:pPr>
        <w:bidi w:val="0"/>
        <w:jc w:val="both"/>
        <w:rPr>
          <w:rFonts w:ascii="Arial" w:hAnsi="Arial" w:cs="Arial"/>
        </w:rPr>
      </w:pPr>
    </w:p>
    <w:p w:rsidR="00B2089C" w:rsidP="000A5254">
      <w:pPr>
        <w:widowControl w:val="0"/>
        <w:autoSpaceDE w:val="0"/>
        <w:autoSpaceDN w:val="0"/>
        <w:bidi w:val="0"/>
        <w:adjustRightInd w:val="0"/>
        <w:ind w:right="-7" w:firstLine="567"/>
        <w:jc w:val="both"/>
        <w:rPr>
          <w:rFonts w:ascii="Arial" w:hAnsi="Arial" w:cs="Arial"/>
        </w:rPr>
      </w:pPr>
      <w:r w:rsidRPr="00174D5C" w:rsidR="00BA32E7">
        <w:rPr>
          <w:rFonts w:ascii="Arial" w:hAnsi="Arial" w:cs="Arial"/>
        </w:rPr>
        <w:t xml:space="preserve">Predložený návrh zákona, ktorým sa mení a dopĺňa zákon </w:t>
      </w:r>
      <w:r w:rsidRPr="000C53D8" w:rsidR="000C53D8">
        <w:rPr>
          <w:rFonts w:ascii="Arial" w:hAnsi="Arial" w:cs="Arial"/>
        </w:rPr>
        <w:t>č. 129/2010 Z. z. o spotrebiteľských úveroch a o iných úveroch a pôžičkách pre spotrebiteľov a o zmene a doplnení niektorých zákonov</w:t>
      </w:r>
      <w:r w:rsidRPr="00174D5C" w:rsidR="003471DF">
        <w:rPr>
          <w:rFonts w:ascii="Arial" w:hAnsi="Arial" w:cs="Arial"/>
        </w:rPr>
        <w:t xml:space="preserve"> (ďalej len „návrh zákona“) predklad</w:t>
      </w:r>
      <w:r w:rsidR="00517923">
        <w:rPr>
          <w:rFonts w:ascii="Arial" w:hAnsi="Arial" w:cs="Arial"/>
        </w:rPr>
        <w:t xml:space="preserve">ajú </w:t>
      </w:r>
      <w:r w:rsidRPr="00174D5C" w:rsidR="003471DF">
        <w:rPr>
          <w:rFonts w:ascii="Arial" w:hAnsi="Arial" w:cs="Arial"/>
        </w:rPr>
        <w:t>poslanc</w:t>
      </w:r>
      <w:r w:rsidR="00517923">
        <w:rPr>
          <w:rFonts w:ascii="Arial" w:hAnsi="Arial" w:cs="Arial"/>
        </w:rPr>
        <w:t>i</w:t>
      </w:r>
      <w:r w:rsidRPr="00174D5C" w:rsidR="00BC35A3">
        <w:rPr>
          <w:rFonts w:ascii="Arial" w:hAnsi="Arial" w:cs="Arial"/>
        </w:rPr>
        <w:t xml:space="preserve"> </w:t>
      </w:r>
      <w:r w:rsidRPr="00174D5C" w:rsidR="003471DF">
        <w:rPr>
          <w:rFonts w:ascii="Arial" w:hAnsi="Arial" w:cs="Arial"/>
        </w:rPr>
        <w:t xml:space="preserve">Národnej rady Slovenskej republiky </w:t>
      </w:r>
      <w:r w:rsidRPr="00174D5C" w:rsidR="00BC35A3">
        <w:rPr>
          <w:rFonts w:ascii="Arial" w:hAnsi="Arial" w:cs="Arial"/>
        </w:rPr>
        <w:t>Pavol Zajac</w:t>
      </w:r>
      <w:r w:rsidR="00517923">
        <w:rPr>
          <w:rFonts w:ascii="Arial" w:hAnsi="Arial" w:cs="Arial"/>
        </w:rPr>
        <w:t>, Ján Hudacký a Ján Figeľ</w:t>
      </w:r>
      <w:r w:rsidRPr="00174D5C" w:rsidR="009A0D22">
        <w:rPr>
          <w:rFonts w:ascii="Arial" w:hAnsi="Arial" w:cs="Arial"/>
        </w:rPr>
        <w:t>.</w:t>
      </w:r>
      <w:r w:rsidRPr="00174D5C" w:rsidR="00D85665">
        <w:rPr>
          <w:rFonts w:ascii="Arial" w:hAnsi="Arial" w:cs="Arial"/>
        </w:rPr>
        <w:t xml:space="preserve"> </w:t>
      </w:r>
    </w:p>
    <w:p w:rsidR="000A5254" w:rsidP="006078BA">
      <w:pPr>
        <w:widowControl w:val="0"/>
        <w:autoSpaceDE w:val="0"/>
        <w:autoSpaceDN w:val="0"/>
        <w:bidi w:val="0"/>
        <w:adjustRightInd w:val="0"/>
        <w:ind w:right="-7" w:firstLine="567"/>
        <w:jc w:val="both"/>
        <w:rPr>
          <w:rFonts w:ascii="Arial" w:hAnsi="Arial" w:cs="Arial"/>
        </w:rPr>
      </w:pPr>
    </w:p>
    <w:p w:rsidR="000A5254" w:rsidP="006078BA">
      <w:pPr>
        <w:widowControl w:val="0"/>
        <w:autoSpaceDE w:val="0"/>
        <w:autoSpaceDN w:val="0"/>
        <w:bidi w:val="0"/>
        <w:adjustRightInd w:val="0"/>
        <w:ind w:right="-7" w:firstLine="567"/>
        <w:jc w:val="both"/>
        <w:rPr>
          <w:rFonts w:ascii="Arial" w:hAnsi="Arial" w:cs="Arial"/>
        </w:rPr>
      </w:pPr>
      <w:r w:rsidRPr="00174D5C" w:rsidR="008752F5">
        <w:rPr>
          <w:rFonts w:ascii="Arial" w:hAnsi="Arial" w:cs="Arial"/>
        </w:rPr>
        <w:t>C</w:t>
      </w:r>
      <w:r w:rsidRPr="00174D5C" w:rsidR="004559BB">
        <w:rPr>
          <w:rFonts w:ascii="Arial" w:hAnsi="Arial" w:cs="Arial"/>
        </w:rPr>
        <w:t xml:space="preserve">ieľom </w:t>
      </w:r>
      <w:r w:rsidRPr="00174D5C" w:rsidR="008752F5">
        <w:rPr>
          <w:rFonts w:ascii="Arial" w:hAnsi="Arial" w:cs="Arial"/>
        </w:rPr>
        <w:t xml:space="preserve">návrhu je </w:t>
      </w:r>
      <w:r w:rsidR="00CA435C">
        <w:rPr>
          <w:rFonts w:ascii="Arial" w:hAnsi="Arial" w:cs="Arial"/>
        </w:rPr>
        <w:t xml:space="preserve">zavedenie </w:t>
      </w:r>
      <w:r w:rsidRPr="00D50FF6" w:rsidR="0088074A">
        <w:rPr>
          <w:rFonts w:ascii="Arial" w:hAnsi="Arial" w:cs="Arial"/>
          <w:b/>
        </w:rPr>
        <w:t>maximáln</w:t>
      </w:r>
      <w:r w:rsidR="00CA435C">
        <w:rPr>
          <w:rFonts w:ascii="Arial" w:hAnsi="Arial" w:cs="Arial"/>
          <w:b/>
        </w:rPr>
        <w:t>ej</w:t>
      </w:r>
      <w:r w:rsidRPr="00D50FF6" w:rsidR="0088074A">
        <w:rPr>
          <w:rFonts w:ascii="Arial" w:hAnsi="Arial" w:cs="Arial"/>
          <w:b/>
        </w:rPr>
        <w:t xml:space="preserve"> výšk</w:t>
      </w:r>
      <w:r w:rsidR="00CA435C">
        <w:rPr>
          <w:rFonts w:ascii="Arial" w:hAnsi="Arial" w:cs="Arial"/>
          <w:b/>
        </w:rPr>
        <w:t>y</w:t>
      </w:r>
      <w:r w:rsidRPr="00D50FF6" w:rsidR="0088074A">
        <w:rPr>
          <w:rFonts w:ascii="Arial" w:hAnsi="Arial" w:cs="Arial"/>
          <w:b/>
        </w:rPr>
        <w:t xml:space="preserve"> </w:t>
      </w:r>
      <w:r w:rsidRPr="00D50FF6" w:rsidR="001671A2">
        <w:rPr>
          <w:rFonts w:ascii="Arial" w:hAnsi="Arial" w:cs="Arial"/>
          <w:b/>
        </w:rPr>
        <w:t>celkových nákladov spotrebiteľa</w:t>
      </w:r>
      <w:r w:rsidR="001671A2">
        <w:rPr>
          <w:rFonts w:ascii="Arial" w:hAnsi="Arial" w:cs="Arial"/>
        </w:rPr>
        <w:t xml:space="preserve"> spojených so spotrebiteľským úverom</w:t>
      </w:r>
      <w:r w:rsidR="0088074A">
        <w:rPr>
          <w:rFonts w:ascii="Arial" w:hAnsi="Arial" w:cs="Arial"/>
        </w:rPr>
        <w:t>.</w:t>
      </w:r>
      <w:r w:rsidR="00517923">
        <w:rPr>
          <w:rFonts w:ascii="Arial" w:hAnsi="Arial" w:cs="Arial"/>
        </w:rPr>
        <w:t xml:space="preserve"> </w:t>
      </w:r>
      <w:r w:rsidR="008B5AA1">
        <w:rPr>
          <w:rFonts w:ascii="Arial" w:hAnsi="Arial" w:cs="Arial"/>
        </w:rPr>
        <w:t>Predložen</w:t>
      </w:r>
      <w:r w:rsidR="00766DD4">
        <w:rPr>
          <w:rFonts w:ascii="Arial" w:hAnsi="Arial" w:cs="Arial"/>
        </w:rPr>
        <w:t xml:space="preserve">ý návrh </w:t>
      </w:r>
      <w:r w:rsidR="008B5AA1">
        <w:rPr>
          <w:rFonts w:ascii="Arial" w:hAnsi="Arial" w:cs="Arial"/>
        </w:rPr>
        <w:t xml:space="preserve">zákona </w:t>
      </w:r>
      <w:r w:rsidRPr="000C53D8" w:rsidR="008B5AA1">
        <w:rPr>
          <w:rFonts w:ascii="Arial" w:hAnsi="Arial" w:cs="Arial"/>
        </w:rPr>
        <w:t>o spotrebiteľských úveroch</w:t>
      </w:r>
      <w:r w:rsidR="008B5AA1">
        <w:rPr>
          <w:rFonts w:ascii="Arial" w:hAnsi="Arial" w:cs="Arial"/>
        </w:rPr>
        <w:t xml:space="preserve"> </w:t>
      </w:r>
      <w:r w:rsidR="0008085A">
        <w:rPr>
          <w:rFonts w:ascii="Arial" w:hAnsi="Arial" w:cs="Arial"/>
        </w:rPr>
        <w:t>ustanovuje, že c</w:t>
      </w:r>
      <w:r w:rsidR="00766DD4">
        <w:rPr>
          <w:rFonts w:ascii="Arial" w:hAnsi="Arial" w:cs="Arial"/>
        </w:rPr>
        <w:t>elkové náklady</w:t>
      </w:r>
      <w:r w:rsidRPr="00F03C7C" w:rsidR="00766DD4">
        <w:rPr>
          <w:rFonts w:ascii="Arial" w:hAnsi="Arial" w:cs="Arial"/>
        </w:rPr>
        <w:t xml:space="preserve"> </w:t>
      </w:r>
      <w:r w:rsidR="00766DD4">
        <w:rPr>
          <w:rFonts w:ascii="Arial" w:hAnsi="Arial" w:cs="Arial"/>
        </w:rPr>
        <w:t xml:space="preserve">spotrebiteľa </w:t>
      </w:r>
      <w:r w:rsidRPr="00F03C7C" w:rsidR="00766DD4">
        <w:rPr>
          <w:rFonts w:ascii="Arial" w:hAnsi="Arial" w:cs="Arial"/>
        </w:rPr>
        <w:t>za poskytnutie spotrebiteľského úveru nesm</w:t>
      </w:r>
      <w:r w:rsidR="00766DD4">
        <w:rPr>
          <w:rFonts w:ascii="Arial" w:hAnsi="Arial" w:cs="Arial"/>
        </w:rPr>
        <w:t>ú</w:t>
      </w:r>
      <w:r w:rsidRPr="00F03C7C" w:rsidR="00766DD4">
        <w:rPr>
          <w:rFonts w:ascii="Arial" w:hAnsi="Arial" w:cs="Arial"/>
        </w:rPr>
        <w:t xml:space="preserve"> prevýšiť výšku ustanovenú vyhláškou </w:t>
      </w:r>
      <w:r w:rsidR="006078BA">
        <w:rPr>
          <w:rFonts w:ascii="Arial" w:hAnsi="Arial" w:cs="Arial"/>
        </w:rPr>
        <w:t>M</w:t>
      </w:r>
      <w:r w:rsidRPr="00F03C7C" w:rsidR="00766DD4">
        <w:rPr>
          <w:rFonts w:ascii="Arial" w:hAnsi="Arial" w:cs="Arial"/>
        </w:rPr>
        <w:t>inisterstva</w:t>
      </w:r>
      <w:r w:rsidR="006078BA">
        <w:rPr>
          <w:rFonts w:ascii="Arial" w:hAnsi="Arial" w:cs="Arial"/>
        </w:rPr>
        <w:t xml:space="preserve"> financií</w:t>
      </w:r>
      <w:r w:rsidR="0008085A">
        <w:rPr>
          <w:rFonts w:ascii="Arial" w:hAnsi="Arial" w:cs="Arial"/>
        </w:rPr>
        <w:t>, inak bude zmluva neplatná</w:t>
      </w:r>
      <w:r w:rsidRPr="00F03C7C" w:rsidR="00766DD4">
        <w:rPr>
          <w:rFonts w:ascii="Arial" w:hAnsi="Arial" w:cs="Arial"/>
        </w:rPr>
        <w:t>.</w:t>
      </w:r>
      <w:r w:rsidRPr="006078BA" w:rsidR="006078BA">
        <w:rPr>
          <w:rFonts w:ascii="Arial" w:hAnsi="Arial" w:cs="Arial"/>
        </w:rPr>
        <w:t xml:space="preserve"> </w:t>
      </w:r>
    </w:p>
    <w:p w:rsidR="00130A2F" w:rsidP="00130A2F">
      <w:pPr>
        <w:widowControl w:val="0"/>
        <w:autoSpaceDE w:val="0"/>
        <w:autoSpaceDN w:val="0"/>
        <w:bidi w:val="0"/>
        <w:adjustRightInd w:val="0"/>
        <w:ind w:right="-7" w:firstLine="567"/>
        <w:jc w:val="both"/>
        <w:rPr>
          <w:rFonts w:ascii="Arial" w:hAnsi="Arial" w:cs="Arial"/>
        </w:rPr>
      </w:pPr>
      <w:r w:rsidRPr="00517923" w:rsidR="0008085A">
        <w:rPr>
          <w:rFonts w:ascii="Arial" w:hAnsi="Arial" w:cs="Arial"/>
          <w:b/>
        </w:rPr>
        <w:t>Celkovými nákladmi spotrebiteľa</w:t>
      </w:r>
      <w:r w:rsidRPr="00517923" w:rsidR="0008085A">
        <w:rPr>
          <w:rFonts w:ascii="Arial" w:hAnsi="Arial" w:cs="Arial"/>
        </w:rPr>
        <w:t xml:space="preserve"> spojenými so spotrebiteľským úverom</w:t>
      </w:r>
      <w:r w:rsidR="0008085A">
        <w:rPr>
          <w:rFonts w:ascii="Arial" w:hAnsi="Arial" w:cs="Arial"/>
        </w:rPr>
        <w:t xml:space="preserve"> sú</w:t>
      </w:r>
      <w:r w:rsidRPr="00517923" w:rsidR="0008085A">
        <w:rPr>
          <w:rFonts w:ascii="Arial" w:hAnsi="Arial" w:cs="Arial"/>
        </w:rPr>
        <w:t xml:space="preserve"> </w:t>
      </w:r>
      <w:r w:rsidRPr="00517923" w:rsidR="0008085A">
        <w:rPr>
          <w:rFonts w:ascii="Arial" w:hAnsi="Arial" w:cs="Arial"/>
          <w:b/>
        </w:rPr>
        <w:t>všetky náklady vrátane úrokov, provízií, daní a poplatkov</w:t>
      </w:r>
      <w:r w:rsidRPr="00517923" w:rsidR="0008085A">
        <w:rPr>
          <w:rFonts w:ascii="Arial" w:hAnsi="Arial" w:cs="Arial"/>
        </w:rPr>
        <w:t xml:space="preserve"> akéhokoľvek druhu, ktoré musí spotrebiteľ zaplatiť v súvislosti so spotrebiteľsk</w:t>
      </w:r>
      <w:r w:rsidR="0008085A">
        <w:rPr>
          <w:rFonts w:ascii="Arial" w:hAnsi="Arial" w:cs="Arial"/>
        </w:rPr>
        <w:t>ým</w:t>
      </w:r>
      <w:r w:rsidRPr="00517923" w:rsidR="0008085A">
        <w:rPr>
          <w:rFonts w:ascii="Arial" w:hAnsi="Arial" w:cs="Arial"/>
        </w:rPr>
        <w:t xml:space="preserve"> úver</w:t>
      </w:r>
      <w:r w:rsidR="0008085A">
        <w:rPr>
          <w:rFonts w:ascii="Arial" w:hAnsi="Arial" w:cs="Arial"/>
        </w:rPr>
        <w:t>om</w:t>
      </w:r>
      <w:r w:rsidRPr="00517923" w:rsidR="0008085A">
        <w:rPr>
          <w:rFonts w:ascii="Arial" w:hAnsi="Arial" w:cs="Arial"/>
        </w:rPr>
        <w:t xml:space="preserve"> </w:t>
      </w:r>
      <w:r w:rsidR="0008085A">
        <w:rPr>
          <w:rFonts w:ascii="Arial" w:hAnsi="Arial" w:cs="Arial"/>
        </w:rPr>
        <w:t>(</w:t>
      </w:r>
      <w:r w:rsidRPr="00517923" w:rsidR="0008085A">
        <w:rPr>
          <w:rFonts w:ascii="Arial" w:hAnsi="Arial" w:cs="Arial"/>
        </w:rPr>
        <w:t>okrem notárskych poplatkov</w:t>
      </w:r>
      <w:r w:rsidR="0008085A">
        <w:rPr>
          <w:rFonts w:ascii="Arial" w:hAnsi="Arial" w:cs="Arial"/>
        </w:rPr>
        <w:t>). D</w:t>
      </w:r>
      <w:r w:rsidRPr="00517923" w:rsidR="0008085A">
        <w:rPr>
          <w:rFonts w:ascii="Arial" w:hAnsi="Arial" w:cs="Arial"/>
        </w:rPr>
        <w:t xml:space="preserve">o celkových nákladov </w:t>
      </w:r>
      <w:r w:rsidRPr="00517923" w:rsidR="0008085A">
        <w:rPr>
          <w:rFonts w:ascii="Arial" w:hAnsi="Arial" w:cs="Arial"/>
          <w:b/>
        </w:rPr>
        <w:t>patria aj náklady na doplnkové služby</w:t>
      </w:r>
      <w:r w:rsidRPr="00517923" w:rsidR="0008085A">
        <w:rPr>
          <w:rFonts w:ascii="Arial" w:hAnsi="Arial" w:cs="Arial"/>
        </w:rPr>
        <w:t xml:space="preserve"> súvisiace so zmluvou o spotrebiteľskom úvere, a to najmä poistné, ak spotrebiteľ mus</w:t>
      </w:r>
      <w:r w:rsidR="0008085A">
        <w:rPr>
          <w:rFonts w:ascii="Arial" w:hAnsi="Arial" w:cs="Arial"/>
        </w:rPr>
        <w:t>el</w:t>
      </w:r>
      <w:r w:rsidRPr="00517923" w:rsidR="0008085A">
        <w:rPr>
          <w:rFonts w:ascii="Arial" w:hAnsi="Arial" w:cs="Arial"/>
        </w:rPr>
        <w:t xml:space="preserve"> navyše uzavrieť zmluvu o poskytnutí takejto doplnkovej služby, aby získal spotrebiteľský úver alebo aby ho získal za ponúkaných podmienok</w:t>
      </w:r>
      <w:r w:rsidR="0008085A">
        <w:rPr>
          <w:rFonts w:ascii="Arial" w:hAnsi="Arial" w:cs="Arial"/>
        </w:rPr>
        <w:t>.</w:t>
      </w:r>
      <w:r>
        <w:rPr>
          <w:rFonts w:ascii="Arial" w:hAnsi="Arial" w:cs="Arial"/>
        </w:rPr>
        <w:t xml:space="preserve"> </w:t>
      </w:r>
    </w:p>
    <w:p w:rsidR="000A5254" w:rsidP="000A5254">
      <w:pPr>
        <w:widowControl w:val="0"/>
        <w:autoSpaceDE w:val="0"/>
        <w:autoSpaceDN w:val="0"/>
        <w:bidi w:val="0"/>
        <w:adjustRightInd w:val="0"/>
        <w:ind w:right="-7" w:firstLine="567"/>
        <w:jc w:val="both"/>
        <w:rPr>
          <w:rFonts w:ascii="Arial" w:hAnsi="Arial" w:cs="Arial"/>
        </w:rPr>
      </w:pPr>
      <w:r>
        <w:rPr>
          <w:rFonts w:ascii="Arial" w:hAnsi="Arial" w:cs="Arial"/>
        </w:rPr>
        <w:t>Návrh novely taktiež pri definícii spotrebiteľského úveru vypúšťa slová „o spotrebiteľskom úvere“ z dôvodu, aby každá pôžička, úver, odložená platba alebo obdobná finančná pomoc poskytnutá spotrebiteľovi na základe zmluvy bola považovaná za spotrebiteľský úver. Aplikačná prax potvrdila, že veritelia často nazývajú klasické spotrebiteľské zmluvy inými názvami, pričom podľa obsahu zmluvy ide jednoznačne o zmluvu o spotrebiteľskom úvere.</w:t>
      </w:r>
      <w:r w:rsidRPr="00174D5C">
        <w:rPr>
          <w:rFonts w:ascii="Arial" w:hAnsi="Arial" w:cs="Arial"/>
        </w:rPr>
        <w:t xml:space="preserve"> </w:t>
      </w:r>
    </w:p>
    <w:p w:rsidR="006078BA" w:rsidP="004F0EAB">
      <w:pPr>
        <w:bidi w:val="0"/>
        <w:ind w:firstLine="720"/>
        <w:jc w:val="both"/>
        <w:rPr>
          <w:rFonts w:ascii="Arial" w:hAnsi="Arial" w:cs="Arial"/>
        </w:rPr>
      </w:pPr>
    </w:p>
    <w:p w:rsidR="008752F5" w:rsidP="004F0EAB">
      <w:pPr>
        <w:bidi w:val="0"/>
        <w:ind w:firstLine="720"/>
        <w:jc w:val="both"/>
        <w:rPr>
          <w:rFonts w:ascii="Arial" w:hAnsi="Arial" w:cs="Arial"/>
        </w:rPr>
      </w:pPr>
      <w:r w:rsidRPr="00174D5C" w:rsidR="00FF43AC">
        <w:rPr>
          <w:rFonts w:ascii="Arial" w:hAnsi="Arial" w:cs="Arial"/>
        </w:rPr>
        <w:t xml:space="preserve">Navrhovaná právna úprava je v súlade s Ústavou Slovenskej republiky, ďalšími všeobecne záväznými právnymi predpismi, </w:t>
      </w:r>
      <w:r w:rsidRPr="00174D5C">
        <w:rPr>
          <w:rFonts w:ascii="Arial" w:hAnsi="Arial" w:cs="Arial"/>
        </w:rPr>
        <w:t xml:space="preserve">medzinárodnými zmluvami a inými medzinárodnými dokumentmi, ktorými je Slovenská republika viazaná, ako aj s právom Európskej únie. </w:t>
      </w:r>
    </w:p>
    <w:p w:rsidR="006078BA" w:rsidP="009767A6">
      <w:pPr>
        <w:bidi w:val="0"/>
        <w:ind w:firstLine="720"/>
        <w:jc w:val="both"/>
        <w:rPr>
          <w:rFonts w:ascii="Arial" w:hAnsi="Arial" w:cs="Arial"/>
        </w:rPr>
      </w:pPr>
    </w:p>
    <w:p w:rsidR="009767A6" w:rsidP="009767A6">
      <w:pPr>
        <w:bidi w:val="0"/>
        <w:ind w:firstLine="720"/>
        <w:jc w:val="both"/>
        <w:rPr>
          <w:rFonts w:ascii="Arial" w:hAnsi="Arial" w:cs="Arial"/>
        </w:rPr>
      </w:pPr>
      <w:r w:rsidRPr="00174D5C" w:rsidR="00267FF7">
        <w:rPr>
          <w:rFonts w:ascii="Arial" w:hAnsi="Arial" w:cs="Arial"/>
        </w:rPr>
        <w:t>Vplyv návrhu zákona na štátny rozpočet, na rozpočty obcí a na rozpočty vyšších územných celkov sa uvádza v doložke o posúdení vplyvov.</w:t>
      </w:r>
    </w:p>
    <w:p w:rsidR="00130A2F" w:rsidP="009767A6">
      <w:pPr>
        <w:bidi w:val="0"/>
        <w:ind w:firstLine="720"/>
        <w:jc w:val="both"/>
        <w:rPr>
          <w:rFonts w:ascii="Arial" w:hAnsi="Arial" w:cs="Arial"/>
        </w:rPr>
      </w:pPr>
    </w:p>
    <w:p w:rsidR="006078BA" w:rsidP="009767A6">
      <w:pPr>
        <w:bidi w:val="0"/>
        <w:ind w:firstLine="720"/>
        <w:jc w:val="both"/>
        <w:rPr>
          <w:rFonts w:ascii="Arial" w:hAnsi="Arial" w:cs="Arial"/>
        </w:rPr>
      </w:pPr>
    </w:p>
    <w:p w:rsidR="006078BA" w:rsidP="009767A6">
      <w:pPr>
        <w:bidi w:val="0"/>
        <w:ind w:firstLine="720"/>
        <w:jc w:val="both"/>
        <w:rPr>
          <w:rFonts w:ascii="Arial" w:hAnsi="Arial" w:cs="Arial"/>
        </w:rPr>
      </w:pPr>
    </w:p>
    <w:p w:rsidR="006078BA" w:rsidP="009767A6">
      <w:pPr>
        <w:bidi w:val="0"/>
        <w:ind w:firstLine="720"/>
        <w:jc w:val="both"/>
        <w:rPr>
          <w:rFonts w:ascii="Arial" w:hAnsi="Arial" w:cs="Arial"/>
        </w:rPr>
      </w:pPr>
    </w:p>
    <w:p w:rsidR="006078BA" w:rsidP="009767A6">
      <w:pPr>
        <w:bidi w:val="0"/>
        <w:ind w:firstLine="720"/>
        <w:jc w:val="both"/>
        <w:rPr>
          <w:rFonts w:ascii="Arial" w:hAnsi="Arial" w:cs="Arial"/>
        </w:rPr>
      </w:pPr>
    </w:p>
    <w:p w:rsidR="006078BA" w:rsidP="009767A6">
      <w:pPr>
        <w:bidi w:val="0"/>
        <w:ind w:firstLine="720"/>
        <w:jc w:val="both"/>
        <w:rPr>
          <w:rFonts w:ascii="Arial" w:hAnsi="Arial" w:cs="Arial"/>
        </w:rPr>
      </w:pPr>
    </w:p>
    <w:p w:rsidR="006078BA" w:rsidP="009767A6">
      <w:pPr>
        <w:bidi w:val="0"/>
        <w:ind w:firstLine="720"/>
        <w:jc w:val="both"/>
        <w:rPr>
          <w:rFonts w:ascii="Arial" w:hAnsi="Arial" w:cs="Arial"/>
        </w:rPr>
      </w:pPr>
    </w:p>
    <w:p w:rsidR="006078BA" w:rsidP="009767A6">
      <w:pPr>
        <w:bidi w:val="0"/>
        <w:ind w:firstLine="720"/>
        <w:jc w:val="both"/>
        <w:rPr>
          <w:rFonts w:ascii="Arial" w:hAnsi="Arial" w:cs="Arial"/>
        </w:rPr>
      </w:pPr>
    </w:p>
    <w:p w:rsidR="006078BA" w:rsidP="009767A6">
      <w:pPr>
        <w:bidi w:val="0"/>
        <w:ind w:firstLine="720"/>
        <w:jc w:val="both"/>
        <w:rPr>
          <w:rFonts w:ascii="Arial" w:hAnsi="Arial" w:cs="Arial"/>
        </w:rPr>
      </w:pPr>
    </w:p>
    <w:p w:rsidR="006078BA" w:rsidP="009767A6">
      <w:pPr>
        <w:bidi w:val="0"/>
        <w:ind w:firstLine="720"/>
        <w:jc w:val="both"/>
        <w:rPr>
          <w:rFonts w:ascii="Arial" w:hAnsi="Arial" w:cs="Arial"/>
        </w:rPr>
      </w:pPr>
    </w:p>
    <w:p w:rsidR="006078BA" w:rsidP="009767A6">
      <w:pPr>
        <w:bidi w:val="0"/>
        <w:ind w:firstLine="720"/>
        <w:jc w:val="both"/>
        <w:rPr>
          <w:rFonts w:ascii="Arial" w:hAnsi="Arial" w:cs="Arial"/>
        </w:rPr>
      </w:pPr>
    </w:p>
    <w:p w:rsidR="00BB3823" w:rsidRPr="0033126C" w:rsidP="0073168B">
      <w:pPr>
        <w:numPr>
          <w:numId w:val="1"/>
        </w:numPr>
        <w:tabs>
          <w:tab w:val="clear" w:pos="1080"/>
        </w:tabs>
        <w:bidi w:val="0"/>
        <w:ind w:left="374" w:hanging="374"/>
        <w:jc w:val="both"/>
        <w:rPr>
          <w:rFonts w:ascii="Arial" w:hAnsi="Arial" w:cs="Arial"/>
          <w:b/>
          <w:sz w:val="28"/>
          <w:szCs w:val="28"/>
        </w:rPr>
      </w:pPr>
      <w:r w:rsidRPr="0033126C">
        <w:rPr>
          <w:rFonts w:ascii="Arial" w:hAnsi="Arial" w:cs="Arial"/>
          <w:b/>
          <w:sz w:val="28"/>
          <w:szCs w:val="28"/>
        </w:rPr>
        <w:t>Osobitná časť</w:t>
      </w:r>
    </w:p>
    <w:p w:rsidR="00BB3823" w:rsidRPr="0033126C" w:rsidP="00BB3823">
      <w:pPr>
        <w:bidi w:val="0"/>
        <w:jc w:val="both"/>
        <w:rPr>
          <w:rFonts w:ascii="Arial" w:hAnsi="Arial" w:cs="Arial"/>
        </w:rPr>
      </w:pPr>
    </w:p>
    <w:p w:rsidR="00BB3823" w:rsidRPr="0033126C" w:rsidP="00BB3823">
      <w:pPr>
        <w:bidi w:val="0"/>
        <w:jc w:val="both"/>
        <w:rPr>
          <w:rFonts w:ascii="Arial" w:hAnsi="Arial" w:cs="Arial"/>
          <w:b/>
          <w:sz w:val="26"/>
          <w:szCs w:val="26"/>
        </w:rPr>
      </w:pPr>
      <w:r w:rsidRPr="0033126C" w:rsidR="00124EA0">
        <w:rPr>
          <w:rFonts w:ascii="Arial" w:hAnsi="Arial" w:cs="Arial"/>
          <w:b/>
          <w:sz w:val="26"/>
          <w:szCs w:val="26"/>
        </w:rPr>
        <w:t>K č</w:t>
      </w:r>
      <w:r w:rsidRPr="0033126C">
        <w:rPr>
          <w:rFonts w:ascii="Arial" w:hAnsi="Arial" w:cs="Arial"/>
          <w:b/>
          <w:sz w:val="26"/>
          <w:szCs w:val="26"/>
        </w:rPr>
        <w:t>l. I</w:t>
      </w:r>
    </w:p>
    <w:p w:rsidR="00FF43AC" w:rsidRPr="0033126C" w:rsidP="00FF43AC">
      <w:pPr>
        <w:bidi w:val="0"/>
        <w:jc w:val="both"/>
        <w:rPr>
          <w:rFonts w:ascii="Arial" w:hAnsi="Arial" w:cs="Arial"/>
          <w:b/>
          <w:sz w:val="26"/>
          <w:szCs w:val="26"/>
        </w:rPr>
      </w:pPr>
    </w:p>
    <w:p w:rsidR="00FB3B6C" w:rsidRPr="0033126C" w:rsidP="00FB3B6C">
      <w:pPr>
        <w:bidi w:val="0"/>
        <w:jc w:val="both"/>
        <w:rPr>
          <w:rFonts w:ascii="Arial" w:hAnsi="Arial" w:cs="Arial"/>
          <w:sz w:val="26"/>
          <w:szCs w:val="26"/>
          <w:u w:val="single"/>
        </w:rPr>
      </w:pPr>
      <w:r w:rsidRPr="0033126C">
        <w:rPr>
          <w:rFonts w:ascii="Arial" w:hAnsi="Arial" w:cs="Arial"/>
          <w:sz w:val="26"/>
          <w:szCs w:val="26"/>
          <w:u w:val="single"/>
        </w:rPr>
        <w:t>K bodu 1:</w:t>
      </w:r>
    </w:p>
    <w:p w:rsidR="00FB3B6C" w:rsidP="00C466FB">
      <w:pPr>
        <w:bidi w:val="0"/>
        <w:jc w:val="both"/>
        <w:rPr>
          <w:rFonts w:ascii="Arial" w:hAnsi="Arial" w:cs="Arial"/>
        </w:rPr>
      </w:pPr>
      <w:r w:rsidR="00450F18">
        <w:rPr>
          <w:rFonts w:ascii="Arial" w:hAnsi="Arial" w:cs="Arial"/>
        </w:rPr>
        <w:t xml:space="preserve">V </w:t>
      </w:r>
      <w:r w:rsidRPr="00C466FB" w:rsidR="00450F18">
        <w:rPr>
          <w:rFonts w:ascii="Arial" w:hAnsi="Arial" w:cs="Arial"/>
        </w:rPr>
        <w:t xml:space="preserve">§ </w:t>
      </w:r>
      <w:r w:rsidR="00D50FF6">
        <w:rPr>
          <w:rFonts w:ascii="Arial" w:hAnsi="Arial" w:cs="Arial"/>
        </w:rPr>
        <w:t>1 ods. 2</w:t>
      </w:r>
      <w:r w:rsidR="00450F18">
        <w:rPr>
          <w:rFonts w:ascii="Arial" w:hAnsi="Arial" w:cs="Arial"/>
        </w:rPr>
        <w:t xml:space="preserve"> </w:t>
      </w:r>
      <w:r w:rsidR="00D50FF6">
        <w:rPr>
          <w:rFonts w:ascii="Arial" w:hAnsi="Arial" w:cs="Arial"/>
        </w:rPr>
        <w:t xml:space="preserve">sa </w:t>
      </w:r>
      <w:r w:rsidR="00450F18">
        <w:rPr>
          <w:rFonts w:ascii="Arial" w:hAnsi="Arial" w:cs="Arial"/>
        </w:rPr>
        <w:t>vypúšťa</w:t>
      </w:r>
      <w:r w:rsidR="00D50FF6">
        <w:rPr>
          <w:rFonts w:ascii="Arial" w:hAnsi="Arial" w:cs="Arial"/>
        </w:rPr>
        <w:t>jú</w:t>
      </w:r>
      <w:r w:rsidR="00450F18">
        <w:rPr>
          <w:rFonts w:ascii="Arial" w:hAnsi="Arial" w:cs="Arial"/>
        </w:rPr>
        <w:t xml:space="preserve"> slová „o spotrebiteľskom úvere“ z dôvodu, aby </w:t>
      </w:r>
      <w:r w:rsidR="007D5D2C">
        <w:rPr>
          <w:rFonts w:ascii="Arial" w:hAnsi="Arial" w:cs="Arial"/>
        </w:rPr>
        <w:t xml:space="preserve">každá </w:t>
      </w:r>
      <w:r w:rsidR="00450F18">
        <w:rPr>
          <w:rFonts w:ascii="Arial" w:hAnsi="Arial" w:cs="Arial"/>
        </w:rPr>
        <w:t>pôžičk</w:t>
      </w:r>
      <w:r w:rsidR="007D5D2C">
        <w:rPr>
          <w:rFonts w:ascii="Arial" w:hAnsi="Arial" w:cs="Arial"/>
        </w:rPr>
        <w:t>a</w:t>
      </w:r>
      <w:r w:rsidR="00450F18">
        <w:rPr>
          <w:rFonts w:ascii="Arial" w:hAnsi="Arial" w:cs="Arial"/>
        </w:rPr>
        <w:t>, úver, odložen</w:t>
      </w:r>
      <w:r w:rsidR="007D5D2C">
        <w:rPr>
          <w:rFonts w:ascii="Arial" w:hAnsi="Arial" w:cs="Arial"/>
        </w:rPr>
        <w:t>á</w:t>
      </w:r>
      <w:r w:rsidR="00450F18">
        <w:rPr>
          <w:rFonts w:ascii="Arial" w:hAnsi="Arial" w:cs="Arial"/>
        </w:rPr>
        <w:t xml:space="preserve"> platb</w:t>
      </w:r>
      <w:r w:rsidR="007D5D2C">
        <w:rPr>
          <w:rFonts w:ascii="Arial" w:hAnsi="Arial" w:cs="Arial"/>
        </w:rPr>
        <w:t>a</w:t>
      </w:r>
      <w:r w:rsidR="00450F18">
        <w:rPr>
          <w:rFonts w:ascii="Arial" w:hAnsi="Arial" w:cs="Arial"/>
        </w:rPr>
        <w:t xml:space="preserve"> alebo o</w:t>
      </w:r>
      <w:r w:rsidR="007D5D2C">
        <w:rPr>
          <w:rFonts w:ascii="Arial" w:hAnsi="Arial" w:cs="Arial"/>
        </w:rPr>
        <w:t>bdobná</w:t>
      </w:r>
      <w:r w:rsidR="00450F18">
        <w:rPr>
          <w:rFonts w:ascii="Arial" w:hAnsi="Arial" w:cs="Arial"/>
        </w:rPr>
        <w:t xml:space="preserve"> finančn</w:t>
      </w:r>
      <w:r w:rsidR="007D5D2C">
        <w:rPr>
          <w:rFonts w:ascii="Arial" w:hAnsi="Arial" w:cs="Arial"/>
        </w:rPr>
        <w:t>á</w:t>
      </w:r>
      <w:r w:rsidR="00450F18">
        <w:rPr>
          <w:rFonts w:ascii="Arial" w:hAnsi="Arial" w:cs="Arial"/>
        </w:rPr>
        <w:t xml:space="preserve"> pomoc poskytnut</w:t>
      </w:r>
      <w:r w:rsidR="007D5D2C">
        <w:rPr>
          <w:rFonts w:ascii="Arial" w:hAnsi="Arial" w:cs="Arial"/>
        </w:rPr>
        <w:t>á</w:t>
      </w:r>
      <w:r w:rsidR="00450F18">
        <w:rPr>
          <w:rFonts w:ascii="Arial" w:hAnsi="Arial" w:cs="Arial"/>
        </w:rPr>
        <w:t xml:space="preserve"> spotrebiteľovi </w:t>
      </w:r>
      <w:r w:rsidR="007D5D2C">
        <w:rPr>
          <w:rFonts w:ascii="Arial" w:hAnsi="Arial" w:cs="Arial"/>
        </w:rPr>
        <w:t xml:space="preserve">na základe zmluvy </w:t>
      </w:r>
      <w:r w:rsidR="00450F18">
        <w:rPr>
          <w:rFonts w:ascii="Arial" w:hAnsi="Arial" w:cs="Arial"/>
        </w:rPr>
        <w:t>bola považovaná</w:t>
      </w:r>
      <w:r w:rsidR="007D5D2C">
        <w:rPr>
          <w:rFonts w:ascii="Arial" w:hAnsi="Arial" w:cs="Arial"/>
        </w:rPr>
        <w:t xml:space="preserve"> za spotrebiteľský úver.</w:t>
      </w:r>
      <w:r w:rsidRPr="00174D5C">
        <w:rPr>
          <w:rFonts w:ascii="Arial" w:hAnsi="Arial" w:cs="Arial"/>
        </w:rPr>
        <w:t xml:space="preserve"> </w:t>
      </w:r>
    </w:p>
    <w:p w:rsidR="00FB3B6C" w:rsidP="00EC72C8">
      <w:pPr>
        <w:bidi w:val="0"/>
        <w:jc w:val="both"/>
        <w:rPr>
          <w:rFonts w:ascii="Arial" w:hAnsi="Arial" w:cs="Arial"/>
          <w:sz w:val="26"/>
          <w:szCs w:val="26"/>
          <w:u w:val="single"/>
        </w:rPr>
      </w:pPr>
    </w:p>
    <w:p w:rsidR="00EC72C8" w:rsidRPr="0033126C" w:rsidP="00EC72C8">
      <w:pPr>
        <w:bidi w:val="0"/>
        <w:jc w:val="both"/>
        <w:rPr>
          <w:rFonts w:ascii="Arial" w:hAnsi="Arial" w:cs="Arial"/>
          <w:sz w:val="26"/>
          <w:szCs w:val="26"/>
          <w:u w:val="single"/>
        </w:rPr>
      </w:pPr>
      <w:r w:rsidRPr="0033126C">
        <w:rPr>
          <w:rFonts w:ascii="Arial" w:hAnsi="Arial" w:cs="Arial"/>
          <w:sz w:val="26"/>
          <w:szCs w:val="26"/>
          <w:u w:val="single"/>
        </w:rPr>
        <w:t xml:space="preserve">K bodu </w:t>
      </w:r>
      <w:r w:rsidR="00FB3B6C">
        <w:rPr>
          <w:rFonts w:ascii="Arial" w:hAnsi="Arial" w:cs="Arial"/>
          <w:sz w:val="26"/>
          <w:szCs w:val="26"/>
          <w:u w:val="single"/>
        </w:rPr>
        <w:t>2</w:t>
      </w:r>
      <w:r w:rsidRPr="0033126C">
        <w:rPr>
          <w:rFonts w:ascii="Arial" w:hAnsi="Arial" w:cs="Arial"/>
          <w:sz w:val="26"/>
          <w:szCs w:val="26"/>
          <w:u w:val="single"/>
        </w:rPr>
        <w:t>:</w:t>
      </w:r>
    </w:p>
    <w:p w:rsidR="00885D7A" w:rsidP="00C466FB">
      <w:pPr>
        <w:bidi w:val="0"/>
        <w:jc w:val="both"/>
        <w:rPr>
          <w:rFonts w:ascii="Arial" w:hAnsi="Arial" w:cs="Arial"/>
        </w:rPr>
      </w:pPr>
      <w:r>
        <w:rPr>
          <w:rFonts w:ascii="Arial" w:hAnsi="Arial" w:cs="Arial"/>
        </w:rPr>
        <w:t xml:space="preserve">V </w:t>
      </w:r>
      <w:r w:rsidRPr="00C466FB" w:rsidR="00C466FB">
        <w:rPr>
          <w:rFonts w:ascii="Arial" w:hAnsi="Arial" w:cs="Arial"/>
        </w:rPr>
        <w:t xml:space="preserve">§ </w:t>
      </w:r>
      <w:r>
        <w:rPr>
          <w:rFonts w:ascii="Arial" w:hAnsi="Arial" w:cs="Arial"/>
        </w:rPr>
        <w:t>19 sa dopĺňa ustanovenie</w:t>
      </w:r>
      <w:r w:rsidRPr="00885D7A">
        <w:rPr>
          <w:rFonts w:ascii="Arial" w:hAnsi="Arial" w:cs="Arial"/>
        </w:rPr>
        <w:t xml:space="preserve">, že </w:t>
      </w:r>
      <w:r w:rsidR="0052420F">
        <w:rPr>
          <w:rFonts w:ascii="Arial" w:hAnsi="Arial" w:cs="Arial"/>
        </w:rPr>
        <w:t xml:space="preserve">maximálna výška </w:t>
      </w:r>
      <w:r w:rsidRPr="00885D7A">
        <w:rPr>
          <w:rFonts w:ascii="Arial" w:hAnsi="Arial" w:cs="Arial"/>
        </w:rPr>
        <w:t>celkov</w:t>
      </w:r>
      <w:r w:rsidR="0052420F">
        <w:rPr>
          <w:rFonts w:ascii="Arial" w:hAnsi="Arial" w:cs="Arial"/>
        </w:rPr>
        <w:t>ých</w:t>
      </w:r>
      <w:r>
        <w:rPr>
          <w:rFonts w:ascii="Arial" w:hAnsi="Arial" w:cs="Arial"/>
        </w:rPr>
        <w:t xml:space="preserve"> </w:t>
      </w:r>
      <w:r w:rsidRPr="00885D7A">
        <w:rPr>
          <w:rFonts w:ascii="Arial" w:hAnsi="Arial" w:cs="Arial"/>
        </w:rPr>
        <w:t>náklad</w:t>
      </w:r>
      <w:r w:rsidR="0052420F">
        <w:rPr>
          <w:rFonts w:ascii="Arial" w:hAnsi="Arial" w:cs="Arial"/>
        </w:rPr>
        <w:t>ov</w:t>
      </w:r>
      <w:r w:rsidRPr="00885D7A">
        <w:rPr>
          <w:rFonts w:ascii="Arial" w:hAnsi="Arial" w:cs="Arial"/>
        </w:rPr>
        <w:t xml:space="preserve"> spotrebiteľa </w:t>
      </w:r>
      <w:r>
        <w:rPr>
          <w:rFonts w:ascii="Arial" w:hAnsi="Arial" w:cs="Arial"/>
        </w:rPr>
        <w:t>za poskytnutie spotrebiteľského úveru nesm</w:t>
      </w:r>
      <w:r w:rsidR="0052420F">
        <w:rPr>
          <w:rFonts w:ascii="Arial" w:hAnsi="Arial" w:cs="Arial"/>
        </w:rPr>
        <w:t>ie</w:t>
      </w:r>
      <w:r>
        <w:rPr>
          <w:rFonts w:ascii="Arial" w:hAnsi="Arial" w:cs="Arial"/>
        </w:rPr>
        <w:t xml:space="preserve"> prevýšiť </w:t>
      </w:r>
      <w:r w:rsidR="0052420F">
        <w:rPr>
          <w:rFonts w:ascii="Arial" w:hAnsi="Arial" w:cs="Arial"/>
        </w:rPr>
        <w:t>hranicu</w:t>
      </w:r>
      <w:r>
        <w:rPr>
          <w:rFonts w:ascii="Arial" w:hAnsi="Arial" w:cs="Arial"/>
        </w:rPr>
        <w:t xml:space="preserve">, ktorá bude ustanovená vyhláškou Ministerstva financií. </w:t>
      </w:r>
    </w:p>
    <w:p w:rsidR="00BB3823" w:rsidRPr="0033126C" w:rsidP="00BB3823">
      <w:pPr>
        <w:bidi w:val="0"/>
        <w:jc w:val="both"/>
        <w:rPr>
          <w:rFonts w:ascii="Arial" w:hAnsi="Arial" w:cs="Arial"/>
          <w:sz w:val="26"/>
          <w:szCs w:val="26"/>
        </w:rPr>
      </w:pPr>
    </w:p>
    <w:p w:rsidR="00BB3823" w:rsidRPr="0033126C" w:rsidP="00BB3823">
      <w:pPr>
        <w:bidi w:val="0"/>
        <w:jc w:val="both"/>
        <w:rPr>
          <w:rFonts w:ascii="Arial" w:hAnsi="Arial" w:cs="Arial"/>
          <w:b/>
          <w:sz w:val="26"/>
          <w:szCs w:val="26"/>
        </w:rPr>
      </w:pPr>
      <w:r w:rsidRPr="0033126C">
        <w:rPr>
          <w:rFonts w:ascii="Arial" w:hAnsi="Arial" w:cs="Arial"/>
          <w:b/>
          <w:sz w:val="26"/>
          <w:szCs w:val="26"/>
        </w:rPr>
        <w:t>K čl. II:</w:t>
      </w:r>
    </w:p>
    <w:p w:rsidR="00C466FB" w:rsidP="00BB3823">
      <w:pPr>
        <w:bidi w:val="0"/>
        <w:ind w:firstLine="748"/>
        <w:jc w:val="both"/>
        <w:rPr>
          <w:rFonts w:ascii="Arial" w:hAnsi="Arial" w:cs="Arial"/>
        </w:rPr>
      </w:pPr>
    </w:p>
    <w:p w:rsidR="00BB3823" w:rsidRPr="00174D5C" w:rsidP="00BB3823">
      <w:pPr>
        <w:bidi w:val="0"/>
        <w:ind w:firstLine="748"/>
        <w:jc w:val="both"/>
        <w:rPr>
          <w:rFonts w:ascii="Arial" w:hAnsi="Arial" w:cs="Arial"/>
        </w:rPr>
      </w:pPr>
      <w:r w:rsidRPr="00174D5C">
        <w:rPr>
          <w:rFonts w:ascii="Arial" w:hAnsi="Arial" w:cs="Arial"/>
        </w:rPr>
        <w:t>Účinnosť sa navrhuje ustanoviť od 1.</w:t>
      </w:r>
      <w:r w:rsidRPr="00174D5C" w:rsidR="00BE5462">
        <w:rPr>
          <w:rFonts w:ascii="Arial" w:hAnsi="Arial" w:cs="Arial"/>
        </w:rPr>
        <w:t xml:space="preserve"> </w:t>
      </w:r>
      <w:r w:rsidR="00450F18">
        <w:rPr>
          <w:rFonts w:ascii="Arial" w:hAnsi="Arial" w:cs="Arial"/>
        </w:rPr>
        <w:t xml:space="preserve">mája </w:t>
      </w:r>
      <w:r w:rsidRPr="00174D5C">
        <w:rPr>
          <w:rFonts w:ascii="Arial" w:hAnsi="Arial" w:cs="Arial"/>
        </w:rPr>
        <w:t>20</w:t>
      </w:r>
      <w:r w:rsidRPr="00174D5C" w:rsidR="00BE5462">
        <w:rPr>
          <w:rFonts w:ascii="Arial" w:hAnsi="Arial" w:cs="Arial"/>
        </w:rPr>
        <w:t>1</w:t>
      </w:r>
      <w:r w:rsidR="00450F18">
        <w:rPr>
          <w:rFonts w:ascii="Arial" w:hAnsi="Arial" w:cs="Arial"/>
        </w:rPr>
        <w:t>4</w:t>
      </w:r>
      <w:r w:rsidRPr="00174D5C" w:rsidR="00BE5462">
        <w:rPr>
          <w:rFonts w:ascii="Arial" w:hAnsi="Arial" w:cs="Arial"/>
        </w:rPr>
        <w:t>.</w:t>
      </w:r>
    </w:p>
    <w:p w:rsidR="00BB3823" w:rsidRPr="0033126C">
      <w:pPr>
        <w:bidi w:val="0"/>
        <w:jc w:val="both"/>
        <w:rPr>
          <w:rFonts w:ascii="Arial" w:hAnsi="Arial" w:cs="Arial"/>
          <w:sz w:val="26"/>
          <w:szCs w:val="26"/>
        </w:rPr>
      </w:pPr>
    </w:p>
    <w:sectPr w:rsidSect="00050893">
      <w:footerReference w:type="even" r:id="rId5"/>
      <w:footerReference w:type="default" r:id="rId6"/>
      <w:pgSz w:w="12240" w:h="15840" w:code="1"/>
      <w:pgMar w:top="1276" w:right="1418" w:bottom="1276" w:left="1418" w:header="1418" w:footer="141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07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FB407B">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07B">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DC793C"/>
    <w:multiLevelType w:val="hybridMultilevel"/>
    <w:tmpl w:val="D6E82696"/>
    <w:lvl w:ilvl="0">
      <w:start w:val="1"/>
      <w:numFmt w:val="upperRoman"/>
      <w:lvlText w:val="%1."/>
      <w:lvlJc w:val="left"/>
      <w:pPr>
        <w:tabs>
          <w:tab w:val="num" w:pos="1080"/>
        </w:tabs>
        <w:ind w:left="1080" w:hanging="72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rawingGridHorizontalSpacing w:val="187"/>
  <w:displayVerticalDrawingGridEvery w:val="2"/>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EC193B"/>
    <w:rsid w:val="00050893"/>
    <w:rsid w:val="0008085A"/>
    <w:rsid w:val="000A5254"/>
    <w:rsid w:val="000A6EE9"/>
    <w:rsid w:val="000B1565"/>
    <w:rsid w:val="000C53D8"/>
    <w:rsid w:val="000D4345"/>
    <w:rsid w:val="000E6C02"/>
    <w:rsid w:val="00103F32"/>
    <w:rsid w:val="00106BDB"/>
    <w:rsid w:val="001136F7"/>
    <w:rsid w:val="001173D4"/>
    <w:rsid w:val="00124EA0"/>
    <w:rsid w:val="001277C9"/>
    <w:rsid w:val="00130A2F"/>
    <w:rsid w:val="00166AD2"/>
    <w:rsid w:val="001671A2"/>
    <w:rsid w:val="001717C1"/>
    <w:rsid w:val="00174D5C"/>
    <w:rsid w:val="001C097D"/>
    <w:rsid w:val="001D45EE"/>
    <w:rsid w:val="00203642"/>
    <w:rsid w:val="00203CCA"/>
    <w:rsid w:val="00205D84"/>
    <w:rsid w:val="002410AE"/>
    <w:rsid w:val="002666A8"/>
    <w:rsid w:val="00267FF7"/>
    <w:rsid w:val="002727F8"/>
    <w:rsid w:val="002C19CE"/>
    <w:rsid w:val="002C310C"/>
    <w:rsid w:val="002C5170"/>
    <w:rsid w:val="002D1CC6"/>
    <w:rsid w:val="002D6A66"/>
    <w:rsid w:val="00320D58"/>
    <w:rsid w:val="0032132F"/>
    <w:rsid w:val="0033126C"/>
    <w:rsid w:val="003326D2"/>
    <w:rsid w:val="003471DF"/>
    <w:rsid w:val="00355F3C"/>
    <w:rsid w:val="003614AE"/>
    <w:rsid w:val="00365769"/>
    <w:rsid w:val="0037395A"/>
    <w:rsid w:val="0038795A"/>
    <w:rsid w:val="003A303E"/>
    <w:rsid w:val="003A7B5B"/>
    <w:rsid w:val="003F098C"/>
    <w:rsid w:val="00401E81"/>
    <w:rsid w:val="004312F0"/>
    <w:rsid w:val="004325D1"/>
    <w:rsid w:val="00450F18"/>
    <w:rsid w:val="004559BB"/>
    <w:rsid w:val="00464032"/>
    <w:rsid w:val="00474FB7"/>
    <w:rsid w:val="0048118A"/>
    <w:rsid w:val="00494D46"/>
    <w:rsid w:val="00496179"/>
    <w:rsid w:val="004A175C"/>
    <w:rsid w:val="004A74FC"/>
    <w:rsid w:val="004C61CA"/>
    <w:rsid w:val="004E4187"/>
    <w:rsid w:val="004F0EAB"/>
    <w:rsid w:val="004F1F94"/>
    <w:rsid w:val="00517923"/>
    <w:rsid w:val="0052178B"/>
    <w:rsid w:val="0052420F"/>
    <w:rsid w:val="00527E9D"/>
    <w:rsid w:val="00532858"/>
    <w:rsid w:val="005409AC"/>
    <w:rsid w:val="00541C30"/>
    <w:rsid w:val="005427C1"/>
    <w:rsid w:val="0056058F"/>
    <w:rsid w:val="005862F9"/>
    <w:rsid w:val="005945C3"/>
    <w:rsid w:val="005F7AE5"/>
    <w:rsid w:val="006078BA"/>
    <w:rsid w:val="00653651"/>
    <w:rsid w:val="006701C5"/>
    <w:rsid w:val="00682012"/>
    <w:rsid w:val="00691D80"/>
    <w:rsid w:val="006D02CA"/>
    <w:rsid w:val="006D5D25"/>
    <w:rsid w:val="006F3157"/>
    <w:rsid w:val="0073168B"/>
    <w:rsid w:val="00737579"/>
    <w:rsid w:val="007540E1"/>
    <w:rsid w:val="00765617"/>
    <w:rsid w:val="00766226"/>
    <w:rsid w:val="00766DD4"/>
    <w:rsid w:val="0078176B"/>
    <w:rsid w:val="007840CA"/>
    <w:rsid w:val="00792824"/>
    <w:rsid w:val="007A7D68"/>
    <w:rsid w:val="007D5D2C"/>
    <w:rsid w:val="007E37B1"/>
    <w:rsid w:val="007F0AA3"/>
    <w:rsid w:val="007F2709"/>
    <w:rsid w:val="008040E9"/>
    <w:rsid w:val="008105E1"/>
    <w:rsid w:val="00814DB2"/>
    <w:rsid w:val="00816AC2"/>
    <w:rsid w:val="00835A0B"/>
    <w:rsid w:val="00856294"/>
    <w:rsid w:val="00860639"/>
    <w:rsid w:val="00863968"/>
    <w:rsid w:val="008752F5"/>
    <w:rsid w:val="00877EFC"/>
    <w:rsid w:val="0088074A"/>
    <w:rsid w:val="0088213E"/>
    <w:rsid w:val="00882E88"/>
    <w:rsid w:val="00885D7A"/>
    <w:rsid w:val="00894811"/>
    <w:rsid w:val="008B2E28"/>
    <w:rsid w:val="008B5AA1"/>
    <w:rsid w:val="008B6E01"/>
    <w:rsid w:val="008C4CFA"/>
    <w:rsid w:val="008C64AD"/>
    <w:rsid w:val="008D1116"/>
    <w:rsid w:val="008F141F"/>
    <w:rsid w:val="008F600E"/>
    <w:rsid w:val="00901AA7"/>
    <w:rsid w:val="009154A9"/>
    <w:rsid w:val="0093282F"/>
    <w:rsid w:val="0095216B"/>
    <w:rsid w:val="00971F35"/>
    <w:rsid w:val="009767A6"/>
    <w:rsid w:val="00981EA0"/>
    <w:rsid w:val="0098622F"/>
    <w:rsid w:val="009A0D22"/>
    <w:rsid w:val="009E7243"/>
    <w:rsid w:val="00A64AA9"/>
    <w:rsid w:val="00A70858"/>
    <w:rsid w:val="00A816CA"/>
    <w:rsid w:val="00A86C15"/>
    <w:rsid w:val="00AB030A"/>
    <w:rsid w:val="00AB6AF9"/>
    <w:rsid w:val="00AD6BF2"/>
    <w:rsid w:val="00B05ECB"/>
    <w:rsid w:val="00B07BC4"/>
    <w:rsid w:val="00B2089C"/>
    <w:rsid w:val="00B8204C"/>
    <w:rsid w:val="00BA32E7"/>
    <w:rsid w:val="00BB3823"/>
    <w:rsid w:val="00BB7703"/>
    <w:rsid w:val="00BC35A3"/>
    <w:rsid w:val="00BE5462"/>
    <w:rsid w:val="00BF3188"/>
    <w:rsid w:val="00BF357F"/>
    <w:rsid w:val="00BF69C5"/>
    <w:rsid w:val="00C02C4E"/>
    <w:rsid w:val="00C038E9"/>
    <w:rsid w:val="00C12D2C"/>
    <w:rsid w:val="00C1506C"/>
    <w:rsid w:val="00C466FB"/>
    <w:rsid w:val="00C51E62"/>
    <w:rsid w:val="00C56D5F"/>
    <w:rsid w:val="00C712D1"/>
    <w:rsid w:val="00C72215"/>
    <w:rsid w:val="00C751E0"/>
    <w:rsid w:val="00C8253F"/>
    <w:rsid w:val="00CA3A55"/>
    <w:rsid w:val="00CA435C"/>
    <w:rsid w:val="00CC3A33"/>
    <w:rsid w:val="00CD68D4"/>
    <w:rsid w:val="00D04E46"/>
    <w:rsid w:val="00D23DD7"/>
    <w:rsid w:val="00D240F0"/>
    <w:rsid w:val="00D35057"/>
    <w:rsid w:val="00D36D38"/>
    <w:rsid w:val="00D43D95"/>
    <w:rsid w:val="00D50FF6"/>
    <w:rsid w:val="00D631EE"/>
    <w:rsid w:val="00D63D7A"/>
    <w:rsid w:val="00D768F5"/>
    <w:rsid w:val="00D84424"/>
    <w:rsid w:val="00D85665"/>
    <w:rsid w:val="00D87FBB"/>
    <w:rsid w:val="00DB00F6"/>
    <w:rsid w:val="00DC37F3"/>
    <w:rsid w:val="00DD02F0"/>
    <w:rsid w:val="00E00ECD"/>
    <w:rsid w:val="00E0112A"/>
    <w:rsid w:val="00E03DC1"/>
    <w:rsid w:val="00E15AE2"/>
    <w:rsid w:val="00E241F6"/>
    <w:rsid w:val="00E303BB"/>
    <w:rsid w:val="00E509BD"/>
    <w:rsid w:val="00E668E4"/>
    <w:rsid w:val="00EB59E6"/>
    <w:rsid w:val="00EC193B"/>
    <w:rsid w:val="00EC72C8"/>
    <w:rsid w:val="00F03C7C"/>
    <w:rsid w:val="00F0438D"/>
    <w:rsid w:val="00F07326"/>
    <w:rsid w:val="00F23125"/>
    <w:rsid w:val="00F6281C"/>
    <w:rsid w:val="00F71363"/>
    <w:rsid w:val="00FA7BBE"/>
    <w:rsid w:val="00FB3B6C"/>
    <w:rsid w:val="00FB407B"/>
    <w:rsid w:val="00FB42B3"/>
    <w:rsid w:val="00FB73BD"/>
    <w:rsid w:val="00FD1937"/>
    <w:rsid w:val="00FE3AC4"/>
    <w:rsid w:val="00FF43A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3D7A"/>
    <w:pPr>
      <w:framePr w:wrap="auto"/>
      <w:widowControl/>
      <w:autoSpaceDE/>
      <w:autoSpaceDN/>
      <w:adjustRightInd/>
      <w:ind w:left="0" w:right="0"/>
      <w:jc w:val="left"/>
      <w:textAlignment w:val="auto"/>
    </w:pPr>
    <w:rPr>
      <w:rFonts w:cs="Times New Roman"/>
      <w:sz w:val="24"/>
      <w:szCs w:val="24"/>
      <w:rtl w:val="0"/>
      <w:cs w:val="0"/>
      <w:lang w:val="sk-SK" w:eastAsia="en-US" w:bidi="ar-SA"/>
    </w:rPr>
  </w:style>
  <w:style w:type="paragraph" w:styleId="Heading1">
    <w:name w:val="heading 1"/>
    <w:basedOn w:val="Normal"/>
    <w:next w:val="Normal"/>
    <w:qFormat/>
    <w:pPr>
      <w:keepNext/>
      <w:jc w:val="center"/>
      <w:outlineLvl w:val="0"/>
    </w:pPr>
    <w:rPr>
      <w:b/>
    </w:rPr>
  </w:style>
  <w:style w:type="paragraph" w:styleId="Heading5">
    <w:name w:val="heading 5"/>
    <w:basedOn w:val="Normal"/>
    <w:next w:val="Normal"/>
    <w:link w:val="Heading5Char"/>
    <w:unhideWhenUsed/>
    <w:qFormat/>
    <w:rsid w:val="002410AE"/>
    <w:pPr>
      <w:spacing w:before="240" w:after="60"/>
      <w:jc w:val="left"/>
      <w:outlineLvl w:val="4"/>
    </w:pPr>
    <w:rPr>
      <w:rFonts w:ascii="Calibri" w:hAnsi="Calibri"/>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odyText">
    <w:name w:val="Body Text"/>
    <w:basedOn w:val="Normal"/>
    <w:pPr>
      <w:jc w:val="both"/>
    </w:pPr>
    <w:rPr>
      <w:lang w:eastAsia="sk-SK"/>
    </w:rPr>
  </w:style>
  <w:style w:type="paragraph" w:styleId="FootnoteText">
    <w:name w:val="footnote text"/>
    <w:basedOn w:val="Normal"/>
    <w:semiHidden/>
    <w:pPr>
      <w:jc w:val="left"/>
    </w:pPr>
    <w:rPr>
      <w:sz w:val="20"/>
      <w:szCs w:val="20"/>
      <w:lang w:val="en-US"/>
    </w:rPr>
  </w:style>
  <w:style w:type="character" w:styleId="FootnoteReference">
    <w:name w:val="footnote reference"/>
    <w:basedOn w:val="DefaultParagraphFont"/>
    <w:semiHidden/>
    <w:rPr>
      <w:rFonts w:cs="Times New Roman"/>
      <w:vertAlign w:val="superscript"/>
      <w:rtl w:val="0"/>
      <w:cs w:val="0"/>
    </w:rPr>
  </w:style>
  <w:style w:type="paragraph" w:styleId="BalloonText">
    <w:name w:val="Balloon Text"/>
    <w:basedOn w:val="Normal"/>
    <w:semiHidden/>
    <w:pPr>
      <w:jc w:val="left"/>
    </w:pPr>
    <w:rPr>
      <w:rFonts w:ascii="Tahoma" w:hAnsi="Tahoma" w:cs="Tahoma"/>
      <w:sz w:val="16"/>
      <w:szCs w:val="16"/>
    </w:rPr>
  </w:style>
  <w:style w:type="paragraph" w:styleId="BodyText2">
    <w:name w:val="Body Text 2"/>
    <w:basedOn w:val="Normal"/>
    <w:pPr>
      <w:spacing w:after="120" w:line="480" w:lineRule="auto"/>
      <w:jc w:val="left"/>
    </w:pPr>
    <w:rPr>
      <w:lang w:eastAsia="sk-SK"/>
    </w:rPr>
  </w:style>
  <w:style w:type="paragraph" w:styleId="Footer">
    <w:name w:val="footer"/>
    <w:basedOn w:val="Normal"/>
    <w:pPr>
      <w:tabs>
        <w:tab w:val="center" w:pos="4703"/>
        <w:tab w:val="right" w:pos="9406"/>
      </w:tabs>
      <w:jc w:val="left"/>
    </w:pPr>
  </w:style>
  <w:style w:type="character" w:styleId="PageNumber">
    <w:name w:val="page number"/>
    <w:basedOn w:val="DefaultParagraphFont"/>
    <w:rPr>
      <w:rFonts w:cs="Times New Roman"/>
      <w:rtl w:val="0"/>
      <w:cs w:val="0"/>
    </w:rPr>
  </w:style>
  <w:style w:type="paragraph" w:styleId="BodyTextIndent3">
    <w:name w:val="Body Text Indent 3"/>
    <w:basedOn w:val="Normal"/>
    <w:pPr>
      <w:spacing w:after="120"/>
      <w:ind w:left="283"/>
      <w:jc w:val="left"/>
    </w:pPr>
    <w:rPr>
      <w:sz w:val="16"/>
      <w:szCs w:val="16"/>
    </w:rPr>
  </w:style>
  <w:style w:type="paragraph" w:styleId="BodyTextIndent">
    <w:name w:val="Body Text Indent"/>
    <w:basedOn w:val="Normal"/>
    <w:pPr>
      <w:spacing w:after="120"/>
      <w:ind w:left="283"/>
      <w:jc w:val="left"/>
    </w:pPr>
  </w:style>
  <w:style w:type="paragraph" w:styleId="BodyTextIndent2">
    <w:name w:val="Body Text Indent 2"/>
    <w:basedOn w:val="Normal"/>
    <w:pPr>
      <w:spacing w:after="120" w:line="480" w:lineRule="auto"/>
      <w:ind w:left="283"/>
      <w:jc w:val="left"/>
    </w:pPr>
  </w:style>
  <w:style w:type="paragraph" w:styleId="Title">
    <w:name w:val="Title"/>
    <w:basedOn w:val="Normal"/>
    <w:qFormat/>
    <w:pPr>
      <w:spacing w:line="480" w:lineRule="auto"/>
      <w:ind w:left="360"/>
      <w:jc w:val="center"/>
    </w:pPr>
    <w:rPr>
      <w:rFonts w:ascii="Arial" w:hAnsi="Arial" w:cs="Arial"/>
      <w:b/>
      <w:bCs/>
      <w:lang w:eastAsia="sk-SK"/>
    </w:rPr>
  </w:style>
  <w:style w:type="paragraph" w:customStyle="1" w:styleId="NormlnsWWW">
    <w:name w:val="Normální (síť WWW)"/>
    <w:basedOn w:val="Normal"/>
    <w:pPr>
      <w:spacing w:before="100" w:beforeAutospacing="1" w:after="100" w:afterAutospacing="1"/>
      <w:jc w:val="left"/>
    </w:pPr>
    <w:rPr>
      <w:rFonts w:ascii="Arial Unicode MS" w:eastAsia="Arial Unicode MS" w:hAnsi="Arial Unicode MS" w:cs="Arial Unicode MS"/>
      <w:lang w:eastAsia="sk-SK"/>
    </w:rPr>
  </w:style>
  <w:style w:type="paragraph" w:styleId="Header">
    <w:name w:val="header"/>
    <w:basedOn w:val="Normal"/>
    <w:rsid w:val="00BB3823"/>
    <w:pPr>
      <w:tabs>
        <w:tab w:val="center" w:pos="4536"/>
        <w:tab w:val="right" w:pos="9072"/>
      </w:tabs>
      <w:jc w:val="left"/>
    </w:pPr>
  </w:style>
  <w:style w:type="character" w:styleId="Hyperlink">
    <w:name w:val="Hyperlink"/>
    <w:basedOn w:val="DefaultParagraphFont"/>
    <w:uiPriority w:val="99"/>
    <w:unhideWhenUsed/>
    <w:rsid w:val="00B8204C"/>
    <w:rPr>
      <w:rFonts w:cs="Times New Roman"/>
      <w:color w:val="000060"/>
      <w:u w:val="single"/>
      <w:rtl w:val="0"/>
      <w:cs w:val="0"/>
    </w:rPr>
  </w:style>
  <w:style w:type="character" w:styleId="Strong">
    <w:name w:val="Strong"/>
    <w:basedOn w:val="DefaultParagraphFont"/>
    <w:uiPriority w:val="22"/>
    <w:qFormat/>
    <w:rsid w:val="00856294"/>
    <w:rPr>
      <w:rFonts w:cs="Times New Roman"/>
      <w:b/>
      <w:bCs/>
      <w:rtl w:val="0"/>
      <w:cs w:val="0"/>
    </w:rPr>
  </w:style>
  <w:style w:type="paragraph" w:styleId="NormalWeb">
    <w:name w:val="Normal (Web)"/>
    <w:basedOn w:val="Normal"/>
    <w:uiPriority w:val="99"/>
    <w:rsid w:val="00BC35A3"/>
    <w:pPr>
      <w:spacing w:before="100" w:beforeAutospacing="1" w:after="100" w:afterAutospacing="1"/>
      <w:jc w:val="left"/>
    </w:pPr>
    <w:rPr>
      <w:lang w:eastAsia="sk-SK"/>
    </w:rPr>
  </w:style>
  <w:style w:type="paragraph" w:styleId="ListParagraph">
    <w:name w:val="List Paragraph"/>
    <w:basedOn w:val="Normal"/>
    <w:uiPriority w:val="34"/>
    <w:qFormat/>
    <w:rsid w:val="00AD6BF2"/>
    <w:pPr>
      <w:ind w:left="720"/>
      <w:contextualSpacing/>
      <w:jc w:val="left"/>
    </w:pPr>
    <w:rPr>
      <w:lang w:eastAsia="sk-SK"/>
    </w:rPr>
  </w:style>
  <w:style w:type="character" w:customStyle="1" w:styleId="Heading5Char">
    <w:name w:val="Heading 5 Char"/>
    <w:basedOn w:val="DefaultParagraphFont"/>
    <w:link w:val="Heading5"/>
    <w:locked/>
    <w:rsid w:val="002410AE"/>
    <w:rPr>
      <w:rFonts w:ascii="Calibri" w:hAnsi="Calibri" w:cs="Times New Roman"/>
      <w:b/>
      <w:bCs/>
      <w:i/>
      <w:iCs/>
      <w:sz w:val="26"/>
      <w:szCs w:val="26"/>
      <w:rtl w:val="0"/>
      <w:cs w:val="0"/>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EEBFE-7C66-4A87-88F8-53EC465BD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Pages>
  <Words>385</Words>
  <Characters>2201</Characters>
  <Application>Microsoft Office Word</Application>
  <DocSecurity>0</DocSecurity>
  <Lines>0</Lines>
  <Paragraphs>0</Paragraphs>
  <ScaleCrop>false</ScaleCrop>
  <Company>MPSVR SR</Company>
  <LinksUpToDate>false</LinksUpToDate>
  <CharactersWithSpaces>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MPSVR SR</dc:creator>
  <cp:lastModifiedBy>Gašparíková, Jarmila</cp:lastModifiedBy>
  <cp:revision>2</cp:revision>
  <cp:lastPrinted>2012-08-21T09:52:00Z</cp:lastPrinted>
  <dcterms:created xsi:type="dcterms:W3CDTF">2013-12-19T14:59:00Z</dcterms:created>
  <dcterms:modified xsi:type="dcterms:W3CDTF">2013-12-19T14:59:00Z</dcterms:modified>
</cp:coreProperties>
</file>