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CC5C6B" w:rsidP="0097674E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CC5C6B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P="0097674E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CC5C6B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CC5C6B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CC5C6B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97674E">
        <w:rPr>
          <w:rFonts w:ascii="Book Antiqua" w:hAnsi="Book Antiqua"/>
          <w:sz w:val="22"/>
          <w:szCs w:val="22"/>
        </w:rPr>
        <w:t>z ... 2014</w:t>
      </w:r>
      <w:r w:rsidRPr="00CC5C6B">
        <w:rPr>
          <w:rFonts w:ascii="Book Antiqua" w:hAnsi="Book Antiqua"/>
          <w:sz w:val="22"/>
          <w:szCs w:val="22"/>
        </w:rPr>
        <w:t>,</w:t>
      </w: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CC5C6B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CC5C6B" w:rsidR="00D17313">
        <w:rPr>
          <w:rFonts w:ascii="Book Antiqua" w:hAnsi="Book Antiqua"/>
          <w:b/>
          <w:bCs/>
          <w:sz w:val="22"/>
          <w:szCs w:val="22"/>
        </w:rPr>
        <w:t>mení</w:t>
      </w:r>
      <w:r w:rsidRPr="00CC5C6B" w:rsidR="002E2F42">
        <w:rPr>
          <w:rFonts w:ascii="Book Antiqua" w:hAnsi="Book Antiqua"/>
          <w:b/>
          <w:bCs/>
          <w:sz w:val="22"/>
          <w:szCs w:val="22"/>
        </w:rPr>
        <w:t xml:space="preserve"> </w:t>
      </w:r>
      <w:r w:rsidR="009C3F3F">
        <w:rPr>
          <w:rFonts w:ascii="Book Antiqua" w:hAnsi="Book Antiqua"/>
          <w:b/>
          <w:bCs/>
          <w:sz w:val="22"/>
          <w:szCs w:val="22"/>
        </w:rPr>
        <w:t xml:space="preserve">a dopĺňa </w:t>
      </w:r>
      <w:r w:rsidRPr="00CC5C6B" w:rsidR="002E2F42">
        <w:rPr>
          <w:rFonts w:ascii="Book Antiqua" w:hAnsi="Book Antiqua"/>
          <w:b/>
          <w:bCs/>
          <w:sz w:val="22"/>
          <w:szCs w:val="22"/>
        </w:rPr>
        <w:t>zákon</w:t>
      </w:r>
      <w:r w:rsidR="00A94B1C">
        <w:rPr>
          <w:rFonts w:ascii="Book Antiqua" w:hAnsi="Book Antiqua"/>
          <w:b/>
          <w:bCs/>
          <w:sz w:val="22"/>
          <w:szCs w:val="22"/>
        </w:rPr>
        <w:t xml:space="preserve"> </w:t>
      </w:r>
      <w:r w:rsidR="000458E3">
        <w:rPr>
          <w:rFonts w:ascii="Book Antiqua" w:hAnsi="Book Antiqua"/>
          <w:b/>
          <w:bCs/>
          <w:sz w:val="22"/>
          <w:szCs w:val="22"/>
        </w:rPr>
        <w:t xml:space="preserve">č. 135/1961 Zb. o pozemných komunikáciách (cestný zákon) </w:t>
      </w:r>
      <w:r w:rsidR="00A94B1C">
        <w:rPr>
          <w:rFonts w:ascii="Book Antiqua" w:hAnsi="Book Antiqua"/>
          <w:b/>
          <w:bCs/>
          <w:sz w:val="22"/>
          <w:szCs w:val="22"/>
        </w:rPr>
        <w:t>v znení neskorších predpisov</w:t>
      </w:r>
    </w:p>
    <w:p w:rsidR="00DF496C" w:rsidRPr="00CC5C6B" w:rsidP="0097674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CC5C6B" w:rsidP="0097674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CC5C6B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CC5C6B" w:rsidP="0097674E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0458E3" w:rsidRPr="0097674E" w:rsidP="0097674E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="0097674E">
        <w:rPr>
          <w:rFonts w:ascii="Book Antiqua" w:hAnsi="Book Antiqua"/>
          <w:b/>
          <w:bCs/>
          <w:sz w:val="22"/>
          <w:szCs w:val="22"/>
        </w:rPr>
        <w:t>Čl. I</w:t>
      </w:r>
    </w:p>
    <w:p w:rsidR="00D217F8" w:rsidRPr="0097674E" w:rsidP="0008635F">
      <w:pPr>
        <w:tabs>
          <w:tab w:val="left" w:pos="360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08635F">
        <w:rPr>
          <w:rFonts w:ascii="Book Antiqua" w:hAnsi="Book Antiqua"/>
          <w:sz w:val="22"/>
          <w:szCs w:val="22"/>
        </w:rPr>
        <w:tab/>
      </w:r>
      <w:r w:rsidRPr="000458E3" w:rsidR="000458E3">
        <w:rPr>
          <w:rFonts w:ascii="Book Antiqua" w:hAnsi="Book Antiqua"/>
          <w:sz w:val="22"/>
          <w:szCs w:val="22"/>
        </w:rPr>
        <w:t>Zákon č. 135/1961 Zb. o pozemných komu</w:t>
      </w:r>
      <w:r w:rsidR="0097674E">
        <w:rPr>
          <w:rFonts w:ascii="Book Antiqua" w:hAnsi="Book Antiqua"/>
          <w:sz w:val="22"/>
          <w:szCs w:val="22"/>
        </w:rPr>
        <w:t>nikáciách (cestný zákon)</w:t>
      </w:r>
      <w:r w:rsidRPr="000458E3" w:rsidR="000458E3">
        <w:rPr>
          <w:rFonts w:ascii="Book Antiqua" w:hAnsi="Book Antiqua"/>
          <w:sz w:val="22"/>
          <w:szCs w:val="22"/>
        </w:rPr>
        <w:t xml:space="preserve"> v znení zákona</w:t>
      </w:r>
      <w:r w:rsidR="0008635F">
        <w:rPr>
          <w:rFonts w:ascii="Book Antiqua" w:hAnsi="Book Antiqua"/>
          <w:sz w:val="22"/>
          <w:szCs w:val="22"/>
        </w:rPr>
        <w:t xml:space="preserve">          </w:t>
      </w:r>
      <w:r w:rsidRPr="000458E3" w:rsidR="000458E3">
        <w:rPr>
          <w:rFonts w:ascii="Book Antiqua" w:hAnsi="Book Antiqua"/>
          <w:sz w:val="22"/>
          <w:szCs w:val="22"/>
        </w:rPr>
        <w:t>č. 72/1969 Zb., 139/1982 Zb., 27/1984 Zb., 160/1996 Z. z., 58/1997 Z. z., 395/1998 Z. z., 343/1999 Z. z., 388/2000 Z. z., 416/2001 Z. z., 439/2001 Z. z., 524/2003 Z. z., 534/2003 Z. z., 639/2004 Z. z., 725/2004 Z. z., 93/2005 Z. z., 479/2005 Z. z., 25/2007 Z. z., 275/2007 Z. z., 664/2007 Z. z., 86/2008 Z. z., 8/2009 Z. z., 70/2009 Z. z., 60/2010 Z. z., 144/2010 Z. z., 249/2011 Z. z.,</w:t>
      </w:r>
      <w:r w:rsidR="007D5A46">
        <w:rPr>
          <w:rFonts w:ascii="Book Antiqua" w:hAnsi="Book Antiqua"/>
          <w:sz w:val="22"/>
          <w:szCs w:val="22"/>
        </w:rPr>
        <w:t xml:space="preserve"> 317/2012 Z. z., 345/2012 Z. z. a zákona č. 180/2013 Z. z. </w:t>
      </w:r>
      <w:r w:rsidRPr="000458E3" w:rsidR="000458E3">
        <w:rPr>
          <w:rFonts w:ascii="Book Antiqua" w:hAnsi="Book Antiqua"/>
          <w:sz w:val="22"/>
          <w:szCs w:val="22"/>
        </w:rPr>
        <w:t xml:space="preserve">sa </w:t>
      </w:r>
      <w:r w:rsidR="007D5A46">
        <w:rPr>
          <w:rFonts w:ascii="Book Antiqua" w:hAnsi="Book Antiqua"/>
          <w:sz w:val="22"/>
          <w:szCs w:val="22"/>
        </w:rPr>
        <w:t xml:space="preserve">mení a </w:t>
      </w:r>
      <w:r w:rsidRPr="000458E3" w:rsidR="000458E3">
        <w:rPr>
          <w:rFonts w:ascii="Book Antiqua" w:hAnsi="Book Antiqua"/>
          <w:sz w:val="22"/>
          <w:szCs w:val="22"/>
        </w:rPr>
        <w:t>dopĺňa takto:</w:t>
      </w:r>
    </w:p>
    <w:p w:rsidR="0008635F" w:rsidRPr="00031CB8" w:rsidP="0008635F">
      <w:pPr>
        <w:pStyle w:val="BodyText"/>
        <w:numPr>
          <w:numId w:val="12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="006C6A9A">
        <w:rPr>
          <w:rFonts w:ascii="Book Antiqua" w:hAnsi="Book Antiqua"/>
          <w:bCs/>
          <w:sz w:val="22"/>
          <w:szCs w:val="22"/>
          <w:lang w:val="sk-SK" w:eastAsia="x-none"/>
        </w:rPr>
        <w:t xml:space="preserve">V § 9 ods. 2 druhej vete sa za slovo „sú“ </w:t>
      </w:r>
      <w:r w:rsidRPr="00031CB8" w:rsidR="006C6A9A">
        <w:rPr>
          <w:rFonts w:ascii="Book Antiqua" w:hAnsi="Book Antiqua"/>
          <w:bCs/>
          <w:sz w:val="22"/>
          <w:szCs w:val="22"/>
          <w:lang w:val="sk-SK" w:eastAsia="x-none"/>
        </w:rPr>
        <w:t>vkladajú slová „okrem prípadov uvedených v tretej vete“.</w:t>
      </w:r>
    </w:p>
    <w:p w:rsidR="00416AEE" w:rsidRPr="005E33B1" w:rsidP="005E33B1">
      <w:pPr>
        <w:pStyle w:val="BodyText"/>
        <w:numPr>
          <w:numId w:val="12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031CB8" w:rsidR="00A40EB1">
        <w:rPr>
          <w:rFonts w:ascii="Book Antiqua" w:hAnsi="Book Antiqua"/>
          <w:bCs/>
          <w:sz w:val="22"/>
          <w:szCs w:val="22"/>
          <w:lang w:val="sk-SK" w:eastAsia="x-none"/>
        </w:rPr>
        <w:t xml:space="preserve">V § 9 ods. 2 </w:t>
      </w:r>
      <w:r w:rsidRPr="00031CB8" w:rsidR="007D5A46">
        <w:rPr>
          <w:rFonts w:ascii="Book Antiqua" w:hAnsi="Book Antiqua"/>
          <w:bCs/>
          <w:sz w:val="22"/>
          <w:szCs w:val="22"/>
          <w:lang w:val="sk-SK" w:eastAsia="x-none"/>
        </w:rPr>
        <w:t xml:space="preserve">sa na konci </w:t>
      </w:r>
      <w:r w:rsidRPr="00031CB8" w:rsidR="00C6636D">
        <w:rPr>
          <w:rFonts w:ascii="Book Antiqua" w:hAnsi="Book Antiqua"/>
          <w:bCs/>
          <w:sz w:val="22"/>
          <w:szCs w:val="22"/>
          <w:lang w:val="sk-SK" w:eastAsia="x-none"/>
        </w:rPr>
        <w:t xml:space="preserve">pripája táto veta: „Závady v schodnosti chodníkov podľa druhej vety je povinná bez prieťahov odstrániť obec, ak vlastníkmi, správcami alebo užívateľmi </w:t>
      </w:r>
      <w:r w:rsidRPr="00031CB8" w:rsidR="00A06BE9">
        <w:rPr>
          <w:rFonts w:ascii="Book Antiqua" w:hAnsi="Book Antiqua"/>
          <w:bCs/>
          <w:sz w:val="22"/>
          <w:szCs w:val="22"/>
          <w:lang w:val="sk-SK" w:eastAsia="x-none"/>
        </w:rPr>
        <w:t xml:space="preserve">týchto </w:t>
      </w:r>
      <w:r w:rsidRPr="00031CB8" w:rsidR="00C6636D">
        <w:rPr>
          <w:rFonts w:ascii="Book Antiqua" w:hAnsi="Book Antiqua"/>
          <w:bCs/>
          <w:sz w:val="22"/>
          <w:szCs w:val="22"/>
          <w:lang w:val="sk-SK" w:eastAsia="x-none"/>
        </w:rPr>
        <w:t>nehnuteľnosti sú osoby v dôchodkovom veku,</w:t>
      </w:r>
      <w:r w:rsidRPr="00031CB8" w:rsidR="00C6636D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3a)</w:t>
      </w:r>
      <w:r w:rsidRPr="00031CB8" w:rsidR="00C6636D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031CB8" w:rsidR="00753717">
        <w:rPr>
          <w:rFonts w:ascii="Book Antiqua" w:hAnsi="Book Antiqua"/>
          <w:bCs/>
          <w:sz w:val="22"/>
          <w:szCs w:val="22"/>
          <w:lang w:val="sk-SK" w:eastAsia="x-none"/>
        </w:rPr>
        <w:t>osoby s ťažkým zdravotným postihnutím,</w:t>
      </w:r>
      <w:r w:rsidRPr="00031CB8" w:rsidR="00753717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3b)</w:t>
      </w:r>
      <w:r w:rsidRPr="00031CB8" w:rsidR="00753717">
        <w:rPr>
          <w:rFonts w:ascii="Book Antiqua" w:hAnsi="Book Antiqua"/>
          <w:bCs/>
          <w:sz w:val="22"/>
          <w:szCs w:val="22"/>
          <w:lang w:val="sk-SK" w:eastAsia="x-none"/>
        </w:rPr>
        <w:t xml:space="preserve">  </w:t>
      </w:r>
      <w:r w:rsidRPr="00031CB8" w:rsidR="00F22B35">
        <w:rPr>
          <w:rFonts w:ascii="Book Antiqua" w:hAnsi="Book Antiqua"/>
          <w:bCs/>
          <w:sz w:val="22"/>
          <w:szCs w:val="22"/>
          <w:lang w:val="sk-SK" w:eastAsia="x-none"/>
        </w:rPr>
        <w:t>invalidné osoby</w:t>
      </w:r>
      <w:r w:rsidRPr="00031CB8" w:rsidR="00753717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031CB8" w:rsidR="00753717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3c)</w:t>
      </w:r>
      <w:r w:rsidRPr="00031CB8" w:rsidR="00753717">
        <w:rPr>
          <w:rFonts w:ascii="Book Antiqua" w:hAnsi="Book Antiqua"/>
          <w:bCs/>
          <w:sz w:val="22"/>
          <w:szCs w:val="22"/>
          <w:lang w:val="sk-SK" w:eastAsia="x-none"/>
        </w:rPr>
        <w:t xml:space="preserve"> </w:t>
      </w:r>
      <w:r w:rsidRPr="00031CB8" w:rsidR="00F22B35">
        <w:rPr>
          <w:rFonts w:ascii="Book Antiqua" w:hAnsi="Book Antiqua"/>
          <w:bCs/>
          <w:sz w:val="22"/>
          <w:szCs w:val="22"/>
          <w:lang w:val="sk-SK" w:eastAsia="x-none"/>
        </w:rPr>
        <w:t xml:space="preserve">a </w:t>
      </w:r>
      <w:r w:rsidRPr="00031CB8" w:rsidR="00C6636D">
        <w:rPr>
          <w:rFonts w:ascii="Book Antiqua" w:hAnsi="Book Antiqua"/>
          <w:bCs/>
          <w:sz w:val="22"/>
          <w:szCs w:val="22"/>
          <w:lang w:val="sk-SK" w:eastAsia="x-none"/>
        </w:rPr>
        <w:t xml:space="preserve">osoby, ktoré nemajú trvalý pobyt v obci, v ktorej </w:t>
      </w:r>
      <w:r w:rsidRPr="00031CB8" w:rsidR="00F22B35">
        <w:rPr>
          <w:rFonts w:ascii="Book Antiqua" w:hAnsi="Book Antiqua"/>
          <w:bCs/>
          <w:sz w:val="22"/>
          <w:szCs w:val="22"/>
          <w:lang w:val="sk-SK" w:eastAsia="x-none"/>
        </w:rPr>
        <w:t>sa nehnuteľnosti nachádzajú.</w:t>
      </w:r>
      <w:r w:rsidRPr="00031CB8" w:rsidR="007E6423">
        <w:rPr>
          <w:rFonts w:ascii="Book Antiqua" w:hAnsi="Book Antiqua"/>
          <w:bCs/>
          <w:sz w:val="22"/>
          <w:szCs w:val="22"/>
          <w:lang w:val="sk-SK" w:eastAsia="x-none"/>
        </w:rPr>
        <w:t>“.</w:t>
      </w:r>
    </w:p>
    <w:p w:rsidR="0008635F" w:rsidRPr="00031CB8" w:rsidP="0008635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>Poznámky pod čiarou k odkazom 3a a</w:t>
      </w:r>
      <w:r w:rsidRPr="00031CB8" w:rsidR="00416AEE">
        <w:rPr>
          <w:rFonts w:ascii="Book Antiqua" w:hAnsi="Book Antiqua"/>
          <w:bCs/>
          <w:sz w:val="22"/>
          <w:szCs w:val="22"/>
          <w:lang w:val="sk-SK" w:eastAsia="x-none"/>
        </w:rPr>
        <w:t>ž</w:t>
      </w: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> 3</w:t>
      </w:r>
      <w:r w:rsidRPr="00031CB8" w:rsidR="00416AEE">
        <w:rPr>
          <w:rFonts w:ascii="Book Antiqua" w:hAnsi="Book Antiqua"/>
          <w:bCs/>
          <w:sz w:val="22"/>
          <w:szCs w:val="22"/>
          <w:lang w:val="sk-SK" w:eastAsia="x-none"/>
        </w:rPr>
        <w:t>c</w:t>
      </w: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 xml:space="preserve"> znejú:</w:t>
      </w:r>
    </w:p>
    <w:p w:rsidR="0008635F" w:rsidRPr="00031CB8" w:rsidP="0008635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031CB8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>„3a)</w:t>
      </w: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 xml:space="preserve"> § 65 ods. 2 zákona č. 461/2003 Z. z. o sociálnom poistení v znení zákona                  č. 252/2012 Z. z.</w:t>
      </w:r>
    </w:p>
    <w:p w:rsidR="00753717" w:rsidRPr="00031CB8" w:rsidP="0008635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</w:pPr>
      <w:r w:rsidRPr="00031CB8" w:rsidR="0008635F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 xml:space="preserve">3b)   </w:t>
      </w: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 xml:space="preserve">§ 2 </w:t>
      </w:r>
      <w:r w:rsidRPr="00031CB8" w:rsidR="00416AEE">
        <w:rPr>
          <w:rFonts w:ascii="Book Antiqua" w:hAnsi="Book Antiqua"/>
          <w:bCs/>
          <w:sz w:val="22"/>
          <w:szCs w:val="22"/>
          <w:lang w:val="sk-SK" w:eastAsia="x-none"/>
        </w:rPr>
        <w:t xml:space="preserve">ods. 3 </w:t>
      </w: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>zákona č. 447/2008 Z. z. o peňažných príspevkoch na kompenzáciu ťažkého zdravotného postihnutia a o zmene a doplnení niektorých zákonov</w:t>
      </w:r>
      <w:r w:rsidRPr="00031CB8" w:rsidR="00416AEE">
        <w:rPr>
          <w:rFonts w:ascii="Book Antiqua" w:hAnsi="Book Antiqua"/>
          <w:bCs/>
          <w:sz w:val="22"/>
          <w:szCs w:val="22"/>
          <w:lang w:val="sk-SK" w:eastAsia="x-none"/>
        </w:rPr>
        <w:t>.</w:t>
      </w:r>
      <w:r w:rsidRPr="00031CB8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 xml:space="preserve"> </w:t>
      </w:r>
    </w:p>
    <w:p w:rsidR="0008635F" w:rsidRPr="00031CB8" w:rsidP="005E33B1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031CB8" w:rsidR="00753717">
        <w:rPr>
          <w:rFonts w:ascii="Book Antiqua" w:hAnsi="Book Antiqua"/>
          <w:bCs/>
          <w:sz w:val="22"/>
          <w:szCs w:val="22"/>
          <w:vertAlign w:val="superscript"/>
          <w:lang w:val="sk-SK" w:eastAsia="x-none"/>
        </w:rPr>
        <w:t xml:space="preserve">3c) </w:t>
      </w: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>§ 71 od</w:t>
      </w:r>
      <w:r w:rsidR="005E33B1">
        <w:rPr>
          <w:rFonts w:ascii="Book Antiqua" w:hAnsi="Book Antiqua"/>
          <w:bCs/>
          <w:sz w:val="22"/>
          <w:szCs w:val="22"/>
          <w:lang w:val="sk-SK" w:eastAsia="x-none"/>
        </w:rPr>
        <w:t>s. 1 zákona č. 461/2003 Z. z.“.</w:t>
      </w:r>
    </w:p>
    <w:p w:rsidR="0008635F" w:rsidRPr="00031CB8" w:rsidP="0008635F">
      <w:pPr>
        <w:pStyle w:val="BodyText"/>
        <w:numPr>
          <w:numId w:val="12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>V § 9a odsek 4 znie:</w:t>
      </w:r>
    </w:p>
    <w:p w:rsidR="0008635F" w:rsidRPr="00031CB8" w:rsidP="0008635F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  <w:lang w:val="sk-SK" w:eastAsia="x-none"/>
        </w:rPr>
      </w:pP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>„(4) Obec, ak ide o prípady podľa § 9 ods. 2 tretej vety, a vlastníci, správcovia alebo užívatelia nehnuteľností, ktoré v súvisle zastavanom území hraničia s cestou alebo miestnou komunikáciou, ak ide o prípady podľa § 9 ods. 2 druhej vety, zodpovedajú za škody, ktorých príčinou boli závady v schodnosti na priľahlých chodníkoch, ktoré vznikli znečistením, poľadovicou alebo snehom a neboli bez prieťahov odstránené.“.</w:t>
      </w:r>
    </w:p>
    <w:p w:rsidR="0008635F" w:rsidRPr="00031CB8" w:rsidP="0008635F">
      <w:pPr>
        <w:pStyle w:val="BodyText"/>
        <w:numPr>
          <w:numId w:val="12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  <w:r w:rsidRPr="00031CB8">
        <w:rPr>
          <w:rFonts w:ascii="Book Antiqua" w:hAnsi="Book Antiqua"/>
          <w:bCs/>
          <w:sz w:val="22"/>
          <w:szCs w:val="22"/>
          <w:lang w:val="sk-SK" w:eastAsia="x-none"/>
        </w:rPr>
        <w:t>Za § 24d sa vkladá § 24e, ktorý vrátane nadpisu znie:</w:t>
      </w:r>
    </w:p>
    <w:p w:rsidR="0008635F" w:rsidRPr="00031CB8" w:rsidP="0008635F">
      <w:pPr>
        <w:pStyle w:val="BodyText"/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z w:val="22"/>
          <w:szCs w:val="22"/>
          <w:lang w:val="sk-SK" w:eastAsia="x-none"/>
        </w:rPr>
      </w:pPr>
      <w:r w:rsidRPr="00031CB8">
        <w:rPr>
          <w:rFonts w:ascii="Book Antiqua" w:hAnsi="Book Antiqua"/>
          <w:b/>
          <w:bCs/>
          <w:sz w:val="22"/>
          <w:szCs w:val="22"/>
          <w:lang w:val="sk-SK" w:eastAsia="x-none"/>
        </w:rPr>
        <w:t>„§ 24e</w:t>
      </w:r>
    </w:p>
    <w:p w:rsidR="0008635F" w:rsidRPr="00031CB8" w:rsidP="0008635F">
      <w:pPr>
        <w:pStyle w:val="BodyText"/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z w:val="22"/>
          <w:szCs w:val="22"/>
          <w:lang w:val="sk-SK" w:eastAsia="x-none"/>
        </w:rPr>
      </w:pPr>
      <w:r w:rsidRPr="00031CB8">
        <w:rPr>
          <w:rFonts w:ascii="Book Antiqua" w:hAnsi="Book Antiqua"/>
          <w:b/>
          <w:bCs/>
          <w:sz w:val="22"/>
          <w:szCs w:val="22"/>
          <w:lang w:val="sk-SK" w:eastAsia="x-none"/>
        </w:rPr>
        <w:t>P</w:t>
      </w:r>
      <w:r w:rsidRPr="00031CB8" w:rsidR="0046076D">
        <w:rPr>
          <w:rFonts w:ascii="Book Antiqua" w:hAnsi="Book Antiqua"/>
          <w:b/>
          <w:bCs/>
          <w:sz w:val="22"/>
          <w:szCs w:val="22"/>
          <w:lang w:val="sk-SK" w:eastAsia="x-none"/>
        </w:rPr>
        <w:t>rechodné ustanovenie</w:t>
      </w:r>
    </w:p>
    <w:p w:rsidR="0008635F" w:rsidRPr="00031CB8" w:rsidP="0008635F">
      <w:pPr>
        <w:pStyle w:val="BodyText"/>
        <w:bidi w:val="0"/>
        <w:spacing w:before="120" w:line="276" w:lineRule="auto"/>
        <w:ind w:firstLine="708"/>
        <w:jc w:val="center"/>
        <w:rPr>
          <w:rFonts w:ascii="Book Antiqua" w:hAnsi="Book Antiqua"/>
          <w:b/>
          <w:bCs/>
          <w:sz w:val="22"/>
          <w:szCs w:val="22"/>
          <w:lang w:val="sk-SK" w:eastAsia="x-none"/>
        </w:rPr>
      </w:pPr>
      <w:r w:rsidRPr="00031CB8">
        <w:rPr>
          <w:rFonts w:ascii="Book Antiqua" w:hAnsi="Book Antiqua"/>
          <w:b/>
          <w:bCs/>
          <w:sz w:val="22"/>
          <w:szCs w:val="22"/>
          <w:lang w:val="sk-SK" w:eastAsia="x-none"/>
        </w:rPr>
        <w:t xml:space="preserve">k úpravám účinným od 1. </w:t>
      </w:r>
      <w:r w:rsidR="0045371B">
        <w:rPr>
          <w:rFonts w:ascii="Book Antiqua" w:hAnsi="Book Antiqua"/>
          <w:b/>
          <w:bCs/>
          <w:sz w:val="22"/>
          <w:szCs w:val="22"/>
          <w:lang w:val="sk-SK" w:eastAsia="x-none"/>
        </w:rPr>
        <w:t>mája</w:t>
      </w:r>
      <w:r w:rsidRPr="00031CB8">
        <w:rPr>
          <w:rFonts w:ascii="Book Antiqua" w:hAnsi="Book Antiqua"/>
          <w:b/>
          <w:bCs/>
          <w:sz w:val="22"/>
          <w:szCs w:val="22"/>
          <w:lang w:val="sk-SK" w:eastAsia="x-none"/>
        </w:rPr>
        <w:t xml:space="preserve"> 2014</w:t>
      </w:r>
    </w:p>
    <w:p w:rsidR="0008635F" w:rsidRPr="00031CB8" w:rsidP="0046076D">
      <w:pPr>
        <w:pStyle w:val="BodyText"/>
        <w:bidi w:val="0"/>
        <w:spacing w:before="120" w:line="276" w:lineRule="auto"/>
        <w:ind w:left="708"/>
        <w:rPr>
          <w:rFonts w:ascii="Book Antiqua" w:hAnsi="Book Antiqua"/>
          <w:bCs/>
          <w:sz w:val="22"/>
          <w:szCs w:val="22"/>
          <w:lang w:val="sk-SK" w:eastAsia="x-none"/>
        </w:rPr>
      </w:pPr>
      <w:r w:rsidRPr="00031CB8" w:rsidR="0046076D">
        <w:rPr>
          <w:rFonts w:ascii="Book Antiqua" w:hAnsi="Book Antiqua"/>
          <w:sz w:val="22"/>
          <w:szCs w:val="22"/>
        </w:rPr>
        <w:t>Konania o </w:t>
      </w:r>
      <w:r w:rsidRPr="00031CB8" w:rsidR="0046076D">
        <w:rPr>
          <w:rFonts w:ascii="Book Antiqua" w:hAnsi="Book Antiqua"/>
          <w:sz w:val="22"/>
          <w:szCs w:val="22"/>
          <w:lang w:val="sk-SK" w:eastAsia="x-none"/>
        </w:rPr>
        <w:t xml:space="preserve">náhrade škody začaté pred 1. </w:t>
      </w:r>
      <w:r w:rsidR="0045371B">
        <w:rPr>
          <w:rFonts w:ascii="Book Antiqua" w:hAnsi="Book Antiqua"/>
          <w:sz w:val="22"/>
          <w:szCs w:val="22"/>
          <w:lang w:val="sk-SK" w:eastAsia="x-none"/>
        </w:rPr>
        <w:t>májom</w:t>
      </w:r>
      <w:r w:rsidRPr="00031CB8" w:rsidR="0046076D">
        <w:rPr>
          <w:rFonts w:ascii="Book Antiqua" w:hAnsi="Book Antiqua"/>
          <w:sz w:val="22"/>
          <w:szCs w:val="22"/>
          <w:lang w:val="sk-SK" w:eastAsia="x-none"/>
        </w:rPr>
        <w:t xml:space="preserve"> 2014, ktoré súvisia so zodpovednosťou za škodu podľa § 9a ods. 4, </w:t>
      </w:r>
      <w:r w:rsidRPr="00031CB8" w:rsidR="0046076D">
        <w:rPr>
          <w:rFonts w:ascii="Book Antiqua" w:hAnsi="Book Antiqua"/>
          <w:sz w:val="22"/>
          <w:szCs w:val="22"/>
        </w:rPr>
        <w:t>sa dokončia podľa doterajších predpisov. Právne účinky úkonov, ktoré nastali pred 1.</w:t>
      </w:r>
      <w:r w:rsidRPr="00031CB8" w:rsidR="0046076D">
        <w:rPr>
          <w:rFonts w:ascii="Book Antiqua" w:hAnsi="Book Antiqua"/>
          <w:sz w:val="22"/>
          <w:szCs w:val="22"/>
          <w:lang w:val="sk-SK" w:eastAsia="x-none"/>
        </w:rPr>
        <w:t xml:space="preserve"> </w:t>
      </w:r>
      <w:r w:rsidR="0045371B">
        <w:rPr>
          <w:rFonts w:ascii="Book Antiqua" w:hAnsi="Book Antiqua"/>
          <w:sz w:val="22"/>
          <w:szCs w:val="22"/>
          <w:lang w:val="sk-SK" w:eastAsia="x-none"/>
        </w:rPr>
        <w:t>májom</w:t>
      </w:r>
      <w:r w:rsidRPr="00031CB8" w:rsidR="0046076D">
        <w:rPr>
          <w:rFonts w:ascii="Book Antiqua" w:hAnsi="Book Antiqua"/>
          <w:sz w:val="22"/>
          <w:szCs w:val="22"/>
        </w:rPr>
        <w:t xml:space="preserve"> 2014, zostávajú zachované.</w:t>
      </w:r>
      <w:r w:rsidRPr="00031CB8" w:rsidR="00753717">
        <w:rPr>
          <w:rFonts w:ascii="Book Antiqua" w:hAnsi="Book Antiqua"/>
          <w:sz w:val="22"/>
          <w:szCs w:val="22"/>
          <w:lang w:val="sk-SK" w:eastAsia="x-none"/>
        </w:rPr>
        <w:t>“.</w:t>
      </w:r>
    </w:p>
    <w:p w:rsidR="00AD16D4" w:rsidRPr="00031CB8" w:rsidP="0097674E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DF496C" w:rsidRPr="00031CB8" w:rsidP="0097674E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031CB8">
        <w:rPr>
          <w:rFonts w:ascii="Book Antiqua" w:hAnsi="Book Antiqua"/>
          <w:b/>
          <w:bCs/>
          <w:sz w:val="22"/>
          <w:szCs w:val="22"/>
        </w:rPr>
        <w:t>Čl. II</w:t>
      </w:r>
    </w:p>
    <w:p w:rsidR="00AA6159" w:rsidRPr="0074166B" w:rsidP="0097674E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  <w:lang w:val="sk-SK" w:eastAsia="x-none"/>
        </w:rPr>
      </w:pPr>
      <w:r w:rsidRPr="00031CB8" w:rsidR="00DF496C">
        <w:rPr>
          <w:rFonts w:ascii="Book Antiqua" w:hAnsi="Book Antiqua"/>
          <w:sz w:val="22"/>
          <w:szCs w:val="22"/>
        </w:rPr>
        <w:t>Tento zák</w:t>
      </w:r>
      <w:r w:rsidRPr="00031CB8" w:rsidR="00D17313">
        <w:rPr>
          <w:rFonts w:ascii="Book Antiqua" w:hAnsi="Book Antiqua"/>
          <w:sz w:val="22"/>
          <w:szCs w:val="22"/>
        </w:rPr>
        <w:t xml:space="preserve">on nadobúda účinnosť 1. </w:t>
      </w:r>
      <w:r w:rsidR="0045371B">
        <w:rPr>
          <w:rFonts w:ascii="Book Antiqua" w:hAnsi="Book Antiqua"/>
          <w:sz w:val="22"/>
          <w:szCs w:val="22"/>
          <w:lang w:val="sk-SK" w:eastAsia="x-none"/>
        </w:rPr>
        <w:t>mája</w:t>
      </w:r>
      <w:r w:rsidRPr="00031CB8" w:rsidR="0036176D">
        <w:rPr>
          <w:rFonts w:ascii="Book Antiqua" w:hAnsi="Book Antiqua"/>
          <w:sz w:val="22"/>
          <w:szCs w:val="22"/>
          <w:lang w:val="sk-SK" w:eastAsia="x-none"/>
        </w:rPr>
        <w:t xml:space="preserve"> 2014.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243"/>
    <w:multiLevelType w:val="hybrid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7">
    <w:nsid w:val="332B40B7"/>
    <w:multiLevelType w:val="hybrid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E4A0294"/>
    <w:multiLevelType w:val="hybridMultilevel"/>
    <w:tmpl w:val="B6569D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11"/>
  </w:num>
  <w:num w:numId="7">
    <w:abstractNumId w:val="12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85A29"/>
    <w:rsid w:val="00031CB8"/>
    <w:rsid w:val="0003276E"/>
    <w:rsid w:val="000458E3"/>
    <w:rsid w:val="00055036"/>
    <w:rsid w:val="00071193"/>
    <w:rsid w:val="0007432C"/>
    <w:rsid w:val="0008635F"/>
    <w:rsid w:val="00096340"/>
    <w:rsid w:val="000A15AE"/>
    <w:rsid w:val="000B0093"/>
    <w:rsid w:val="000F2B76"/>
    <w:rsid w:val="00101569"/>
    <w:rsid w:val="00177289"/>
    <w:rsid w:val="001B3623"/>
    <w:rsid w:val="001E24E9"/>
    <w:rsid w:val="002364C4"/>
    <w:rsid w:val="0024597E"/>
    <w:rsid w:val="00281A0F"/>
    <w:rsid w:val="00292899"/>
    <w:rsid w:val="002A263D"/>
    <w:rsid w:val="002B3483"/>
    <w:rsid w:val="002E2F42"/>
    <w:rsid w:val="0036176D"/>
    <w:rsid w:val="00374C07"/>
    <w:rsid w:val="0037581D"/>
    <w:rsid w:val="003E5341"/>
    <w:rsid w:val="003E5C85"/>
    <w:rsid w:val="003E77D8"/>
    <w:rsid w:val="003F01D0"/>
    <w:rsid w:val="0040622B"/>
    <w:rsid w:val="00416AEE"/>
    <w:rsid w:val="0045371B"/>
    <w:rsid w:val="0046076D"/>
    <w:rsid w:val="004643BD"/>
    <w:rsid w:val="004729C2"/>
    <w:rsid w:val="004B53F6"/>
    <w:rsid w:val="004E7584"/>
    <w:rsid w:val="00500E02"/>
    <w:rsid w:val="00515977"/>
    <w:rsid w:val="0053372D"/>
    <w:rsid w:val="00536BE5"/>
    <w:rsid w:val="00542DCE"/>
    <w:rsid w:val="00562F8E"/>
    <w:rsid w:val="005A13BF"/>
    <w:rsid w:val="005A3FBD"/>
    <w:rsid w:val="005E33B1"/>
    <w:rsid w:val="00632E4D"/>
    <w:rsid w:val="00635A1C"/>
    <w:rsid w:val="00662A0C"/>
    <w:rsid w:val="00672D91"/>
    <w:rsid w:val="006C60CD"/>
    <w:rsid w:val="006C6A9A"/>
    <w:rsid w:val="006F6B9C"/>
    <w:rsid w:val="00714078"/>
    <w:rsid w:val="00727F69"/>
    <w:rsid w:val="0074166B"/>
    <w:rsid w:val="00752116"/>
    <w:rsid w:val="00753717"/>
    <w:rsid w:val="007546A1"/>
    <w:rsid w:val="00792E82"/>
    <w:rsid w:val="007B7F2E"/>
    <w:rsid w:val="007C3B68"/>
    <w:rsid w:val="007D1F9C"/>
    <w:rsid w:val="007D5A46"/>
    <w:rsid w:val="007D6758"/>
    <w:rsid w:val="007E6423"/>
    <w:rsid w:val="00820143"/>
    <w:rsid w:val="0082207A"/>
    <w:rsid w:val="00872039"/>
    <w:rsid w:val="008842C8"/>
    <w:rsid w:val="008D7D19"/>
    <w:rsid w:val="008F4849"/>
    <w:rsid w:val="00910803"/>
    <w:rsid w:val="0097674E"/>
    <w:rsid w:val="009A1957"/>
    <w:rsid w:val="009A4CFA"/>
    <w:rsid w:val="009C3F3F"/>
    <w:rsid w:val="00A06BE9"/>
    <w:rsid w:val="00A319D0"/>
    <w:rsid w:val="00A40EB1"/>
    <w:rsid w:val="00A5061A"/>
    <w:rsid w:val="00A70242"/>
    <w:rsid w:val="00A85A29"/>
    <w:rsid w:val="00A94B1C"/>
    <w:rsid w:val="00AA6159"/>
    <w:rsid w:val="00AD16D4"/>
    <w:rsid w:val="00AE328D"/>
    <w:rsid w:val="00B3302A"/>
    <w:rsid w:val="00B3460D"/>
    <w:rsid w:val="00BF0E6F"/>
    <w:rsid w:val="00C373BC"/>
    <w:rsid w:val="00C442DA"/>
    <w:rsid w:val="00C6636D"/>
    <w:rsid w:val="00CA1D4A"/>
    <w:rsid w:val="00CC5C6B"/>
    <w:rsid w:val="00CF5EC3"/>
    <w:rsid w:val="00D10A5A"/>
    <w:rsid w:val="00D17313"/>
    <w:rsid w:val="00D217F8"/>
    <w:rsid w:val="00D34BEE"/>
    <w:rsid w:val="00D40354"/>
    <w:rsid w:val="00D46F98"/>
    <w:rsid w:val="00DD68C1"/>
    <w:rsid w:val="00DF229A"/>
    <w:rsid w:val="00DF496C"/>
    <w:rsid w:val="00E85E26"/>
    <w:rsid w:val="00EB689C"/>
    <w:rsid w:val="00ED7EDE"/>
    <w:rsid w:val="00EF1D41"/>
    <w:rsid w:val="00F22B3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9"/>
    <w:locked/>
    <w:rPr>
      <w:b/>
      <w:i/>
      <w:sz w:val="26"/>
    </w:rPr>
  </w:style>
  <w:style w:type="character" w:customStyle="1" w:styleId="Heading6Char">
    <w:name w:val="Heading 6 Char"/>
    <w:link w:val="Heading6"/>
    <w:uiPriority w:val="99"/>
    <w:locked/>
    <w:rPr>
      <w:b/>
    </w:rPr>
  </w:style>
  <w:style w:type="character" w:customStyle="1" w:styleId="Heading7Char">
    <w:name w:val="Heading 7 Char"/>
    <w:link w:val="Heading7"/>
    <w:uiPriority w:val="99"/>
    <w:locked/>
    <w:rPr>
      <w:sz w:val="24"/>
    </w:rPr>
  </w:style>
  <w:style w:type="character" w:customStyle="1" w:styleId="Heading8Char">
    <w:name w:val="Heading 8 Char"/>
    <w:link w:val="Heading8"/>
    <w:uiPriority w:val="99"/>
    <w:locked/>
    <w:rPr>
      <w:i/>
      <w:sz w:val="24"/>
    </w:rPr>
  </w:style>
  <w:style w:type="character" w:customStyle="1" w:styleId="Heading9Char">
    <w:name w:val="Heading 9 Char"/>
    <w:link w:val="Heading9"/>
    <w:uiPriority w:val="99"/>
    <w:locked/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uiPriority w:val="9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jc w:val="left"/>
    </w:pPr>
  </w:style>
  <w:style w:type="character" w:customStyle="1" w:styleId="CommentTextChar">
    <w:name w:val="Comment Text Char"/>
    <w:link w:val="CommentText"/>
    <w:uiPriority w:val="99"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1DFC2-D1A3-4B61-8932-7BEE0766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373</Words>
  <Characters>2132</Characters>
  <Application>Microsoft Office Word</Application>
  <DocSecurity>0</DocSecurity>
  <Lines>0</Lines>
  <Paragraphs>0</Paragraphs>
  <ScaleCrop>false</ScaleCrop>
  <Company>Nebo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Valaštínová</dc:creator>
  <cp:lastModifiedBy>Gašparíková, Jarmila</cp:lastModifiedBy>
  <cp:revision>2</cp:revision>
  <dcterms:created xsi:type="dcterms:W3CDTF">2013-12-19T12:57:00Z</dcterms:created>
  <dcterms:modified xsi:type="dcterms:W3CDTF">2013-12-19T12:57:00Z</dcterms:modified>
</cp:coreProperties>
</file>