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0690" w:rsidRPr="0012245E" w:rsidP="006E0690">
      <w:pPr>
        <w:bidi w:val="0"/>
        <w:jc w:val="center"/>
        <w:rPr>
          <w:rFonts w:ascii="Times New Roman" w:hAnsi="Times New Roman"/>
          <w:b/>
        </w:rPr>
      </w:pPr>
      <w:r w:rsidRPr="0012245E">
        <w:rPr>
          <w:rFonts w:ascii="Times New Roman" w:hAnsi="Times New Roman"/>
          <w:b/>
        </w:rPr>
        <w:t>Dôvodová správa</w:t>
      </w:r>
    </w:p>
    <w:p w:rsidR="006E0690" w:rsidRPr="0012245E" w:rsidP="006E0690">
      <w:pPr>
        <w:bidi w:val="0"/>
        <w:outlineLvl w:val="0"/>
        <w:rPr>
          <w:rFonts w:ascii="Times New Roman" w:hAnsi="Times New Roman"/>
          <w:b/>
          <w:bCs/>
          <w:u w:val="single"/>
        </w:rPr>
      </w:pPr>
    </w:p>
    <w:p w:rsidR="006E0690" w:rsidRPr="0012245E" w:rsidP="006E0690">
      <w:pPr>
        <w:bidi w:val="0"/>
        <w:outlineLvl w:val="0"/>
        <w:rPr>
          <w:rFonts w:ascii="Times New Roman" w:hAnsi="Times New Roman"/>
          <w:b/>
          <w:bCs/>
          <w:u w:val="single"/>
        </w:rPr>
      </w:pPr>
      <w:r w:rsidRPr="0012245E">
        <w:rPr>
          <w:rFonts w:ascii="Times New Roman" w:hAnsi="Times New Roman"/>
          <w:b/>
          <w:bCs/>
          <w:u w:val="single"/>
        </w:rPr>
        <w:t xml:space="preserve">Všeobecná časť  </w:t>
      </w:r>
    </w:p>
    <w:p w:rsidR="00A8025E" w:rsidRPr="0012245E">
      <w:pPr>
        <w:bidi w:val="0"/>
        <w:rPr>
          <w:rFonts w:ascii="Times New Roman" w:hAnsi="Times New Roman"/>
        </w:rPr>
      </w:pPr>
    </w:p>
    <w:p w:rsidR="007369B0" w:rsidRPr="0012245E" w:rsidP="007369B0">
      <w:pPr>
        <w:bidi w:val="0"/>
        <w:jc w:val="both"/>
        <w:rPr>
          <w:rFonts w:ascii="Times New Roman" w:hAnsi="Times New Roman"/>
        </w:rPr>
      </w:pPr>
      <w:r w:rsidR="00FB73D8">
        <w:rPr>
          <w:rFonts w:ascii="Times New Roman" w:hAnsi="Times New Roman"/>
        </w:rPr>
        <w:t xml:space="preserve">Vládny </w:t>
      </w:r>
      <w:r w:rsidRPr="0012245E" w:rsidR="000B4854">
        <w:rPr>
          <w:rFonts w:ascii="Times New Roman" w:hAnsi="Times New Roman"/>
        </w:rPr>
        <w:t>návrh zákona, ktorým sa mení a dopĺňa zákon č.</w:t>
      </w:r>
      <w:r w:rsidRPr="0012245E" w:rsidR="00697CB2">
        <w:rPr>
          <w:rFonts w:ascii="Times New Roman" w:hAnsi="Times New Roman"/>
        </w:rPr>
        <w:t> </w:t>
      </w:r>
      <w:r w:rsidRPr="0012245E" w:rsidR="000B4854">
        <w:rPr>
          <w:rFonts w:ascii="Times New Roman" w:hAnsi="Times New Roman"/>
        </w:rPr>
        <w:t>595/2003 Z. z. o dani z príjmov v znení neskorších predpisov</w:t>
      </w:r>
      <w:r w:rsidR="0029455C">
        <w:rPr>
          <w:rFonts w:ascii="Times New Roman" w:hAnsi="Times New Roman"/>
        </w:rPr>
        <w:t xml:space="preserve"> a ktorým sa </w:t>
      </w:r>
      <w:r w:rsidR="0056176D">
        <w:rPr>
          <w:rFonts w:ascii="Times New Roman" w:hAnsi="Times New Roman"/>
        </w:rPr>
        <w:t xml:space="preserve">mení a </w:t>
      </w:r>
      <w:r w:rsidR="0029455C">
        <w:rPr>
          <w:rFonts w:ascii="Times New Roman" w:hAnsi="Times New Roman"/>
        </w:rPr>
        <w:t>dopĺňa zákon č. 564/2004 Z. z. o rozpočtovom určení výnosu dane z príjmov územnej samospráve a o zmene a doplnení niektorých zákonov v znení neskorších predpisov</w:t>
      </w:r>
      <w:r w:rsidR="00FB73D8">
        <w:rPr>
          <w:rFonts w:ascii="Times New Roman" w:hAnsi="Times New Roman"/>
        </w:rPr>
        <w:t xml:space="preserve"> je vypracovaný ako iniciatívny návrh</w:t>
      </w:r>
      <w:r w:rsidRPr="0012245E" w:rsidR="000B4854">
        <w:rPr>
          <w:rFonts w:ascii="Times New Roman" w:hAnsi="Times New Roman"/>
        </w:rPr>
        <w:t xml:space="preserve">. </w:t>
      </w:r>
    </w:p>
    <w:p w:rsidR="003109A0" w:rsidP="007369B0">
      <w:pPr>
        <w:bidi w:val="0"/>
        <w:jc w:val="both"/>
        <w:rPr>
          <w:rFonts w:ascii="Times New Roman" w:hAnsi="Times New Roman"/>
        </w:rPr>
      </w:pPr>
    </w:p>
    <w:p w:rsidR="0043579A" w:rsidRPr="0012245E" w:rsidP="000B4854">
      <w:pPr>
        <w:bidi w:val="0"/>
        <w:jc w:val="both"/>
        <w:rPr>
          <w:rStyle w:val="PlaceholderText"/>
          <w:color w:val="000000"/>
        </w:rPr>
      </w:pPr>
      <w:r w:rsidRPr="0029455C" w:rsidR="0029455C">
        <w:rPr>
          <w:rFonts w:ascii="Times New Roman" w:hAnsi="Times New Roman"/>
          <w:b/>
        </w:rPr>
        <w:t>V článku I</w:t>
      </w:r>
      <w:r w:rsidR="0029455C">
        <w:rPr>
          <w:rFonts w:ascii="Times New Roman" w:hAnsi="Times New Roman"/>
        </w:rPr>
        <w:t xml:space="preserve"> sa mení a dopĺňa zákon č. 595/2003 Z. z. o dani z príjmov v znení neskorších predpisov. </w:t>
      </w:r>
      <w:r w:rsidRPr="0012245E" w:rsidR="000B4854">
        <w:rPr>
          <w:rStyle w:val="PlaceholderText"/>
          <w:color w:val="000000"/>
        </w:rPr>
        <w:t>Predkladaný návrh zákona vychádza z programového vyhlásenia vlády</w:t>
      </w:r>
      <w:r w:rsidRPr="0012245E" w:rsidR="00672E4C">
        <w:rPr>
          <w:rStyle w:val="PlaceholderText"/>
          <w:color w:val="000000"/>
        </w:rPr>
        <w:t xml:space="preserve"> SR</w:t>
      </w:r>
      <w:r w:rsidRPr="0012245E" w:rsidR="000B4854">
        <w:rPr>
          <w:rStyle w:val="PlaceholderText"/>
          <w:color w:val="000000"/>
        </w:rPr>
        <w:t xml:space="preserve">, </w:t>
      </w:r>
      <w:r w:rsidRPr="0012245E" w:rsidR="003109A0">
        <w:rPr>
          <w:rStyle w:val="PlaceholderText"/>
          <w:color w:val="000000"/>
        </w:rPr>
        <w:t>v ktorom sa vláda SR</w:t>
      </w:r>
      <w:r w:rsidRPr="0012245E" w:rsidR="000B4854">
        <w:rPr>
          <w:rStyle w:val="PlaceholderText"/>
          <w:color w:val="000000"/>
        </w:rPr>
        <w:t xml:space="preserve"> </w:t>
      </w:r>
      <w:r w:rsidRPr="0012245E" w:rsidR="003109A0">
        <w:rPr>
          <w:rFonts w:ascii="Times New Roman" w:hAnsi="Times New Roman"/>
        </w:rPr>
        <w:t>zaviazala dosiahnu</w:t>
      </w:r>
      <w:r w:rsidRPr="0012245E" w:rsidR="00D71865">
        <w:rPr>
          <w:rFonts w:ascii="Times New Roman" w:hAnsi="Times New Roman"/>
        </w:rPr>
        <w:t>ť</w:t>
      </w:r>
      <w:r w:rsidRPr="0012245E" w:rsidR="003109A0">
        <w:rPr>
          <w:rFonts w:ascii="Times New Roman" w:hAnsi="Times New Roman"/>
        </w:rPr>
        <w:t xml:space="preserve"> vyvážen</w:t>
      </w:r>
      <w:r w:rsidRPr="0012245E" w:rsidR="00D71865">
        <w:rPr>
          <w:rFonts w:ascii="Times New Roman" w:hAnsi="Times New Roman"/>
        </w:rPr>
        <w:t>ý</w:t>
      </w:r>
      <w:r w:rsidRPr="0012245E" w:rsidR="003109A0">
        <w:rPr>
          <w:rFonts w:ascii="Times New Roman" w:hAnsi="Times New Roman"/>
        </w:rPr>
        <w:t xml:space="preserve"> a trvalo udržateľn</w:t>
      </w:r>
      <w:r w:rsidRPr="0012245E" w:rsidR="00D71865">
        <w:rPr>
          <w:rFonts w:ascii="Times New Roman" w:hAnsi="Times New Roman"/>
        </w:rPr>
        <w:t>ý</w:t>
      </w:r>
      <w:r w:rsidRPr="0012245E" w:rsidR="003109A0">
        <w:rPr>
          <w:rFonts w:ascii="Times New Roman" w:hAnsi="Times New Roman"/>
        </w:rPr>
        <w:t xml:space="preserve"> rozvoj národného hospodárstva SR. </w:t>
      </w:r>
      <w:r w:rsidRPr="0012245E" w:rsidR="003109A0">
        <w:rPr>
          <w:rStyle w:val="PlaceholderText"/>
          <w:color w:val="000000"/>
        </w:rPr>
        <w:t xml:space="preserve">Cieľom vlády SR je </w:t>
      </w:r>
      <w:r w:rsidRPr="0012245E">
        <w:rPr>
          <w:rFonts w:ascii="Times New Roman" w:hAnsi="Times New Roman"/>
        </w:rPr>
        <w:t xml:space="preserve">vytvorenie priaznivého a stabilného podnikateľského prostredia, ktoré bude založené najmä na nízkej administratívnej zaťaženosti, </w:t>
      </w:r>
      <w:r w:rsidRPr="0012245E" w:rsidR="00BC0B57">
        <w:rPr>
          <w:rFonts w:ascii="Times New Roman" w:hAnsi="Times New Roman"/>
        </w:rPr>
        <w:t xml:space="preserve">zabezpečenia </w:t>
      </w:r>
      <w:r w:rsidRPr="0012245E">
        <w:rPr>
          <w:rFonts w:ascii="Times New Roman" w:hAnsi="Times New Roman"/>
        </w:rPr>
        <w:t xml:space="preserve">vymožiteľnosti práva a jeho komplexnej previazanosti na iné právne normy, vrátane jeho jednoduchého uplatňovania. </w:t>
      </w:r>
      <w:r w:rsidRPr="0012245E" w:rsidR="00317121">
        <w:rPr>
          <w:rStyle w:val="PlaceholderText"/>
          <w:color w:val="000000"/>
        </w:rPr>
        <w:t>Z tohto záväzku vlády SR vychádzajú aj n</w:t>
      </w:r>
      <w:r w:rsidRPr="0012245E" w:rsidR="000B4854">
        <w:rPr>
          <w:rStyle w:val="PlaceholderText"/>
          <w:color w:val="000000"/>
        </w:rPr>
        <w:t>avrhované úpravy</w:t>
      </w:r>
      <w:r w:rsidRPr="0012245E" w:rsidR="00317121">
        <w:rPr>
          <w:rStyle w:val="PlaceholderText"/>
          <w:color w:val="000000"/>
        </w:rPr>
        <w:t xml:space="preserve">, ktoré </w:t>
      </w:r>
      <w:r w:rsidRPr="0012245E" w:rsidR="000B4854">
        <w:rPr>
          <w:rStyle w:val="PlaceholderText"/>
          <w:color w:val="000000"/>
        </w:rPr>
        <w:t>sú zamerané najmä na</w:t>
      </w:r>
      <w:r w:rsidRPr="0012245E">
        <w:rPr>
          <w:rStyle w:val="PlaceholderText"/>
          <w:color w:val="000000"/>
        </w:rPr>
        <w:t xml:space="preserve"> opatrenia smerujúce k</w:t>
      </w:r>
    </w:p>
    <w:p w:rsidR="0043579A" w:rsidRPr="0012245E" w:rsidP="000627E0">
      <w:pPr>
        <w:pStyle w:val="ListParagraph"/>
        <w:numPr>
          <w:numId w:val="1"/>
        </w:numPr>
        <w:autoSpaceDE w:val="0"/>
        <w:autoSpaceDN w:val="0"/>
        <w:bidi w:val="0"/>
        <w:adjustRightInd w:val="0"/>
        <w:spacing w:after="0" w:line="240" w:lineRule="auto"/>
        <w:ind w:left="284" w:hanging="284"/>
        <w:jc w:val="both"/>
        <w:rPr>
          <w:rFonts w:ascii="Times New Roman" w:hAnsi="Times New Roman"/>
          <w:b/>
          <w:sz w:val="24"/>
          <w:szCs w:val="24"/>
        </w:rPr>
      </w:pPr>
      <w:r w:rsidRPr="0012245E">
        <w:rPr>
          <w:rFonts w:ascii="Times New Roman" w:hAnsi="Times New Roman"/>
          <w:b/>
          <w:sz w:val="24"/>
          <w:szCs w:val="24"/>
        </w:rPr>
        <w:t>odstráneniu administratívnej náročnosti pre daňové subjekty:</w:t>
      </w:r>
    </w:p>
    <w:p w:rsidR="0043579A" w:rsidRPr="0012245E" w:rsidP="000627E0">
      <w:pPr>
        <w:pStyle w:val="ListParagraph"/>
        <w:numPr>
          <w:numId w:val="2"/>
        </w:numPr>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zjednodušením a zjednotením evidencie preukázateľných príjmov a výdavkov pre fyzické osoby</w:t>
      </w:r>
      <w:r w:rsidRPr="0012245E" w:rsidR="00E6246F">
        <w:rPr>
          <w:rFonts w:ascii="Times New Roman" w:hAnsi="Times New Roman"/>
          <w:sz w:val="24"/>
          <w:szCs w:val="24"/>
        </w:rPr>
        <w:t xml:space="preserve"> podnikateľov</w:t>
      </w:r>
      <w:r w:rsidRPr="0012245E">
        <w:rPr>
          <w:rFonts w:ascii="Times New Roman" w:hAnsi="Times New Roman"/>
          <w:sz w:val="24"/>
          <w:szCs w:val="24"/>
        </w:rPr>
        <w:t>,</w:t>
      </w:r>
    </w:p>
    <w:p w:rsidR="00EE1993" w:rsidRPr="0012245E" w:rsidP="000627E0">
      <w:pPr>
        <w:pStyle w:val="ListParagraph"/>
        <w:numPr>
          <w:numId w:val="2"/>
        </w:numPr>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zrušením oznamovacej povinnosti pri platbách v hotovosti vzhľadom na prijatie zákona obmedzujúceho platby v hotovosti,</w:t>
      </w:r>
    </w:p>
    <w:p w:rsidR="0043579A" w:rsidRPr="0012245E" w:rsidP="000627E0">
      <w:pPr>
        <w:pStyle w:val="ListParagraph"/>
        <w:numPr>
          <w:numId w:val="2"/>
        </w:numPr>
        <w:shd w:val="clear" w:color="auto" w:fill="FFFFFF"/>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zrušením oznamovacej povinnosti</w:t>
      </w:r>
      <w:r w:rsidRPr="0012245E" w:rsidR="00EE0D02">
        <w:rPr>
          <w:rFonts w:ascii="Times New Roman" w:hAnsi="Times New Roman"/>
          <w:sz w:val="24"/>
          <w:szCs w:val="24"/>
        </w:rPr>
        <w:t xml:space="preserve"> začatia a ukončenia nezahrňovania </w:t>
      </w:r>
      <w:r w:rsidRPr="0012245E" w:rsidR="006A3015">
        <w:rPr>
          <w:rFonts w:ascii="Times New Roman" w:hAnsi="Times New Roman"/>
          <w:sz w:val="24"/>
          <w:szCs w:val="24"/>
        </w:rPr>
        <w:t>kurzových rozdielov</w:t>
      </w:r>
      <w:r w:rsidRPr="0012245E" w:rsidR="00EE0D02">
        <w:rPr>
          <w:rFonts w:ascii="Times New Roman" w:hAnsi="Times New Roman"/>
          <w:sz w:val="24"/>
          <w:szCs w:val="24"/>
        </w:rPr>
        <w:t xml:space="preserve"> vznikajúcich v účtovníctve z dôvodu nezrealizovaného inkasa pohľadávok alebo neuhradených platieb záväzkov</w:t>
      </w:r>
      <w:r w:rsidRPr="0012245E" w:rsidR="00BC0B57">
        <w:rPr>
          <w:rFonts w:ascii="Times New Roman" w:hAnsi="Times New Roman"/>
          <w:sz w:val="24"/>
          <w:szCs w:val="24"/>
        </w:rPr>
        <w:t>,</w:t>
      </w:r>
      <w:r w:rsidRPr="0012245E" w:rsidR="00EE0D02">
        <w:rPr>
          <w:rFonts w:ascii="Times New Roman" w:hAnsi="Times New Roman"/>
          <w:sz w:val="24"/>
          <w:szCs w:val="24"/>
        </w:rPr>
        <w:t xml:space="preserve"> </w:t>
      </w:r>
    </w:p>
    <w:p w:rsidR="00F105F7" w:rsidRPr="0012245E" w:rsidP="000627E0">
      <w:pPr>
        <w:pStyle w:val="ListParagraph"/>
        <w:numPr>
          <w:numId w:val="2"/>
        </w:numPr>
        <w:shd w:val="clear" w:color="auto" w:fill="FFFFFF"/>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 xml:space="preserve">zjednotením spodnej hranice pre platenie preddavkov na </w:t>
      </w:r>
      <w:r w:rsidRPr="0012245E" w:rsidR="00210E92">
        <w:rPr>
          <w:rFonts w:ascii="Times New Roman" w:hAnsi="Times New Roman"/>
          <w:sz w:val="24"/>
          <w:szCs w:val="24"/>
        </w:rPr>
        <w:t>da</w:t>
      </w:r>
      <w:r w:rsidRPr="0012245E">
        <w:rPr>
          <w:rFonts w:ascii="Times New Roman" w:hAnsi="Times New Roman"/>
          <w:sz w:val="24"/>
          <w:szCs w:val="24"/>
        </w:rPr>
        <w:t>ň fyzický</w:t>
      </w:r>
      <w:r w:rsidRPr="0012245E" w:rsidR="00210E92">
        <w:rPr>
          <w:rFonts w:ascii="Times New Roman" w:hAnsi="Times New Roman"/>
          <w:sz w:val="24"/>
          <w:szCs w:val="24"/>
        </w:rPr>
        <w:t>ch a právnických</w:t>
      </w:r>
      <w:r w:rsidRPr="0012245E">
        <w:rPr>
          <w:rFonts w:ascii="Times New Roman" w:hAnsi="Times New Roman"/>
          <w:sz w:val="24"/>
          <w:szCs w:val="24"/>
        </w:rPr>
        <w:t xml:space="preserve"> os</w:t>
      </w:r>
      <w:r w:rsidRPr="0012245E" w:rsidR="00210E92">
        <w:rPr>
          <w:rFonts w:ascii="Times New Roman" w:hAnsi="Times New Roman"/>
          <w:sz w:val="24"/>
          <w:szCs w:val="24"/>
        </w:rPr>
        <w:t>ô</w:t>
      </w:r>
      <w:r w:rsidRPr="0012245E">
        <w:rPr>
          <w:rFonts w:ascii="Times New Roman" w:hAnsi="Times New Roman"/>
          <w:sz w:val="24"/>
          <w:szCs w:val="24"/>
        </w:rPr>
        <w:t>b,</w:t>
      </w:r>
    </w:p>
    <w:p w:rsidR="00F105F7" w:rsidRPr="0012245E" w:rsidP="000627E0">
      <w:pPr>
        <w:pStyle w:val="ListParagraph"/>
        <w:numPr>
          <w:numId w:val="2"/>
        </w:numPr>
        <w:shd w:val="clear" w:color="auto" w:fill="FFFFFF"/>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zjednodušením poukazovania 2 % podielu zaplatenej dane zamestnancom prostredníctvom hlásenia u zamestnávateľa,</w:t>
      </w:r>
    </w:p>
    <w:p w:rsidR="0043579A" w:rsidRPr="0012245E" w:rsidP="000627E0">
      <w:pPr>
        <w:pStyle w:val="ListParagraph"/>
        <w:numPr>
          <w:numId w:val="1"/>
        </w:numPr>
        <w:autoSpaceDE w:val="0"/>
        <w:autoSpaceDN w:val="0"/>
        <w:bidi w:val="0"/>
        <w:adjustRightInd w:val="0"/>
        <w:spacing w:after="0" w:line="240" w:lineRule="auto"/>
        <w:ind w:left="284" w:hanging="284"/>
        <w:jc w:val="both"/>
        <w:rPr>
          <w:rFonts w:ascii="Times New Roman" w:hAnsi="Times New Roman"/>
          <w:b/>
          <w:sz w:val="24"/>
          <w:szCs w:val="24"/>
        </w:rPr>
      </w:pPr>
      <w:r w:rsidRPr="0012245E">
        <w:rPr>
          <w:rFonts w:ascii="Times New Roman" w:hAnsi="Times New Roman"/>
          <w:b/>
          <w:sz w:val="24"/>
          <w:szCs w:val="24"/>
        </w:rPr>
        <w:t>nekompromisnému, koncepčnému a systematickému boju proti daňovým únikom:</w:t>
      </w:r>
    </w:p>
    <w:p w:rsidR="0043579A" w:rsidRPr="0012245E" w:rsidP="000627E0">
      <w:pPr>
        <w:pStyle w:val="ListParagraph"/>
        <w:numPr>
          <w:numId w:val="2"/>
        </w:numPr>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zavedením zvýšenej zrážkovej dane na vybrané druhy príjmov vyplácané nerezidentom</w:t>
      </w:r>
      <w:r w:rsidRPr="0012245E" w:rsidR="00BC0B57">
        <w:rPr>
          <w:rFonts w:ascii="Times New Roman" w:hAnsi="Times New Roman"/>
          <w:sz w:val="24"/>
          <w:szCs w:val="24"/>
        </w:rPr>
        <w:t>,</w:t>
      </w:r>
    </w:p>
    <w:p w:rsidR="0043579A" w:rsidRPr="0012245E" w:rsidP="000627E0">
      <w:pPr>
        <w:pStyle w:val="ListParagraph"/>
        <w:numPr>
          <w:numId w:val="1"/>
        </w:numPr>
        <w:autoSpaceDE w:val="0"/>
        <w:autoSpaceDN w:val="0"/>
        <w:bidi w:val="0"/>
        <w:adjustRightInd w:val="0"/>
        <w:spacing w:after="0" w:line="240" w:lineRule="auto"/>
        <w:ind w:left="284" w:hanging="284"/>
        <w:jc w:val="both"/>
        <w:rPr>
          <w:rFonts w:ascii="Times New Roman" w:hAnsi="Times New Roman"/>
          <w:sz w:val="24"/>
          <w:szCs w:val="24"/>
        </w:rPr>
      </w:pPr>
      <w:r w:rsidRPr="0012245E">
        <w:rPr>
          <w:rFonts w:ascii="Times New Roman" w:hAnsi="Times New Roman"/>
          <w:b/>
          <w:sz w:val="24"/>
          <w:szCs w:val="24"/>
        </w:rPr>
        <w:t>k zvýšeniu právnej istoty</w:t>
      </w:r>
      <w:r w:rsidRPr="0012245E" w:rsidR="00F105F7">
        <w:rPr>
          <w:rFonts w:ascii="Times New Roman" w:hAnsi="Times New Roman"/>
          <w:b/>
          <w:sz w:val="24"/>
          <w:szCs w:val="24"/>
        </w:rPr>
        <w:t xml:space="preserve"> daňovníkov a atraktivity podnikateľského prostredia</w:t>
      </w:r>
      <w:r w:rsidRPr="0012245E">
        <w:rPr>
          <w:rFonts w:ascii="Times New Roman" w:hAnsi="Times New Roman"/>
          <w:b/>
          <w:sz w:val="24"/>
          <w:szCs w:val="24"/>
        </w:rPr>
        <w:t>:</w:t>
      </w:r>
    </w:p>
    <w:p w:rsidR="0043579A" w:rsidRPr="0012245E" w:rsidP="000627E0">
      <w:pPr>
        <w:pStyle w:val="ListParagraph"/>
        <w:numPr>
          <w:numId w:val="2"/>
        </w:numPr>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 xml:space="preserve">úpravou </w:t>
      </w:r>
      <w:r w:rsidRPr="0012245E" w:rsidR="00210E92">
        <w:rPr>
          <w:rFonts w:ascii="Times New Roman" w:hAnsi="Times New Roman"/>
          <w:sz w:val="24"/>
          <w:szCs w:val="24"/>
        </w:rPr>
        <w:t>základne</w:t>
      </w:r>
      <w:r w:rsidRPr="0012245E">
        <w:rPr>
          <w:rFonts w:ascii="Times New Roman" w:hAnsi="Times New Roman"/>
          <w:sz w:val="24"/>
          <w:szCs w:val="24"/>
        </w:rPr>
        <w:t>, z ktorej sa stanovuje nepeňažný príjem v prípade používania motorového vozidla zamestnancom na</w:t>
      </w:r>
      <w:r w:rsidRPr="0012245E" w:rsidR="00BC0B57">
        <w:rPr>
          <w:rFonts w:ascii="Times New Roman" w:hAnsi="Times New Roman"/>
          <w:sz w:val="24"/>
          <w:szCs w:val="24"/>
        </w:rPr>
        <w:t xml:space="preserve"> služobné aj</w:t>
      </w:r>
      <w:r w:rsidRPr="0012245E">
        <w:rPr>
          <w:rFonts w:ascii="Times New Roman" w:hAnsi="Times New Roman"/>
          <w:sz w:val="24"/>
          <w:szCs w:val="24"/>
        </w:rPr>
        <w:t xml:space="preserve"> súkromné účely,</w:t>
      </w:r>
    </w:p>
    <w:p w:rsidR="00EE0D02" w:rsidRPr="0012245E" w:rsidP="000627E0">
      <w:pPr>
        <w:pStyle w:val="ListParagraph"/>
        <w:numPr>
          <w:numId w:val="2"/>
        </w:numPr>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sidR="0043579A">
        <w:rPr>
          <w:rFonts w:ascii="Times New Roman" w:hAnsi="Times New Roman"/>
          <w:sz w:val="24"/>
          <w:szCs w:val="24"/>
          <w:shd w:val="clear" w:color="auto" w:fill="FFFFFF"/>
        </w:rPr>
        <w:t>zjednotením podmienok</w:t>
      </w:r>
      <w:r w:rsidRPr="0012245E" w:rsidR="0043579A">
        <w:rPr>
          <w:rFonts w:ascii="Times New Roman" w:hAnsi="Times New Roman"/>
          <w:sz w:val="24"/>
          <w:szCs w:val="24"/>
        </w:rPr>
        <w:t xml:space="preserve"> pre zahrnutie záväzkov a pohľadávok po lehote splatnosti do základu dane</w:t>
      </w:r>
      <w:r w:rsidRPr="0012245E" w:rsidR="00F105F7">
        <w:rPr>
          <w:rFonts w:ascii="Times New Roman" w:hAnsi="Times New Roman"/>
          <w:sz w:val="24"/>
          <w:szCs w:val="24"/>
        </w:rPr>
        <w:t>,</w:t>
      </w:r>
    </w:p>
    <w:p w:rsidR="00F105F7" w:rsidRPr="0012245E" w:rsidP="000627E0">
      <w:pPr>
        <w:pStyle w:val="ListParagraph"/>
        <w:numPr>
          <w:numId w:val="2"/>
        </w:numPr>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úpravou oblasti finančného prenájmu v nadväznosti na ponechanie zrýchleného leasingového odpisovania,</w:t>
      </w:r>
    </w:p>
    <w:p w:rsidR="00F105F7" w:rsidRPr="0012245E" w:rsidP="000627E0">
      <w:pPr>
        <w:pStyle w:val="ListParagraph"/>
        <w:numPr>
          <w:numId w:val="2"/>
        </w:numPr>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Pr>
          <w:rFonts w:ascii="Times New Roman" w:hAnsi="Times New Roman"/>
          <w:sz w:val="24"/>
          <w:szCs w:val="24"/>
        </w:rPr>
        <w:t xml:space="preserve">paušalizáciou výdavkov na pohonné látky pre fyzické osoby podnikateľov v prípade použitia motorového vozidla nezahrnutého do obchodného majetku, </w:t>
      </w:r>
    </w:p>
    <w:p w:rsidR="0043579A" w:rsidRPr="0012245E" w:rsidP="000627E0">
      <w:pPr>
        <w:pStyle w:val="ListParagraph"/>
        <w:numPr>
          <w:numId w:val="2"/>
        </w:numPr>
        <w:tabs>
          <w:tab w:val="left" w:pos="426"/>
        </w:tabs>
        <w:autoSpaceDE w:val="0"/>
        <w:autoSpaceDN w:val="0"/>
        <w:bidi w:val="0"/>
        <w:adjustRightInd w:val="0"/>
        <w:spacing w:after="0" w:line="240" w:lineRule="auto"/>
        <w:ind w:left="426" w:hanging="153"/>
        <w:jc w:val="both"/>
        <w:rPr>
          <w:rFonts w:ascii="Times New Roman" w:hAnsi="Times New Roman"/>
          <w:sz w:val="24"/>
          <w:szCs w:val="24"/>
        </w:rPr>
      </w:pPr>
      <w:r w:rsidRPr="0012245E" w:rsidR="00EE0D02">
        <w:rPr>
          <w:rFonts w:ascii="Times New Roman" w:hAnsi="Times New Roman"/>
          <w:sz w:val="24"/>
          <w:szCs w:val="24"/>
        </w:rPr>
        <w:t>obmedzenou daňovou povinnosťou pri spôsobe výpočtu základu dane z</w:t>
      </w:r>
      <w:r w:rsidRPr="0012245E" w:rsidR="00F105F7">
        <w:rPr>
          <w:rFonts w:ascii="Times New Roman" w:hAnsi="Times New Roman"/>
          <w:sz w:val="24"/>
          <w:szCs w:val="24"/>
        </w:rPr>
        <w:t> </w:t>
      </w:r>
      <w:r w:rsidRPr="0012245E" w:rsidR="00EE0D02">
        <w:rPr>
          <w:rFonts w:ascii="Times New Roman" w:hAnsi="Times New Roman"/>
          <w:sz w:val="24"/>
          <w:szCs w:val="24"/>
        </w:rPr>
        <w:t>príjmov</w:t>
      </w:r>
      <w:r w:rsidRPr="0012245E" w:rsidR="00F105F7">
        <w:rPr>
          <w:rFonts w:ascii="Times New Roman" w:hAnsi="Times New Roman"/>
          <w:sz w:val="24"/>
          <w:szCs w:val="24"/>
        </w:rPr>
        <w:t>.</w:t>
      </w:r>
    </w:p>
    <w:p w:rsidR="0043579A" w:rsidP="000B4854">
      <w:pPr>
        <w:bidi w:val="0"/>
        <w:jc w:val="both"/>
        <w:rPr>
          <w:rStyle w:val="PlaceholderText"/>
          <w:color w:val="000000"/>
        </w:rPr>
      </w:pPr>
    </w:p>
    <w:p w:rsidR="009107A4" w:rsidRPr="000452BE" w:rsidP="009107A4">
      <w:pPr>
        <w:bidi w:val="0"/>
        <w:jc w:val="both"/>
        <w:rPr>
          <w:rFonts w:ascii="Times New Roman" w:hAnsi="Times New Roman"/>
        </w:rPr>
      </w:pPr>
      <w:r w:rsidRPr="009107A4">
        <w:rPr>
          <w:rStyle w:val="PlaceholderText"/>
          <w:b/>
          <w:color w:val="000000"/>
        </w:rPr>
        <w:t>V článku II</w:t>
      </w:r>
      <w:r>
        <w:rPr>
          <w:rStyle w:val="PlaceholderText"/>
          <w:color w:val="000000"/>
        </w:rPr>
        <w:t xml:space="preserve"> sa dopĺňa zákon č. </w:t>
      </w:r>
      <w:r>
        <w:rPr>
          <w:rFonts w:ascii="Times New Roman" w:hAnsi="Times New Roman"/>
        </w:rPr>
        <w:t>564/2004 Z. z. o rozpočtovom určení výnosu dane z príjmov územnej samospráve a o zmene a doplnení niektorých zákonov v znení neskorších predpisov</w:t>
      </w:r>
      <w:r w:rsidR="00106287">
        <w:rPr>
          <w:rFonts w:ascii="Times New Roman" w:hAnsi="Times New Roman"/>
        </w:rPr>
        <w:t>.</w:t>
      </w:r>
      <w:r w:rsidRPr="001E4364">
        <w:rPr>
          <w:rFonts w:ascii="Times New Roman" w:hAnsi="Times New Roman"/>
        </w:rPr>
        <w:t xml:space="preserve"> Predmetom návrhu novely </w:t>
      </w:r>
      <w:r>
        <w:rPr>
          <w:rFonts w:ascii="Times New Roman" w:hAnsi="Times New Roman"/>
        </w:rPr>
        <w:t xml:space="preserve">zákona je </w:t>
      </w:r>
      <w:r w:rsidRPr="005A0519">
        <w:rPr>
          <w:rFonts w:ascii="Times New Roman" w:hAnsi="Times New Roman"/>
        </w:rPr>
        <w:t>úprava</w:t>
      </w:r>
      <w:r>
        <w:rPr>
          <w:rFonts w:ascii="Times New Roman" w:hAnsi="Times New Roman"/>
        </w:rPr>
        <w:t xml:space="preserve">, v ktorej sa navrhuje stanovenie termínu pre akceptovanie prípadných opráv údajov </w:t>
      </w:r>
      <w:r w:rsidRPr="000452BE">
        <w:rPr>
          <w:rFonts w:ascii="Times New Roman" w:hAnsi="Times New Roman"/>
        </w:rPr>
        <w:t>poskytnutých prostredníctvom Štatistického úradu SR</w:t>
      </w:r>
      <w:r>
        <w:rPr>
          <w:rFonts w:ascii="Times New Roman" w:hAnsi="Times New Roman"/>
        </w:rPr>
        <w:t>.</w:t>
      </w:r>
      <w:r w:rsidRPr="000452BE">
        <w:rPr>
          <w:rFonts w:ascii="Times New Roman" w:hAnsi="Times New Roman"/>
        </w:rPr>
        <w:t xml:space="preserve"> </w:t>
      </w:r>
      <w:r>
        <w:rPr>
          <w:rFonts w:ascii="Times New Roman" w:hAnsi="Times New Roman"/>
        </w:rPr>
        <w:t>Č</w:t>
      </w:r>
      <w:r w:rsidRPr="000452BE">
        <w:rPr>
          <w:rFonts w:ascii="Times New Roman" w:hAnsi="Times New Roman"/>
        </w:rPr>
        <w:t xml:space="preserve">asové ohraničenie zvýši tlak na kontrolu </w:t>
      </w:r>
      <w:r>
        <w:rPr>
          <w:rFonts w:ascii="Times New Roman" w:hAnsi="Times New Roman"/>
        </w:rPr>
        <w:t xml:space="preserve">údajov </w:t>
      </w:r>
      <w:r w:rsidRPr="000452BE">
        <w:rPr>
          <w:rFonts w:ascii="Times New Roman" w:hAnsi="Times New Roman"/>
        </w:rPr>
        <w:t>a na čo najrýchlejšie vykonanie prípadných opráv</w:t>
      </w:r>
      <w:r>
        <w:rPr>
          <w:rFonts w:ascii="Times New Roman" w:hAnsi="Times New Roman"/>
        </w:rPr>
        <w:t xml:space="preserve"> s pozitívnym vplyvom na stabilitu prerozdeľovania podielu na výnose dane z príjmov fyzických osôb v priebehu roka</w:t>
      </w:r>
      <w:r w:rsidRPr="000452BE">
        <w:rPr>
          <w:rFonts w:ascii="Times New Roman" w:hAnsi="Times New Roman"/>
        </w:rPr>
        <w:t xml:space="preserve">.  </w:t>
      </w:r>
    </w:p>
    <w:p w:rsidR="009107A4" w:rsidRPr="0012245E" w:rsidP="000B4854">
      <w:pPr>
        <w:bidi w:val="0"/>
        <w:jc w:val="both"/>
        <w:rPr>
          <w:rStyle w:val="PlaceholderText"/>
          <w:color w:val="000000"/>
        </w:rPr>
      </w:pPr>
    </w:p>
    <w:p w:rsidR="001D127A" w:rsidRPr="0012245E" w:rsidP="001D127A">
      <w:pPr>
        <w:bidi w:val="0"/>
        <w:jc w:val="both"/>
        <w:rPr>
          <w:rFonts w:ascii="Times New Roman" w:hAnsi="Times New Roman"/>
        </w:rPr>
      </w:pPr>
      <w:r w:rsidRPr="0012245E">
        <w:rPr>
          <w:rFonts w:ascii="Times New Roman" w:hAnsi="Times New Roman"/>
        </w:rPr>
        <w:t>Vplyvy návrhu</w:t>
      </w:r>
      <w:r w:rsidR="009107A4">
        <w:rPr>
          <w:rFonts w:ascii="Times New Roman" w:hAnsi="Times New Roman"/>
        </w:rPr>
        <w:t xml:space="preserve"> zákona,</w:t>
      </w:r>
      <w:r w:rsidRPr="0012245E">
        <w:rPr>
          <w:rFonts w:ascii="Times New Roman" w:hAnsi="Times New Roman"/>
        </w:rPr>
        <w:t xml:space="preserve"> </w:t>
      </w:r>
      <w:r w:rsidRPr="0012245E" w:rsidR="009107A4">
        <w:rPr>
          <w:rFonts w:ascii="Times New Roman" w:hAnsi="Times New Roman"/>
        </w:rPr>
        <w:t>ktorým sa mení a dopĺňa zákon č. 595/2003 Z. z. o dani z príjmov v znení neskorších predpisov</w:t>
      </w:r>
      <w:r w:rsidR="009107A4">
        <w:rPr>
          <w:rFonts w:ascii="Times New Roman" w:hAnsi="Times New Roman"/>
        </w:rPr>
        <w:t xml:space="preserve"> a ktorým sa dopĺňa zákon č. 564/2004 Z. z. o rozpočtovom určení výnosu dane z príjmov územnej samospráve a o zmene a doplnení niektorých zákonov v znení neskorších predpisov</w:t>
      </w:r>
      <w:r w:rsidRPr="0012245E">
        <w:rPr>
          <w:rFonts w:ascii="Times New Roman" w:hAnsi="Times New Roman"/>
        </w:rPr>
        <w:t xml:space="preserve"> na jednotlivé subjekty verejnej správy, na podnikateľské prostredie, na hospodárenie obyvateľstva, sociálnu exklúziu, rovnosť príležitostí, rodovú rovnosť a na zamestnanosť sú uvedené v Doložke vybraných vplyvov. Návrh zákona nemá vplyv na životné prostredie a ani na informatizáciu spoločnosti. </w:t>
      </w:r>
    </w:p>
    <w:p w:rsidR="001D127A" w:rsidRPr="0012245E" w:rsidP="001D127A">
      <w:pPr>
        <w:bidi w:val="0"/>
        <w:jc w:val="both"/>
        <w:rPr>
          <w:rFonts w:ascii="Times New Roman" w:hAnsi="Times New Roman"/>
        </w:rPr>
      </w:pPr>
    </w:p>
    <w:p w:rsidR="003C76F2" w:rsidP="00DE244B">
      <w:pPr>
        <w:bidi w:val="0"/>
        <w:jc w:val="both"/>
        <w:rPr>
          <w:rFonts w:ascii="Times New Roman" w:hAnsi="Times New Roman"/>
        </w:rPr>
      </w:pPr>
      <w:r w:rsidRPr="0012245E">
        <w:rPr>
          <w:rFonts w:ascii="Times New Roman" w:hAnsi="Times New Roman"/>
        </w:rPr>
        <w:t xml:space="preserve">Návrh zákona je v súlade s Ústavou </w:t>
      </w:r>
      <w:r w:rsidRPr="0012245E" w:rsidR="00CA4A29">
        <w:rPr>
          <w:rFonts w:ascii="Times New Roman" w:hAnsi="Times New Roman"/>
        </w:rPr>
        <w:t>SR</w:t>
      </w:r>
      <w:r w:rsidRPr="0012245E">
        <w:rPr>
          <w:rFonts w:ascii="Times New Roman" w:hAnsi="Times New Roman"/>
        </w:rPr>
        <w:t xml:space="preserve">, zákonmi a medzinárodnými zmluvami a inými medzinárodnými dokumentmi, ktorými je </w:t>
      </w:r>
      <w:r w:rsidRPr="0012245E" w:rsidR="00CA4A29">
        <w:rPr>
          <w:rFonts w:ascii="Times New Roman" w:hAnsi="Times New Roman"/>
        </w:rPr>
        <w:t>SR</w:t>
      </w:r>
      <w:r w:rsidRPr="0012245E">
        <w:rPr>
          <w:rFonts w:ascii="Times New Roman" w:hAnsi="Times New Roman"/>
        </w:rPr>
        <w:t xml:space="preserve"> viazaná a s právom Európskej únie. </w:t>
      </w:r>
    </w:p>
    <w:p w:rsidR="000E550D" w:rsidP="00DE244B">
      <w:pPr>
        <w:bidi w:val="0"/>
        <w:jc w:val="both"/>
        <w:rPr>
          <w:rFonts w:ascii="Times New Roman" w:hAnsi="Times New Roman"/>
        </w:rPr>
      </w:pPr>
    </w:p>
    <w:p w:rsidR="000E550D" w:rsidRPr="0012245E" w:rsidP="00DE244B">
      <w:pPr>
        <w:bidi w:val="0"/>
        <w:jc w:val="both"/>
        <w:rPr>
          <w:rFonts w:ascii="Times New Roman" w:hAnsi="Times New Roman"/>
        </w:rPr>
      </w:pPr>
    </w:p>
    <w:p w:rsidR="003C76F2">
      <w:pPr>
        <w:bidi w:val="0"/>
        <w:rPr>
          <w:rFonts w:ascii="Times New Roman" w:hAnsi="Times New Roman"/>
        </w:rPr>
      </w:pPr>
    </w:p>
    <w:p w:rsidR="009107A4" w:rsidRPr="0012245E">
      <w:pPr>
        <w:bidi w:val="0"/>
        <w:rPr>
          <w:rFonts w:ascii="Times New Roman" w:hAnsi="Times New Roman"/>
        </w:rPr>
      </w:pPr>
    </w:p>
    <w:p w:rsidR="001D127A">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6A7BE2">
      <w:pPr>
        <w:bidi w:val="0"/>
        <w:rPr>
          <w:rFonts w:ascii="Times New Roman" w:hAnsi="Times New Roman"/>
        </w:rPr>
      </w:pPr>
    </w:p>
    <w:p w:rsidR="006A7BE2">
      <w:pPr>
        <w:bidi w:val="0"/>
        <w:rPr>
          <w:rFonts w:ascii="Times New Roman" w:hAnsi="Times New Roman"/>
        </w:rPr>
      </w:pPr>
    </w:p>
    <w:p w:rsidR="006A7BE2">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rsidRPr="0012245E">
      <w:pPr>
        <w:bidi w:val="0"/>
        <w:rPr>
          <w:rFonts w:ascii="Times New Roman" w:hAnsi="Times New Roman"/>
        </w:rPr>
      </w:pPr>
    </w:p>
    <w:p w:rsidR="001D127A" w:rsidRPr="0012245E">
      <w:pPr>
        <w:bidi w:val="0"/>
        <w:rPr>
          <w:rFonts w:ascii="Times New Roman" w:hAnsi="Times New Roman"/>
        </w:rPr>
      </w:pPr>
    </w:p>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b/>
          <w:bCs/>
        </w:rPr>
        <w:t>Doložka vybraných vplyvov</w:t>
      </w:r>
    </w:p>
    <w:p w:rsidR="001D127A" w:rsidRPr="0012245E" w:rsidP="001D127A">
      <w:pPr>
        <w:pStyle w:val="NormalWeb"/>
        <w:bidi w:val="0"/>
        <w:spacing w:before="0" w:beforeAutospacing="0" w:after="0" w:afterAutospacing="0"/>
        <w:ind w:right="-108"/>
        <w:jc w:val="center"/>
        <w:rPr>
          <w:rFonts w:ascii="Times New Roman" w:hAnsi="Times New Roman"/>
        </w:rPr>
      </w:pPr>
      <w:r w:rsidRPr="0012245E">
        <w:rPr>
          <w:rFonts w:ascii="Times New Roman" w:hAnsi="Times New Roman"/>
          <w:b/>
          <w:bCs/>
        </w:rPr>
        <w:t> </w:t>
      </w:r>
    </w:p>
    <w:p w:rsidR="001D127A" w:rsidRPr="0012245E" w:rsidP="001D127A">
      <w:pPr>
        <w:bidi w:val="0"/>
        <w:jc w:val="both"/>
        <w:rPr>
          <w:rFonts w:ascii="Times New Roman" w:hAnsi="Times New Roman"/>
          <w:b/>
          <w:bCs/>
        </w:rPr>
      </w:pPr>
      <w:r w:rsidRPr="0012245E">
        <w:rPr>
          <w:rFonts w:ascii="Times New Roman" w:hAnsi="Times New Roman"/>
          <w:b/>
          <w:bCs/>
        </w:rPr>
        <w:t xml:space="preserve"> A.1. Názov materiálu: </w:t>
      </w:r>
      <w:r w:rsidRPr="0012245E">
        <w:rPr>
          <w:rFonts w:ascii="Times New Roman" w:hAnsi="Times New Roman"/>
          <w:bCs/>
        </w:rPr>
        <w:t xml:space="preserve">Návrh zákona, ktorým sa mení a dopĺňa zákon č. 595/2003 Z. z. o dani z príjmov v znení neskorších predpisov a ktorým sa </w:t>
      </w:r>
      <w:r w:rsidR="0011564A">
        <w:rPr>
          <w:rFonts w:ascii="Times New Roman" w:hAnsi="Times New Roman"/>
          <w:bCs/>
        </w:rPr>
        <w:t>mení a dopĺňa zákon č. 564/2004 Z. z. o rozpočtovom určení výnosu dane z príjmov územnej samospráve a o zmene a doplnení niektorých zákonov v znení neskorších predpisov</w:t>
      </w:r>
      <w:r w:rsidRPr="0012245E">
        <w:rPr>
          <w:rFonts w:ascii="Times New Roman" w:hAnsi="Times New Roman"/>
          <w:bCs/>
        </w:rPr>
        <w:t xml:space="preserve"> </w:t>
      </w:r>
    </w:p>
    <w:p w:rsidR="001D127A" w:rsidRPr="0012245E" w:rsidP="001D127A">
      <w:pPr>
        <w:pStyle w:val="NormalWeb"/>
        <w:bidi w:val="0"/>
        <w:spacing w:before="0" w:beforeAutospacing="0" w:after="0" w:afterAutospacing="0"/>
        <w:rPr>
          <w:rFonts w:ascii="Times New Roman" w:hAnsi="Times New Roman"/>
        </w:rPr>
      </w:pPr>
    </w:p>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b/>
          <w:bCs/>
        </w:rPr>
        <w:t> Termín začatia a ukončenia PPK: -</w:t>
      </w:r>
    </w:p>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b/>
          <w:bCs/>
        </w:rPr>
        <w:t>A.2. Vplyvy:</w:t>
      </w:r>
    </w:p>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 </w:t>
      </w:r>
    </w:p>
    <w:tbl>
      <w:tblPr>
        <w:tblStyle w:val="TableNormal"/>
        <w:tblW w:w="9180" w:type="dxa"/>
        <w:tblLayout w:type="fixed"/>
        <w:tblCellMar>
          <w:left w:w="0" w:type="dxa"/>
          <w:right w:w="0" w:type="dxa"/>
        </w:tblCellMar>
      </w:tblPr>
      <w:tblGrid>
        <w:gridCol w:w="5211"/>
        <w:gridCol w:w="1276"/>
        <w:gridCol w:w="1276"/>
        <w:gridCol w:w="1417"/>
      </w:tblGrid>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Pozitívne</w:t>
            </w:r>
            <w:r w:rsidRPr="0012245E">
              <w:rPr>
                <w:rFonts w:ascii="Times New Roman" w:hAnsi="Times New Roman"/>
                <w:vertAlign w:val="superscript"/>
              </w:rPr>
              <w:t>*</w:t>
            </w:r>
            <w:r w:rsidRPr="0012245E">
              <w:rPr>
                <w:rFonts w:ascii="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Žiadne</w:t>
            </w:r>
            <w:r w:rsidRPr="0012245E">
              <w:rPr>
                <w:rFonts w:ascii="Times New Roman" w:hAnsi="Times New Roman"/>
                <w:vertAlign w:val="superscript"/>
              </w:rPr>
              <w:t>*</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Negatívne</w:t>
            </w:r>
            <w:r w:rsidRPr="0012245E">
              <w:rPr>
                <w:rFonts w:ascii="Times New Roman" w:hAnsi="Times New Roman"/>
                <w:vertAlign w:val="superscript"/>
              </w:rPr>
              <w:t>*</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1. Vplyvy na rozpočet verejnej správy</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2. Vplyvy na podnikateľské prostredie – dochádza k zvýšeniu regulačného zaťaženia?</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X</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 xml:space="preserve">3, Sociálne vplyvy </w:t>
            </w:r>
          </w:p>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 vplyvy na hospodárenie obyvateľstva,</w:t>
            </w:r>
          </w:p>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 sociálnu exklúziu,</w:t>
            </w:r>
          </w:p>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 rovnosť príležitostí a rodovú rovnosť a vplyvy na zamestnanosť</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p>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X</w:t>
            </w:r>
          </w:p>
          <w:p w:rsidR="001D127A" w:rsidRPr="0012245E" w:rsidP="001D127A">
            <w:pPr>
              <w:pStyle w:val="NormalWeb"/>
              <w:bidi w:val="0"/>
              <w:spacing w:before="0" w:beforeAutospacing="0" w:after="0" w:afterAutospacing="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4. Vplyvy na životné prostredie</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rPr>
                <w:rFonts w:ascii="Times New Roman" w:hAnsi="Times New Roman"/>
              </w:rPr>
            </w:pPr>
            <w:r w:rsidRPr="0012245E">
              <w:rPr>
                <w:rFonts w:ascii="Times New Roman" w:hAnsi="Times New Roman"/>
              </w:rPr>
              <w:t>5. Vplyvy na informatizáciu spoločnosti</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D127A" w:rsidRPr="0012245E" w:rsidP="001D127A">
            <w:pPr>
              <w:pStyle w:val="NormalWeb"/>
              <w:bidi w:val="0"/>
              <w:spacing w:before="0" w:beforeAutospacing="0" w:after="0" w:afterAutospacing="0"/>
              <w:jc w:val="center"/>
              <w:rPr>
                <w:rFonts w:ascii="Times New Roman" w:hAnsi="Times New Roman"/>
              </w:rPr>
            </w:pPr>
            <w:r w:rsidRPr="0012245E">
              <w:rPr>
                <w:rFonts w:ascii="Times New Roman" w:hAnsi="Times New Roman"/>
              </w:rPr>
              <w:t> </w:t>
            </w:r>
          </w:p>
        </w:tc>
      </w:tr>
    </w:tbl>
    <w:p w:rsidR="001D127A" w:rsidRPr="0012245E" w:rsidP="001D127A">
      <w:pPr>
        <w:pStyle w:val="NormalWeb"/>
        <w:bidi w:val="0"/>
        <w:spacing w:before="0" w:beforeAutospacing="0" w:after="0" w:afterAutospacing="0"/>
        <w:jc w:val="both"/>
        <w:rPr>
          <w:rFonts w:ascii="Times New Roman" w:hAnsi="Times New Roman"/>
        </w:rPr>
      </w:pPr>
      <w:r w:rsidRPr="0012245E">
        <w:rPr>
          <w:rFonts w:ascii="Times New Roman" w:hAnsi="Times New Roman"/>
        </w:rPr>
        <w:t> </w:t>
      </w:r>
    </w:p>
    <w:p w:rsidR="001D127A" w:rsidRPr="0012245E" w:rsidP="001D127A">
      <w:pPr>
        <w:pStyle w:val="NormalWeb"/>
        <w:bidi w:val="0"/>
        <w:spacing w:before="0" w:beforeAutospacing="0" w:after="0" w:afterAutospacing="0"/>
        <w:jc w:val="both"/>
        <w:rPr>
          <w:rFonts w:ascii="Times New Roman" w:hAnsi="Times New Roman"/>
        </w:rPr>
      </w:pPr>
      <w:r w:rsidRPr="0012245E">
        <w:rPr>
          <w:rFonts w:ascii="Times New Roman" w:hAnsi="Times New Roman"/>
          <w:b/>
          <w:bCs/>
        </w:rPr>
        <w:t>A.3. Poznámky</w:t>
      </w:r>
    </w:p>
    <w:p w:rsidR="001D127A" w:rsidRPr="0012245E" w:rsidP="001D127A">
      <w:pPr>
        <w:pStyle w:val="NormalWeb"/>
        <w:bidi w:val="0"/>
        <w:spacing w:before="0" w:beforeAutospacing="0" w:after="0" w:afterAutospacing="0"/>
        <w:jc w:val="both"/>
        <w:rPr>
          <w:rFonts w:ascii="Times New Roman" w:hAnsi="Times New Roman"/>
        </w:rPr>
      </w:pPr>
      <w:r w:rsidRPr="0012245E">
        <w:rPr>
          <w:rFonts w:ascii="Times New Roman" w:hAnsi="Times New Roman"/>
          <w:b/>
          <w:bCs/>
        </w:rPr>
        <w:t>A.4. Alternatívne riešenia</w:t>
      </w:r>
    </w:p>
    <w:p w:rsidR="001D127A" w:rsidRPr="0012245E" w:rsidP="001D127A">
      <w:pPr>
        <w:pStyle w:val="NormalWeb"/>
        <w:bidi w:val="0"/>
        <w:spacing w:before="0" w:beforeAutospacing="0" w:after="0" w:afterAutospacing="0"/>
        <w:jc w:val="both"/>
        <w:rPr>
          <w:rFonts w:ascii="Times New Roman" w:hAnsi="Times New Roman"/>
        </w:rPr>
      </w:pPr>
      <w:r w:rsidRPr="0012245E">
        <w:rPr>
          <w:rFonts w:ascii="Times New Roman" w:hAnsi="Times New Roman"/>
        </w:rPr>
        <w:t>Bezpredmetné </w:t>
      </w:r>
    </w:p>
    <w:p w:rsidR="001D127A" w:rsidRPr="0012245E" w:rsidP="001D127A">
      <w:pPr>
        <w:pStyle w:val="NormalWeb"/>
        <w:bidi w:val="0"/>
        <w:spacing w:before="0" w:beforeAutospacing="0" w:after="0" w:afterAutospacing="0"/>
        <w:jc w:val="both"/>
        <w:rPr>
          <w:rFonts w:ascii="Times New Roman" w:hAnsi="Times New Roman"/>
        </w:rPr>
      </w:pPr>
      <w:r w:rsidRPr="0012245E">
        <w:rPr>
          <w:rFonts w:ascii="Times New Roman" w:hAnsi="Times New Roman"/>
          <w:b/>
          <w:bCs/>
        </w:rPr>
        <w:t>  </w:t>
      </w:r>
    </w:p>
    <w:p w:rsidR="001D127A" w:rsidRPr="0012245E" w:rsidP="001D127A">
      <w:pPr>
        <w:pStyle w:val="NormalWeb"/>
        <w:bidi w:val="0"/>
        <w:spacing w:before="0" w:beforeAutospacing="0" w:after="0" w:afterAutospacing="0"/>
        <w:rPr>
          <w:rFonts w:ascii="Times New Roman" w:hAnsi="Times New Roman"/>
          <w:b/>
          <w:bCs/>
        </w:rPr>
      </w:pPr>
      <w:r w:rsidRPr="0012245E">
        <w:rPr>
          <w:rFonts w:ascii="Times New Roman" w:hAnsi="Times New Roman"/>
          <w:b/>
          <w:bCs/>
        </w:rPr>
        <w:t>A.5. Stanovisko gestorov</w:t>
      </w:r>
    </w:p>
    <w:p w:rsidR="001D127A" w:rsidRPr="0012245E" w:rsidP="001D127A">
      <w:pPr>
        <w:pStyle w:val="NormalWeb"/>
        <w:bidi w:val="0"/>
        <w:spacing w:before="0" w:beforeAutospacing="0" w:after="0" w:afterAutospacing="0"/>
        <w:jc w:val="both"/>
        <w:rPr>
          <w:rFonts w:ascii="Times New Roman" w:hAnsi="Times New Roman"/>
        </w:rPr>
      </w:pPr>
      <w:r w:rsidRPr="0012245E">
        <w:rPr>
          <w:rFonts w:ascii="Times New Roman" w:hAnsi="Times New Roman"/>
        </w:rPr>
        <w:t>-</w:t>
      </w:r>
    </w:p>
    <w:p w:rsidR="001D127A" w:rsidRPr="0012245E">
      <w:pPr>
        <w:bidi w:val="0"/>
        <w:rPr>
          <w:rFonts w:ascii="Times New Roman" w:hAnsi="Times New Roman"/>
        </w:rPr>
      </w:pPr>
    </w:p>
    <w:p w:rsidR="001D127A"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264EAC" w:rsidRPr="0012245E">
      <w:pPr>
        <w:bidi w:val="0"/>
        <w:rPr>
          <w:rFonts w:ascii="Times New Roman" w:hAnsi="Times New Roman"/>
        </w:rPr>
      </w:pPr>
    </w:p>
    <w:p w:rsidR="00264EAC" w:rsidRPr="0012245E">
      <w:pPr>
        <w:bidi w:val="0"/>
        <w:rPr>
          <w:rFonts w:ascii="Times New Roman" w:hAnsi="Times New Roman"/>
        </w:rPr>
      </w:pPr>
    </w:p>
    <w:p w:rsidR="00264EAC"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444065" w:rsidRPr="0012245E">
      <w:pPr>
        <w:bidi w:val="0"/>
        <w:rPr>
          <w:rFonts w:ascii="Times New Roman" w:hAnsi="Times New Roman"/>
        </w:rPr>
      </w:pPr>
    </w:p>
    <w:p w:rsidR="00542DBA" w:rsidRPr="0012245E" w:rsidP="00542DBA">
      <w:pPr>
        <w:bidi w:val="0"/>
        <w:jc w:val="center"/>
        <w:rPr>
          <w:rFonts w:ascii="Times New Roman" w:hAnsi="Times New Roman"/>
        </w:rPr>
      </w:pPr>
      <w:r>
        <w:rPr>
          <w:rFonts w:ascii="Times New Roman" w:hAnsi="Times New Roman"/>
          <w:b/>
          <w:bCs/>
        </w:rPr>
        <w:t>V</w:t>
      </w:r>
      <w:r w:rsidRPr="0012245E">
        <w:rPr>
          <w:rFonts w:ascii="Times New Roman" w:hAnsi="Times New Roman"/>
          <w:b/>
          <w:bCs/>
        </w:rPr>
        <w:t>plyvy na rozpočet verejnej správy,</w:t>
      </w:r>
    </w:p>
    <w:p w:rsidR="00542DBA" w:rsidRPr="0012245E" w:rsidP="00542DBA">
      <w:pPr>
        <w:bidi w:val="0"/>
        <w:jc w:val="center"/>
        <w:rPr>
          <w:rFonts w:ascii="Times New Roman" w:hAnsi="Times New Roman"/>
          <w:b/>
          <w:bCs/>
        </w:rPr>
      </w:pPr>
      <w:r w:rsidRPr="0012245E">
        <w:rPr>
          <w:rFonts w:ascii="Times New Roman" w:hAnsi="Times New Roman"/>
          <w:b/>
          <w:bCs/>
        </w:rPr>
        <w:t xml:space="preserve">na zamestnanosť vo verejnej správe a financovanie </w:t>
      </w:r>
    </w:p>
    <w:p w:rsidR="00542DBA" w:rsidRPr="0012245E" w:rsidP="00542DBA">
      <w:pPr>
        <w:bidi w:val="0"/>
        <w:jc w:val="center"/>
        <w:rPr>
          <w:rFonts w:ascii="Times New Roman" w:hAnsi="Times New Roman"/>
        </w:rPr>
      </w:pPr>
      <w:r w:rsidRPr="0012245E">
        <w:rPr>
          <w:rFonts w:ascii="Times New Roman" w:hAnsi="Times New Roman"/>
          <w:b/>
          <w:bCs/>
        </w:rPr>
        <w:t>návrhu zákona, ktorým sa mení a dopĺňa zákon č. 595/2003 Z. z. o dani z príjmov v znení neskorších predpisov</w:t>
      </w:r>
      <w:r w:rsidR="0011564A">
        <w:rPr>
          <w:rFonts w:ascii="Times New Roman" w:hAnsi="Times New Roman"/>
          <w:b/>
          <w:bCs/>
        </w:rPr>
        <w:t xml:space="preserve"> a ktorým sa mení a dopĺňa zákon č. 564/2004 Z. z. o rozpočtovom určení výnosu dane z príjmov územnej samospráve a o zmene a doplnení niektorých zákonov v znení neskorších predpisov</w:t>
      </w:r>
    </w:p>
    <w:p w:rsidR="00542DBA" w:rsidRPr="0012245E" w:rsidP="00542DBA">
      <w:pPr>
        <w:bidi w:val="0"/>
        <w:rPr>
          <w:rFonts w:ascii="Times New Roman" w:hAnsi="Times New Roman"/>
        </w:rPr>
      </w:pPr>
      <w:r w:rsidRPr="0012245E">
        <w:rPr>
          <w:rFonts w:ascii="Times New Roman" w:hAnsi="Times New Roman"/>
        </w:rPr>
        <w:t> </w:t>
      </w:r>
    </w:p>
    <w:p w:rsidR="00542DBA" w:rsidRPr="0012245E" w:rsidP="00542DBA">
      <w:pPr>
        <w:bidi w:val="0"/>
        <w:rPr>
          <w:rFonts w:ascii="Times New Roman" w:hAnsi="Times New Roman"/>
        </w:rPr>
      </w:pPr>
      <w:r w:rsidRPr="0012245E">
        <w:rPr>
          <w:rFonts w:ascii="Times New Roman" w:hAnsi="Times New Roman"/>
          <w:b/>
          <w:bCs/>
        </w:rPr>
        <w:t xml:space="preserve">2.1. Zhrnutie vplyvov na rozpočet verejnej správy v návrhu </w:t>
      </w:r>
    </w:p>
    <w:tbl>
      <w:tblPr>
        <w:tblStyle w:val="TableNormal"/>
        <w:tblW w:w="5000" w:type="pct"/>
        <w:tblCellMar>
          <w:left w:w="70" w:type="dxa"/>
          <w:right w:w="70" w:type="dxa"/>
        </w:tblCellMar>
        <w:tblLook w:val="04A0"/>
      </w:tblPr>
      <w:tblGrid>
        <w:gridCol w:w="4242"/>
        <w:gridCol w:w="1656"/>
        <w:gridCol w:w="1656"/>
        <w:gridCol w:w="1658"/>
      </w:tblGrid>
      <w:tr>
        <w:tblPrEx>
          <w:tblW w:w="5000" w:type="pct"/>
          <w:tblCellMar>
            <w:left w:w="70" w:type="dxa"/>
            <w:right w:w="70" w:type="dxa"/>
          </w:tblCellMar>
          <w:tblLook w:val="04A0"/>
        </w:tblPrEx>
        <w:trPr>
          <w:trHeight w:val="345"/>
        </w:trPr>
        <w:tc>
          <w:tcPr>
            <w:tcW w:w="2302" w:type="pct"/>
            <w:tcBorders>
              <w:top w:val="nil"/>
              <w:left w:val="nil"/>
              <w:bottom w:val="nil"/>
              <w:right w:val="nil"/>
            </w:tcBorders>
            <w:noWrap/>
            <w:textDirection w:val="lrTb"/>
            <w:vAlign w:val="bottom"/>
            <w:hideMark/>
          </w:tcPr>
          <w:p w:rsidR="00542DBA" w:rsidRPr="0012245E" w:rsidP="00542DBA">
            <w:pPr>
              <w:bidi w:val="0"/>
              <w:rPr>
                <w:rFonts w:ascii="Times New Roman" w:hAnsi="Times New Roman"/>
                <w:color w:val="000000"/>
              </w:rPr>
            </w:pPr>
          </w:p>
        </w:tc>
        <w:tc>
          <w:tcPr>
            <w:tcW w:w="899" w:type="pct"/>
            <w:tcBorders>
              <w:top w:val="nil"/>
              <w:left w:val="nil"/>
              <w:bottom w:val="nil"/>
              <w:right w:val="nil"/>
            </w:tcBorders>
            <w:noWrap/>
            <w:textDirection w:val="lrTb"/>
            <w:vAlign w:val="bottom"/>
            <w:hideMark/>
          </w:tcPr>
          <w:p w:rsidR="00542DBA" w:rsidRPr="0012245E" w:rsidP="00542DBA">
            <w:pPr>
              <w:bidi w:val="0"/>
              <w:rPr>
                <w:rFonts w:ascii="Times New Roman" w:hAnsi="Times New Roman"/>
                <w:color w:val="000000"/>
              </w:rPr>
            </w:pPr>
          </w:p>
        </w:tc>
        <w:tc>
          <w:tcPr>
            <w:tcW w:w="899" w:type="pct"/>
            <w:tcBorders>
              <w:top w:val="nil"/>
              <w:left w:val="nil"/>
              <w:bottom w:val="nil"/>
              <w:right w:val="nil"/>
            </w:tcBorders>
            <w:noWrap/>
            <w:textDirection w:val="lrTb"/>
            <w:vAlign w:val="bottom"/>
            <w:hideMark/>
          </w:tcPr>
          <w:p w:rsidR="00542DBA" w:rsidRPr="0012245E" w:rsidP="00542DBA">
            <w:pPr>
              <w:bidi w:val="0"/>
              <w:rPr>
                <w:rFonts w:ascii="Times New Roman" w:hAnsi="Times New Roman"/>
                <w:color w:val="000000"/>
              </w:rPr>
            </w:pPr>
          </w:p>
        </w:tc>
        <w:tc>
          <w:tcPr>
            <w:tcW w:w="900" w:type="pct"/>
            <w:tcBorders>
              <w:top w:val="nil"/>
              <w:left w:val="nil"/>
              <w:bottom w:val="nil"/>
              <w:right w:val="nil"/>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Tabuľka č. 1</w:t>
            </w:r>
          </w:p>
        </w:tc>
      </w:tr>
      <w:tr>
        <w:tblPrEx>
          <w:tblW w:w="5000" w:type="pct"/>
          <w:tblCellMar>
            <w:left w:w="70" w:type="dxa"/>
            <w:right w:w="70" w:type="dxa"/>
          </w:tblCellMar>
          <w:tblLook w:val="04A0"/>
        </w:tblPrEx>
        <w:trPr>
          <w:trHeight w:val="345"/>
        </w:trPr>
        <w:tc>
          <w:tcPr>
            <w:tcW w:w="2302"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verejnej správy (v tis. eur)</w:t>
            </w:r>
          </w:p>
        </w:tc>
        <w:tc>
          <w:tcPr>
            <w:tcW w:w="2698" w:type="pct"/>
            <w:gridSpan w:val="3"/>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verejnej správy (ESA95)</w:t>
            </w:r>
          </w:p>
        </w:tc>
      </w:tr>
      <w:tr>
        <w:tblPrEx>
          <w:tblW w:w="5000" w:type="pct"/>
          <w:tblCellMar>
            <w:left w:w="70" w:type="dxa"/>
            <w:right w:w="70" w:type="dxa"/>
          </w:tblCellMar>
          <w:tblLook w:val="04A0"/>
        </w:tblPrEx>
        <w:trPr>
          <w:trHeight w:val="345"/>
        </w:trPr>
        <w:tc>
          <w:tcPr>
            <w:tcW w:w="2302" w:type="pct"/>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899"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899"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900"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shd w:val="clear" w:color="000000" w:fill="969696"/>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Príjmy verejnej správy celkom</w:t>
            </w:r>
          </w:p>
        </w:tc>
        <w:tc>
          <w:tcPr>
            <w:tcW w:w="899"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-764</w:t>
            </w:r>
          </w:p>
        </w:tc>
        <w:tc>
          <w:tcPr>
            <w:tcW w:w="899"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-777</w:t>
            </w:r>
          </w:p>
        </w:tc>
        <w:tc>
          <w:tcPr>
            <w:tcW w:w="900"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-786</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Štátny rozpočet </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-764</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-777</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-764</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-777</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Obce</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VÚC</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Sociálna poisťovňa</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zdravotné poisťovne</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shd w:val="clear" w:color="000000" w:fill="969696"/>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Výdavky verejnej správy celkom</w:t>
            </w:r>
          </w:p>
        </w:tc>
        <w:tc>
          <w:tcPr>
            <w:tcW w:w="899"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899"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900"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Štátny rozpočet </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Obce</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VÚC</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Sociálna poisťovňa</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302"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zdravotné poisťovne</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99"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bl>
    <w:p w:rsidR="00542DBA" w:rsidRPr="0012245E" w:rsidP="00542DBA">
      <w:pPr>
        <w:bidi w:val="0"/>
        <w:rPr>
          <w:rFonts w:ascii="Times New Roman" w:hAnsi="Times New Roman"/>
        </w:rPr>
      </w:pPr>
    </w:p>
    <w:tbl>
      <w:tblPr>
        <w:tblStyle w:val="TableNormal"/>
        <w:tblW w:w="5000" w:type="pct"/>
        <w:tblCellMar>
          <w:left w:w="70" w:type="dxa"/>
          <w:right w:w="70" w:type="dxa"/>
        </w:tblCellMar>
        <w:tblLook w:val="04A0"/>
      </w:tblPr>
      <w:tblGrid>
        <w:gridCol w:w="4180"/>
        <w:gridCol w:w="1702"/>
        <w:gridCol w:w="1701"/>
        <w:gridCol w:w="1629"/>
      </w:tblGrid>
      <w:tr>
        <w:tblPrEx>
          <w:tblW w:w="5000" w:type="pct"/>
          <w:tblCellMar>
            <w:left w:w="70" w:type="dxa"/>
            <w:right w:w="70" w:type="dxa"/>
          </w:tblCellMar>
          <w:tblLook w:val="04A0"/>
        </w:tblPrEx>
        <w:trPr>
          <w:trHeight w:val="345"/>
        </w:trPr>
        <w:tc>
          <w:tcPr>
            <w:tcW w:w="2269"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verejnej správy (v tis. eur)</w:t>
            </w:r>
          </w:p>
        </w:tc>
        <w:tc>
          <w:tcPr>
            <w:tcW w:w="2731" w:type="pct"/>
            <w:gridSpan w:val="3"/>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verejnej správy (cash)</w:t>
            </w:r>
          </w:p>
        </w:tc>
      </w:tr>
      <w:tr>
        <w:tblPrEx>
          <w:tblW w:w="5000" w:type="pct"/>
          <w:tblCellMar>
            <w:left w:w="70" w:type="dxa"/>
            <w:right w:w="70" w:type="dxa"/>
          </w:tblCellMar>
          <w:tblLook w:val="04A0"/>
        </w:tblPrEx>
        <w:trPr>
          <w:trHeight w:val="345"/>
        </w:trPr>
        <w:tc>
          <w:tcPr>
            <w:tcW w:w="2269" w:type="pct"/>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924"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923"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884"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shd w:val="clear" w:color="000000" w:fill="969696"/>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Príjmy verejnej správy celkom</w:t>
            </w:r>
          </w:p>
        </w:tc>
        <w:tc>
          <w:tcPr>
            <w:tcW w:w="924"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-6 101</w:t>
            </w:r>
          </w:p>
        </w:tc>
        <w:tc>
          <w:tcPr>
            <w:tcW w:w="923"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-777</w:t>
            </w:r>
          </w:p>
        </w:tc>
        <w:tc>
          <w:tcPr>
            <w:tcW w:w="884"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-785</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Štátny rozpočet </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-6 101</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-776</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-6 101</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-776</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Obce</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VÚC</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Sociálna poisťovňa</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zdravotné poisťovne</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shd w:val="clear" w:color="000000" w:fill="969696"/>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Výdavky verejnej správy celkom</w:t>
            </w:r>
          </w:p>
        </w:tc>
        <w:tc>
          <w:tcPr>
            <w:tcW w:w="924"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923"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884" w:type="pct"/>
            <w:tcBorders>
              <w:top w:val="nil"/>
              <w:left w:val="nil"/>
              <w:bottom w:val="single" w:sz="8" w:space="0" w:color="auto"/>
              <w:right w:val="single" w:sz="8" w:space="0" w:color="auto"/>
            </w:tcBorders>
            <w:shd w:val="clear" w:color="000000" w:fill="969696"/>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Štátny rozpočet </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Obce</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VÚC</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Sociálna poisťovňa</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zdravotné poisťovne</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92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88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bl>
    <w:p w:rsidR="0011564A" w:rsidP="00542DBA">
      <w:pPr>
        <w:bidi w:val="0"/>
        <w:rPr>
          <w:rFonts w:ascii="Times New Roman" w:hAnsi="Times New Roman"/>
          <w:b/>
          <w:bCs/>
        </w:rPr>
      </w:pPr>
      <w:bookmarkStart w:id="0" w:name="OLE_LINK1"/>
      <w:bookmarkEnd w:id="0"/>
    </w:p>
    <w:p w:rsidR="00542DBA" w:rsidRPr="0012245E" w:rsidP="00542DBA">
      <w:pPr>
        <w:bidi w:val="0"/>
        <w:rPr>
          <w:rFonts w:ascii="Times New Roman" w:hAnsi="Times New Roman"/>
        </w:rPr>
      </w:pPr>
      <w:r w:rsidRPr="0012245E">
        <w:rPr>
          <w:rFonts w:ascii="Times New Roman" w:hAnsi="Times New Roman"/>
          <w:b/>
          <w:bCs/>
        </w:rPr>
        <w:t>2.2. Financovanie návrhu</w:t>
      </w:r>
    </w:p>
    <w:tbl>
      <w:tblPr>
        <w:tblStyle w:val="TableNormal"/>
        <w:tblW w:w="5000" w:type="pct"/>
        <w:tblCellMar>
          <w:left w:w="70" w:type="dxa"/>
          <w:right w:w="70" w:type="dxa"/>
        </w:tblCellMar>
        <w:tblLook w:val="04A0"/>
      </w:tblPr>
      <w:tblGrid>
        <w:gridCol w:w="4217"/>
        <w:gridCol w:w="1664"/>
        <w:gridCol w:w="1664"/>
        <w:gridCol w:w="1667"/>
      </w:tblGrid>
      <w:tr>
        <w:tblPrEx>
          <w:tblW w:w="5000" w:type="pct"/>
          <w:tblCellMar>
            <w:left w:w="70" w:type="dxa"/>
            <w:right w:w="70" w:type="dxa"/>
          </w:tblCellMar>
          <w:tblLook w:val="04A0"/>
        </w:tblPrEx>
        <w:trPr>
          <w:trHeight w:val="345"/>
        </w:trPr>
        <w:tc>
          <w:tcPr>
            <w:tcW w:w="2289" w:type="pct"/>
            <w:tcBorders>
              <w:top w:val="nil"/>
              <w:left w:val="nil"/>
              <w:bottom w:val="nil"/>
              <w:right w:val="nil"/>
            </w:tcBorders>
            <w:noWrap/>
            <w:textDirection w:val="lrTb"/>
            <w:vAlign w:val="bottom"/>
            <w:hideMark/>
          </w:tcPr>
          <w:p w:rsidR="00542DBA" w:rsidRPr="0012245E" w:rsidP="00542DBA">
            <w:pPr>
              <w:bidi w:val="0"/>
              <w:rPr>
                <w:rFonts w:ascii="Times New Roman" w:hAnsi="Times New Roman"/>
                <w:color w:val="000000"/>
              </w:rPr>
            </w:pPr>
          </w:p>
        </w:tc>
        <w:tc>
          <w:tcPr>
            <w:tcW w:w="903" w:type="pct"/>
            <w:tcBorders>
              <w:top w:val="nil"/>
              <w:left w:val="nil"/>
              <w:bottom w:val="nil"/>
              <w:right w:val="nil"/>
            </w:tcBorders>
            <w:noWrap/>
            <w:textDirection w:val="lrTb"/>
            <w:vAlign w:val="bottom"/>
            <w:hideMark/>
          </w:tcPr>
          <w:p w:rsidR="00542DBA" w:rsidRPr="0012245E" w:rsidP="00542DBA">
            <w:pPr>
              <w:bidi w:val="0"/>
              <w:rPr>
                <w:rFonts w:ascii="Times New Roman" w:hAnsi="Times New Roman"/>
                <w:color w:val="000000"/>
              </w:rPr>
            </w:pPr>
          </w:p>
        </w:tc>
        <w:tc>
          <w:tcPr>
            <w:tcW w:w="903" w:type="pct"/>
            <w:tcBorders>
              <w:top w:val="nil"/>
              <w:left w:val="nil"/>
              <w:bottom w:val="nil"/>
              <w:right w:val="nil"/>
            </w:tcBorders>
            <w:noWrap/>
            <w:textDirection w:val="lrTb"/>
            <w:vAlign w:val="bottom"/>
            <w:hideMark/>
          </w:tcPr>
          <w:p w:rsidR="00542DBA" w:rsidRPr="0012245E" w:rsidP="00542DBA">
            <w:pPr>
              <w:bidi w:val="0"/>
              <w:rPr>
                <w:rFonts w:ascii="Times New Roman" w:hAnsi="Times New Roman"/>
                <w:color w:val="000000"/>
              </w:rPr>
            </w:pPr>
          </w:p>
        </w:tc>
        <w:tc>
          <w:tcPr>
            <w:tcW w:w="905" w:type="pct"/>
            <w:tcBorders>
              <w:top w:val="nil"/>
              <w:left w:val="nil"/>
              <w:bottom w:val="nil"/>
              <w:right w:val="nil"/>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Tabuľka č. 2</w:t>
            </w:r>
          </w:p>
        </w:tc>
      </w:tr>
      <w:tr>
        <w:tblPrEx>
          <w:tblW w:w="5000" w:type="pct"/>
          <w:tblCellMar>
            <w:left w:w="70" w:type="dxa"/>
            <w:right w:w="70" w:type="dxa"/>
          </w:tblCellMar>
          <w:tblLook w:val="04A0"/>
        </w:tblPrEx>
        <w:trPr>
          <w:trHeight w:val="345"/>
        </w:trPr>
        <w:tc>
          <w:tcPr>
            <w:tcW w:w="2289"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Financovanie (v tis. eur)</w:t>
            </w:r>
          </w:p>
        </w:tc>
        <w:tc>
          <w:tcPr>
            <w:tcW w:w="2711" w:type="pct"/>
            <w:gridSpan w:val="3"/>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verejnej správy (ESA95)</w:t>
            </w:r>
          </w:p>
        </w:tc>
      </w:tr>
      <w:tr>
        <w:tblPrEx>
          <w:tblW w:w="5000" w:type="pct"/>
          <w:tblCellMar>
            <w:left w:w="70" w:type="dxa"/>
            <w:right w:w="70" w:type="dxa"/>
          </w:tblCellMar>
          <w:tblLook w:val="04A0"/>
        </w:tblPrEx>
        <w:trPr>
          <w:trHeight w:val="345"/>
        </w:trPr>
        <w:tc>
          <w:tcPr>
            <w:tcW w:w="2289" w:type="pct"/>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903"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903"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905"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5000" w:type="pct"/>
          <w:tblCellMar>
            <w:left w:w="70" w:type="dxa"/>
            <w:right w:w="70" w:type="dxa"/>
          </w:tblCellMar>
          <w:tblLook w:val="04A0"/>
        </w:tblPrEx>
        <w:trPr>
          <w:trHeight w:val="960"/>
        </w:trPr>
        <w:tc>
          <w:tcPr>
            <w:tcW w:w="2289" w:type="pct"/>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Celkový vplyv na rozpočet verejnej správy (- príjmy, + výdavky resp. zníženie príjmov)</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764</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777</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786</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 toho vplyv na ŠR</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764</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777</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764</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777</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Obce</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VÚC</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 toho vplyv na Sociálnu poisťovňu</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 toho vplyv na zdravotné poisťovne</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financovanie zabezpečené v rozpočte</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ostatné zdroje financovania</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r>
      <w:tr>
        <w:tblPrEx>
          <w:tblW w:w="5000" w:type="pct"/>
          <w:tblCellMar>
            <w:left w:w="70" w:type="dxa"/>
            <w:right w:w="70" w:type="dxa"/>
          </w:tblCellMar>
          <w:tblLook w:val="04A0"/>
        </w:tblPrEx>
        <w:trPr>
          <w:trHeight w:val="345"/>
        </w:trPr>
        <w:tc>
          <w:tcPr>
            <w:tcW w:w="228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Rozpočtovo nekrytý vplyv / úspora *</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764</w:t>
            </w:r>
          </w:p>
        </w:tc>
        <w:tc>
          <w:tcPr>
            <w:tcW w:w="903"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777</w:t>
            </w:r>
          </w:p>
        </w:tc>
        <w:tc>
          <w:tcPr>
            <w:tcW w:w="905"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786</w:t>
            </w:r>
          </w:p>
        </w:tc>
      </w:tr>
      <w:tr>
        <w:tblPrEx>
          <w:tblW w:w="5000" w:type="pct"/>
          <w:tblCellMar>
            <w:left w:w="70" w:type="dxa"/>
            <w:right w:w="70" w:type="dxa"/>
          </w:tblCellMar>
          <w:tblLook w:val="04A0"/>
        </w:tblPrEx>
        <w:trPr>
          <w:trHeight w:val="330"/>
        </w:trPr>
        <w:tc>
          <w:tcPr>
            <w:tcW w:w="2289" w:type="pct"/>
            <w:tcBorders>
              <w:top w:val="nil"/>
              <w:left w:val="nil"/>
              <w:bottom w:val="nil"/>
              <w:right w:val="nil"/>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úspora má znamienko (-)</w:t>
            </w:r>
          </w:p>
        </w:tc>
        <w:tc>
          <w:tcPr>
            <w:tcW w:w="903" w:type="pct"/>
            <w:tcBorders>
              <w:top w:val="nil"/>
              <w:left w:val="nil"/>
              <w:bottom w:val="nil"/>
              <w:right w:val="nil"/>
            </w:tcBorders>
            <w:noWrap/>
            <w:textDirection w:val="lrTb"/>
            <w:vAlign w:val="center"/>
            <w:hideMark/>
          </w:tcPr>
          <w:p w:rsidR="00542DBA" w:rsidRPr="0012245E" w:rsidP="00542DBA">
            <w:pPr>
              <w:bidi w:val="0"/>
              <w:rPr>
                <w:rFonts w:ascii="Times New Roman" w:hAnsi="Times New Roman"/>
                <w:color w:val="000000"/>
              </w:rPr>
            </w:pPr>
          </w:p>
        </w:tc>
        <w:tc>
          <w:tcPr>
            <w:tcW w:w="903" w:type="pct"/>
            <w:tcBorders>
              <w:top w:val="nil"/>
              <w:left w:val="nil"/>
              <w:bottom w:val="nil"/>
              <w:right w:val="nil"/>
            </w:tcBorders>
            <w:noWrap/>
            <w:textDirection w:val="lrTb"/>
            <w:vAlign w:val="center"/>
            <w:hideMark/>
          </w:tcPr>
          <w:p w:rsidR="00542DBA" w:rsidRPr="0012245E" w:rsidP="00542DBA">
            <w:pPr>
              <w:bidi w:val="0"/>
              <w:rPr>
                <w:rFonts w:ascii="Times New Roman" w:hAnsi="Times New Roman"/>
                <w:color w:val="000000"/>
              </w:rPr>
            </w:pPr>
          </w:p>
        </w:tc>
        <w:tc>
          <w:tcPr>
            <w:tcW w:w="905" w:type="pct"/>
            <w:tcBorders>
              <w:top w:val="nil"/>
              <w:left w:val="nil"/>
              <w:bottom w:val="nil"/>
              <w:right w:val="nil"/>
            </w:tcBorders>
            <w:noWrap/>
            <w:textDirection w:val="lrTb"/>
            <w:vAlign w:val="center"/>
            <w:hideMark/>
          </w:tcPr>
          <w:p w:rsidR="00542DBA" w:rsidRPr="0012245E" w:rsidP="00542DBA">
            <w:pPr>
              <w:bidi w:val="0"/>
              <w:rPr>
                <w:rFonts w:ascii="Times New Roman" w:hAnsi="Times New Roman"/>
                <w:color w:val="000000"/>
              </w:rPr>
            </w:pPr>
          </w:p>
        </w:tc>
      </w:tr>
    </w:tbl>
    <w:p w:rsidR="00542DBA" w:rsidRPr="0012245E" w:rsidP="00542DBA">
      <w:pPr>
        <w:bidi w:val="0"/>
        <w:rPr>
          <w:rFonts w:ascii="Times New Roman" w:hAnsi="Times New Roman"/>
          <w:b/>
          <w:bCs/>
        </w:rPr>
      </w:pPr>
    </w:p>
    <w:tbl>
      <w:tblPr>
        <w:tblStyle w:val="TableNormal"/>
        <w:tblW w:w="5000" w:type="pct"/>
        <w:tblCellMar>
          <w:left w:w="70" w:type="dxa"/>
          <w:right w:w="70" w:type="dxa"/>
        </w:tblCellMar>
        <w:tblLook w:val="04A0"/>
      </w:tblPr>
      <w:tblGrid>
        <w:gridCol w:w="4180"/>
        <w:gridCol w:w="1702"/>
        <w:gridCol w:w="1769"/>
        <w:gridCol w:w="1561"/>
      </w:tblGrid>
      <w:tr>
        <w:tblPrEx>
          <w:tblW w:w="5000" w:type="pct"/>
          <w:tblCellMar>
            <w:left w:w="70" w:type="dxa"/>
            <w:right w:w="70" w:type="dxa"/>
          </w:tblCellMar>
          <w:tblLook w:val="04A0"/>
        </w:tblPrEx>
        <w:trPr>
          <w:trHeight w:val="345"/>
        </w:trPr>
        <w:tc>
          <w:tcPr>
            <w:tcW w:w="2269"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Financovanie (v tis. eur)</w:t>
            </w:r>
          </w:p>
        </w:tc>
        <w:tc>
          <w:tcPr>
            <w:tcW w:w="2731" w:type="pct"/>
            <w:gridSpan w:val="3"/>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verejnej správy (cash)</w:t>
            </w:r>
          </w:p>
        </w:tc>
      </w:tr>
      <w:tr>
        <w:tblPrEx>
          <w:tblW w:w="5000" w:type="pct"/>
          <w:tblCellMar>
            <w:left w:w="70" w:type="dxa"/>
            <w:right w:w="70" w:type="dxa"/>
          </w:tblCellMar>
          <w:tblLook w:val="04A0"/>
        </w:tblPrEx>
        <w:trPr>
          <w:trHeight w:val="345"/>
        </w:trPr>
        <w:tc>
          <w:tcPr>
            <w:tcW w:w="2269" w:type="pct"/>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924"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960"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847" w:type="pct"/>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5000" w:type="pct"/>
          <w:tblCellMar>
            <w:left w:w="70" w:type="dxa"/>
            <w:right w:w="70" w:type="dxa"/>
          </w:tblCellMar>
          <w:tblLook w:val="04A0"/>
        </w:tblPrEx>
        <w:trPr>
          <w:trHeight w:val="960"/>
        </w:trPr>
        <w:tc>
          <w:tcPr>
            <w:tcW w:w="2269" w:type="pct"/>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Celkový vplyv na rozpočet verejnej správy (- príjmy, + výdavky resp. zníženie príjmov)</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6 101</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777</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785</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 toho vplyv na ŠR</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6 101</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776</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6 101</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776</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Obce</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VÚC</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 toho vplyv na Sociálnu poisťovňu</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 toho vplyv na zdravotné poisťovne</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financovanie zabezpečené v rozpočte</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color w:val="000000"/>
              </w:rPr>
            </w:pPr>
            <w:r w:rsidRPr="0012245E">
              <w:rPr>
                <w:rFonts w:ascii="Times New Roman" w:hAnsi="Times New Roman"/>
                <w:bCs/>
                <w:color w:val="000000"/>
              </w:rPr>
              <w:t>0</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color w:val="000000"/>
              </w:rPr>
            </w:pPr>
            <w:r w:rsidRPr="0012245E">
              <w:rPr>
                <w:rFonts w:ascii="Times New Roman" w:hAnsi="Times New Roman"/>
                <w:bCs/>
                <w:color w:val="000000"/>
              </w:rPr>
              <w:t>0</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color w:val="000000"/>
              </w:rPr>
            </w:pPr>
            <w:r w:rsidRPr="0012245E">
              <w:rPr>
                <w:rFonts w:ascii="Times New Roman" w:hAnsi="Times New Roman"/>
                <w:bCs/>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ostatné zdroje financovania</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color w:val="000000"/>
              </w:rPr>
            </w:pPr>
            <w:r w:rsidRPr="0012245E">
              <w:rPr>
                <w:rFonts w:ascii="Times New Roman" w:hAnsi="Times New Roman"/>
                <w:bCs/>
                <w:color w:val="000000"/>
              </w:rPr>
              <w:t>0</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color w:val="000000"/>
              </w:rPr>
            </w:pPr>
            <w:r w:rsidRPr="0012245E">
              <w:rPr>
                <w:rFonts w:ascii="Times New Roman" w:hAnsi="Times New Roman"/>
                <w:bCs/>
                <w:color w:val="000000"/>
              </w:rPr>
              <w:t>0</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color w:val="000000"/>
              </w:rPr>
            </w:pPr>
            <w:r w:rsidRPr="0012245E">
              <w:rPr>
                <w:rFonts w:ascii="Times New Roman" w:hAnsi="Times New Roman"/>
                <w:bCs/>
                <w:color w:val="000000"/>
              </w:rPr>
              <w:t>0</w:t>
            </w:r>
          </w:p>
        </w:tc>
      </w:tr>
      <w:tr>
        <w:tblPrEx>
          <w:tblW w:w="5000" w:type="pct"/>
          <w:tblCellMar>
            <w:left w:w="70" w:type="dxa"/>
            <w:right w:w="70" w:type="dxa"/>
          </w:tblCellMar>
          <w:tblLook w:val="04A0"/>
        </w:tblPrEx>
        <w:trPr>
          <w:trHeight w:val="345"/>
        </w:trPr>
        <w:tc>
          <w:tcPr>
            <w:tcW w:w="2269"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Rozpočtovo nekrytý vplyv / úspora *</w:t>
            </w:r>
          </w:p>
        </w:tc>
        <w:tc>
          <w:tcPr>
            <w:tcW w:w="924"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6 101</w:t>
            </w:r>
          </w:p>
        </w:tc>
        <w:tc>
          <w:tcPr>
            <w:tcW w:w="96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777</w:t>
            </w:r>
          </w:p>
        </w:tc>
        <w:tc>
          <w:tcPr>
            <w:tcW w:w="847" w:type="pct"/>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785</w:t>
            </w:r>
          </w:p>
        </w:tc>
      </w:tr>
      <w:tr>
        <w:tblPrEx>
          <w:tblW w:w="5000" w:type="pct"/>
          <w:tblCellMar>
            <w:left w:w="70" w:type="dxa"/>
            <w:right w:w="70" w:type="dxa"/>
          </w:tblCellMar>
          <w:tblLook w:val="04A0"/>
        </w:tblPrEx>
        <w:trPr>
          <w:trHeight w:val="330"/>
        </w:trPr>
        <w:tc>
          <w:tcPr>
            <w:tcW w:w="2269" w:type="pct"/>
            <w:tcBorders>
              <w:top w:val="nil"/>
              <w:left w:val="nil"/>
              <w:bottom w:val="nil"/>
              <w:right w:val="nil"/>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 úspora má znamienko (-)</w:t>
            </w:r>
          </w:p>
        </w:tc>
        <w:tc>
          <w:tcPr>
            <w:tcW w:w="924" w:type="pct"/>
            <w:tcBorders>
              <w:top w:val="nil"/>
              <w:left w:val="nil"/>
              <w:bottom w:val="nil"/>
              <w:right w:val="nil"/>
            </w:tcBorders>
            <w:noWrap/>
            <w:textDirection w:val="lrTb"/>
            <w:vAlign w:val="center"/>
            <w:hideMark/>
          </w:tcPr>
          <w:p w:rsidR="00542DBA" w:rsidRPr="0012245E" w:rsidP="00542DBA">
            <w:pPr>
              <w:bidi w:val="0"/>
              <w:rPr>
                <w:rFonts w:ascii="Times New Roman" w:hAnsi="Times New Roman"/>
                <w:color w:val="000000"/>
              </w:rPr>
            </w:pPr>
          </w:p>
        </w:tc>
        <w:tc>
          <w:tcPr>
            <w:tcW w:w="960" w:type="pct"/>
            <w:tcBorders>
              <w:top w:val="nil"/>
              <w:left w:val="nil"/>
              <w:bottom w:val="nil"/>
              <w:right w:val="nil"/>
            </w:tcBorders>
            <w:noWrap/>
            <w:textDirection w:val="lrTb"/>
            <w:vAlign w:val="center"/>
            <w:hideMark/>
          </w:tcPr>
          <w:p w:rsidR="00542DBA" w:rsidRPr="0012245E" w:rsidP="00542DBA">
            <w:pPr>
              <w:bidi w:val="0"/>
              <w:rPr>
                <w:rFonts w:ascii="Times New Roman" w:hAnsi="Times New Roman"/>
                <w:color w:val="000000"/>
              </w:rPr>
            </w:pPr>
          </w:p>
        </w:tc>
        <w:tc>
          <w:tcPr>
            <w:tcW w:w="847" w:type="pct"/>
            <w:tcBorders>
              <w:top w:val="nil"/>
              <w:left w:val="nil"/>
              <w:bottom w:val="nil"/>
              <w:right w:val="nil"/>
            </w:tcBorders>
            <w:noWrap/>
            <w:textDirection w:val="lrTb"/>
            <w:vAlign w:val="center"/>
            <w:hideMark/>
          </w:tcPr>
          <w:p w:rsidR="00542DBA" w:rsidRPr="0012245E" w:rsidP="00542DBA">
            <w:pPr>
              <w:bidi w:val="0"/>
              <w:rPr>
                <w:rFonts w:ascii="Times New Roman" w:hAnsi="Times New Roman"/>
                <w:color w:val="000000"/>
              </w:rPr>
            </w:pPr>
          </w:p>
        </w:tc>
      </w:tr>
    </w:tbl>
    <w:p w:rsidR="00542DBA" w:rsidP="00542DBA">
      <w:pPr>
        <w:bidi w:val="0"/>
        <w:rPr>
          <w:rFonts w:ascii="Times New Roman" w:hAnsi="Times New Roman"/>
          <w:b/>
          <w:bCs/>
        </w:rPr>
      </w:pPr>
    </w:p>
    <w:p w:rsidR="0011564A" w:rsidP="00542DBA">
      <w:pPr>
        <w:bidi w:val="0"/>
        <w:rPr>
          <w:rFonts w:ascii="Times New Roman" w:hAnsi="Times New Roman"/>
          <w:b/>
          <w:bCs/>
        </w:rPr>
      </w:pPr>
    </w:p>
    <w:p w:rsidR="0011564A" w:rsidP="00542DBA">
      <w:pPr>
        <w:bidi w:val="0"/>
        <w:rPr>
          <w:rFonts w:ascii="Times New Roman" w:hAnsi="Times New Roman"/>
          <w:b/>
          <w:bCs/>
        </w:rPr>
      </w:pPr>
    </w:p>
    <w:p w:rsidR="0011564A" w:rsidP="00542DBA">
      <w:pPr>
        <w:bidi w:val="0"/>
        <w:rPr>
          <w:rFonts w:ascii="Times New Roman" w:hAnsi="Times New Roman"/>
          <w:b/>
          <w:bCs/>
        </w:rPr>
      </w:pPr>
    </w:p>
    <w:p w:rsidR="0011564A" w:rsidRPr="0012245E" w:rsidP="00542DBA">
      <w:pPr>
        <w:bidi w:val="0"/>
        <w:rPr>
          <w:rFonts w:ascii="Times New Roman" w:hAnsi="Times New Roman"/>
          <w:b/>
          <w:bCs/>
        </w:rPr>
      </w:pPr>
    </w:p>
    <w:p w:rsidR="00542DBA" w:rsidRPr="0012245E" w:rsidP="00542DBA">
      <w:pPr>
        <w:bidi w:val="0"/>
        <w:rPr>
          <w:rFonts w:ascii="Times New Roman" w:hAnsi="Times New Roman"/>
        </w:rPr>
      </w:pPr>
      <w:r w:rsidRPr="0012245E">
        <w:rPr>
          <w:rFonts w:ascii="Times New Roman" w:hAnsi="Times New Roman"/>
          <w:b/>
          <w:bCs/>
        </w:rPr>
        <w:t>Návrh na riešenie úbytku príjmov alebo zvýšených výdavkov podľa § 33 ods. 1 zákona č. 523/2004 Z. z. o rozpočtových pravidlách verejnej správy:</w:t>
      </w:r>
    </w:p>
    <w:p w:rsidR="00C25B4C" w:rsidP="00C25B4C">
      <w:pPr>
        <w:pBdr>
          <w:top w:val="single" w:sz="4" w:space="1" w:color="000000"/>
          <w:left w:val="single" w:sz="4" w:space="4" w:color="000000"/>
          <w:bottom w:val="single" w:sz="4" w:space="1" w:color="000000"/>
          <w:right w:val="single" w:sz="4" w:space="4" w:color="000000"/>
        </w:pBdr>
        <w:bidi w:val="0"/>
        <w:jc w:val="both"/>
        <w:rPr>
          <w:rFonts w:ascii="Times New Roman" w:hAnsi="Times New Roman"/>
          <w:bCs/>
        </w:rPr>
      </w:pPr>
      <w:r w:rsidRPr="0012245E" w:rsidR="00542DBA">
        <w:rPr>
          <w:rFonts w:ascii="Times New Roman" w:hAnsi="Times New Roman"/>
          <w:b/>
          <w:bCs/>
        </w:rPr>
        <w:t>  </w:t>
      </w:r>
      <w:r w:rsidRPr="00627A0C" w:rsidR="00542DBA">
        <w:rPr>
          <w:rFonts w:ascii="Times New Roman" w:hAnsi="Times New Roman"/>
          <w:bCs/>
        </w:rPr>
        <w:t>Úbytok príjmov verejných financií bude finančne krytý</w:t>
      </w:r>
      <w:r w:rsidR="00542DBA">
        <w:rPr>
          <w:rFonts w:ascii="Times New Roman" w:hAnsi="Times New Roman"/>
          <w:bCs/>
        </w:rPr>
        <w:t xml:space="preserve"> </w:t>
      </w:r>
      <w:r w:rsidRPr="00627A0C" w:rsidR="00542DBA">
        <w:rPr>
          <w:rFonts w:ascii="Times New Roman" w:hAnsi="Times New Roman"/>
          <w:bCs/>
        </w:rPr>
        <w:t>očakávanými zvýšenými príjmami</w:t>
      </w:r>
      <w:r>
        <w:rPr>
          <w:rFonts w:ascii="Times New Roman" w:hAnsi="Times New Roman"/>
          <w:bCs/>
        </w:rPr>
        <w:t>:</w:t>
      </w:r>
    </w:p>
    <w:p w:rsidR="00C25B4C" w:rsidP="00C25B4C">
      <w:pPr>
        <w:pBdr>
          <w:top w:val="single" w:sz="4" w:space="1" w:color="000000"/>
          <w:left w:val="single" w:sz="4" w:space="4" w:color="000000"/>
          <w:bottom w:val="single" w:sz="4" w:space="1" w:color="000000"/>
          <w:right w:val="single" w:sz="4" w:space="4" w:color="000000"/>
        </w:pBdr>
        <w:bidi w:val="0"/>
        <w:jc w:val="both"/>
        <w:rPr>
          <w:rFonts w:ascii="Times New Roman" w:hAnsi="Times New Roman"/>
          <w:bCs/>
        </w:rPr>
      </w:pPr>
      <w:r>
        <w:rPr>
          <w:rFonts w:ascii="Times New Roman" w:hAnsi="Times New Roman"/>
          <w:bCs/>
        </w:rPr>
        <w:t>-</w:t>
      </w:r>
      <w:r w:rsidRPr="00627A0C" w:rsidR="00542DBA">
        <w:rPr>
          <w:rFonts w:ascii="Times New Roman" w:hAnsi="Times New Roman"/>
          <w:bCs/>
        </w:rPr>
        <w:t xml:space="preserve"> zo zavedenia zvýšenej zrážkovej dani z príjmov na platby odchádzajúce z územia SR do nezmluvných štátov (štáty, s ktorými SR nemá uzatvorenú zmluvu o zamedzení dvojitého zdanenia)</w:t>
      </w:r>
      <w:r>
        <w:rPr>
          <w:rFonts w:ascii="Times New Roman" w:hAnsi="Times New Roman"/>
          <w:bCs/>
        </w:rPr>
        <w:t>,</w:t>
      </w:r>
    </w:p>
    <w:p w:rsidR="00C25B4C" w:rsidP="00542DBA">
      <w:pPr>
        <w:pBdr>
          <w:top w:val="single" w:sz="4" w:space="1" w:color="000000"/>
          <w:left w:val="single" w:sz="4" w:space="4" w:color="000000"/>
          <w:bottom w:val="single" w:sz="4" w:space="1" w:color="000000"/>
          <w:right w:val="single" w:sz="4" w:space="4" w:color="000000"/>
        </w:pBdr>
        <w:bidi w:val="0"/>
        <w:rPr>
          <w:rFonts w:ascii="Times New Roman" w:hAnsi="Times New Roman"/>
          <w:bCs/>
        </w:rPr>
      </w:pPr>
      <w:r>
        <w:rPr>
          <w:rFonts w:ascii="Times New Roman" w:hAnsi="Times New Roman"/>
          <w:bCs/>
        </w:rPr>
        <w:t>-</w:t>
      </w:r>
      <w:r w:rsidRPr="00627A0C" w:rsidR="00542DBA">
        <w:rPr>
          <w:rFonts w:ascii="Times New Roman" w:hAnsi="Times New Roman"/>
          <w:bCs/>
        </w:rPr>
        <w:t> z povinnosti zdaňovať aj príjmy z tzv. službovej stálej prevádzkarne</w:t>
      </w:r>
      <w:r w:rsidR="008278B7">
        <w:rPr>
          <w:rFonts w:ascii="Times New Roman" w:hAnsi="Times New Roman"/>
          <w:bCs/>
        </w:rPr>
        <w:t>,</w:t>
      </w:r>
      <w:r w:rsidRPr="00627A0C" w:rsidR="00542DBA">
        <w:rPr>
          <w:rFonts w:ascii="Times New Roman" w:hAnsi="Times New Roman"/>
          <w:bCs/>
        </w:rPr>
        <w:t xml:space="preserve"> </w:t>
      </w:r>
    </w:p>
    <w:p w:rsidR="00C25B4C" w:rsidP="00542DBA">
      <w:pPr>
        <w:pBdr>
          <w:top w:val="single" w:sz="4" w:space="1" w:color="000000"/>
          <w:left w:val="single" w:sz="4" w:space="4" w:color="000000"/>
          <w:bottom w:val="single" w:sz="4" w:space="1" w:color="000000"/>
          <w:right w:val="single" w:sz="4" w:space="4" w:color="000000"/>
        </w:pBdr>
        <w:bidi w:val="0"/>
        <w:rPr>
          <w:rFonts w:ascii="Times New Roman" w:hAnsi="Times New Roman"/>
          <w:bCs/>
        </w:rPr>
      </w:pPr>
      <w:r>
        <w:rPr>
          <w:rFonts w:ascii="Times New Roman" w:hAnsi="Times New Roman"/>
          <w:bCs/>
        </w:rPr>
        <w:t>-</w:t>
      </w:r>
      <w:r w:rsidR="0045487E">
        <w:rPr>
          <w:rFonts w:ascii="Times New Roman" w:hAnsi="Times New Roman"/>
          <w:bCs/>
        </w:rPr>
        <w:t xml:space="preserve"> zo zavedenia zrážkovej dane z kompenzačných platieb</w:t>
      </w:r>
      <w:r w:rsidR="008278B7">
        <w:rPr>
          <w:rFonts w:ascii="Times New Roman" w:hAnsi="Times New Roman"/>
          <w:bCs/>
        </w:rPr>
        <w:t>,</w:t>
      </w:r>
    </w:p>
    <w:p w:rsidR="008278B7" w:rsidP="00542DBA">
      <w:pPr>
        <w:pBdr>
          <w:top w:val="single" w:sz="4" w:space="1" w:color="000000"/>
          <w:left w:val="single" w:sz="4" w:space="4" w:color="000000"/>
          <w:bottom w:val="single" w:sz="4" w:space="1" w:color="000000"/>
          <w:right w:val="single" w:sz="4" w:space="4" w:color="000000"/>
        </w:pBdr>
        <w:bidi w:val="0"/>
        <w:rPr>
          <w:rFonts w:ascii="Times New Roman" w:hAnsi="Times New Roman"/>
          <w:bCs/>
        </w:rPr>
      </w:pPr>
      <w:r>
        <w:rPr>
          <w:rFonts w:ascii="Times New Roman" w:hAnsi="Times New Roman"/>
          <w:bCs/>
        </w:rPr>
        <w:t>- zo zmeny zahrnovania neuhradených záväzkov do základu dane.</w:t>
      </w:r>
    </w:p>
    <w:p w:rsidR="008278B7" w:rsidP="00542DBA">
      <w:pPr>
        <w:pBdr>
          <w:top w:val="single" w:sz="4" w:space="1" w:color="000000"/>
          <w:left w:val="single" w:sz="4" w:space="4" w:color="000000"/>
          <w:bottom w:val="single" w:sz="4" w:space="1" w:color="000000"/>
          <w:right w:val="single" w:sz="4" w:space="4" w:color="000000"/>
        </w:pBdr>
        <w:bidi w:val="0"/>
        <w:rPr>
          <w:rFonts w:ascii="Times New Roman" w:hAnsi="Times New Roman"/>
          <w:bCs/>
        </w:rPr>
      </w:pPr>
      <w:r>
        <w:rPr>
          <w:rFonts w:ascii="Times New Roman" w:hAnsi="Times New Roman"/>
          <w:bCs/>
        </w:rPr>
        <w:t>Negatívny vplyv na verejné financie bude krytý aj</w:t>
      </w:r>
    </w:p>
    <w:p w:rsidR="00C25B4C" w:rsidP="00C25B4C">
      <w:pPr>
        <w:pBdr>
          <w:top w:val="single" w:sz="4" w:space="1" w:color="000000"/>
          <w:left w:val="single" w:sz="4" w:space="4" w:color="000000"/>
          <w:bottom w:val="single" w:sz="4" w:space="1" w:color="000000"/>
          <w:right w:val="single" w:sz="4" w:space="4" w:color="000000"/>
        </w:pBdr>
        <w:bidi w:val="0"/>
        <w:jc w:val="both"/>
        <w:rPr>
          <w:rFonts w:ascii="Times New Roman" w:hAnsi="Times New Roman"/>
          <w:bCs/>
        </w:rPr>
      </w:pPr>
      <w:r>
        <w:rPr>
          <w:rFonts w:ascii="Times New Roman" w:hAnsi="Times New Roman"/>
          <w:bCs/>
        </w:rPr>
        <w:t xml:space="preserve">- </w:t>
      </w:r>
      <w:r w:rsidRPr="00627A0C" w:rsidR="00542DBA">
        <w:rPr>
          <w:rFonts w:ascii="Times New Roman" w:hAnsi="Times New Roman"/>
          <w:bCs/>
        </w:rPr>
        <w:t>v rámci schváleného rozpočtu kapitoly Všeobecnej pokladničnej správy na roky 2013 až 2015</w:t>
      </w:r>
    </w:p>
    <w:p w:rsidR="00542DBA" w:rsidRPr="00542DBA" w:rsidP="00542DBA">
      <w:pPr>
        <w:pBdr>
          <w:top w:val="single" w:sz="4" w:space="1" w:color="000000"/>
          <w:left w:val="single" w:sz="4" w:space="4" w:color="000000"/>
          <w:bottom w:val="single" w:sz="4" w:space="1" w:color="000000"/>
          <w:right w:val="single" w:sz="4" w:space="4" w:color="000000"/>
        </w:pBdr>
        <w:bidi w:val="0"/>
        <w:rPr>
          <w:rFonts w:ascii="Times New Roman" w:hAnsi="Times New Roman"/>
          <w:bCs/>
        </w:rPr>
      </w:pPr>
      <w:r w:rsidR="00C25B4C">
        <w:rPr>
          <w:rFonts w:ascii="Times New Roman" w:hAnsi="Times New Roman"/>
          <w:bCs/>
        </w:rPr>
        <w:t xml:space="preserve">- </w:t>
      </w:r>
      <w:r w:rsidRPr="00627A0C">
        <w:rPr>
          <w:rFonts w:ascii="Times New Roman" w:hAnsi="Times New Roman"/>
          <w:bCs/>
        </w:rPr>
        <w:t>a v rámci schválených rozpočtov vyšších územných celkov a obcí na roky 2013 až 2015.</w:t>
      </w:r>
      <w:r>
        <w:rPr>
          <w:rFonts w:ascii="Times New Roman" w:hAnsi="Times New Roman"/>
          <w:bCs/>
        </w:rPr>
        <w:t> </w:t>
      </w:r>
    </w:p>
    <w:p w:rsidR="00542DBA" w:rsidRPr="0012245E" w:rsidP="00542DBA">
      <w:pPr>
        <w:bidi w:val="0"/>
        <w:rPr>
          <w:rFonts w:ascii="Times New Roman" w:hAnsi="Times New Roman"/>
          <w:b/>
          <w:bCs/>
        </w:rPr>
      </w:pPr>
    </w:p>
    <w:p w:rsidR="00542DBA" w:rsidRPr="0012245E" w:rsidP="00542DBA">
      <w:pPr>
        <w:bidi w:val="0"/>
        <w:rPr>
          <w:rFonts w:ascii="Times New Roman" w:hAnsi="Times New Roman"/>
        </w:rPr>
      </w:pPr>
      <w:r w:rsidRPr="0012245E">
        <w:rPr>
          <w:rFonts w:ascii="Times New Roman" w:hAnsi="Times New Roman"/>
          <w:b/>
          <w:bCs/>
        </w:rPr>
        <w:t>2.3. Popis a charakteristika návrhu</w:t>
      </w:r>
    </w:p>
    <w:p w:rsidR="00542DBA" w:rsidRPr="0012245E" w:rsidP="00542DBA">
      <w:pPr>
        <w:bidi w:val="0"/>
        <w:rPr>
          <w:rFonts w:ascii="Times New Roman" w:hAnsi="Times New Roman"/>
        </w:rPr>
      </w:pPr>
      <w:r w:rsidRPr="0012245E">
        <w:rPr>
          <w:rFonts w:ascii="Times New Roman" w:hAnsi="Times New Roman"/>
        </w:rPr>
        <w:t> </w:t>
      </w:r>
    </w:p>
    <w:p w:rsidR="00542DBA" w:rsidRPr="0012245E" w:rsidP="00542DBA">
      <w:pPr>
        <w:bidi w:val="0"/>
        <w:jc w:val="both"/>
        <w:rPr>
          <w:rFonts w:ascii="Times New Roman" w:hAnsi="Times New Roman"/>
        </w:rPr>
      </w:pPr>
      <w:r w:rsidRPr="0012245E">
        <w:rPr>
          <w:rFonts w:ascii="Times New Roman" w:hAnsi="Times New Roman"/>
          <w:b/>
          <w:bCs/>
        </w:rPr>
        <w:t>2.3.1. Popis návrhu:</w:t>
      </w:r>
    </w:p>
    <w:p w:rsidR="00542DBA" w:rsidRPr="0012245E" w:rsidP="00542DBA">
      <w:pPr>
        <w:bidi w:val="0"/>
        <w:jc w:val="both"/>
        <w:rPr>
          <w:rFonts w:ascii="Times New Roman" w:hAnsi="Times New Roman"/>
          <w:b/>
          <w:bCs/>
        </w:rPr>
      </w:pPr>
    </w:p>
    <w:p w:rsidR="00542DBA" w:rsidRPr="0012245E" w:rsidP="00542DBA">
      <w:pPr>
        <w:bidi w:val="0"/>
        <w:jc w:val="both"/>
        <w:rPr>
          <w:rFonts w:ascii="Times New Roman" w:hAnsi="Times New Roman"/>
          <w:b/>
          <w:bCs/>
        </w:rPr>
      </w:pPr>
      <w:r w:rsidRPr="0012245E">
        <w:rPr>
          <w:rFonts w:ascii="Times New Roman" w:hAnsi="Times New Roman"/>
          <w:b/>
          <w:bCs/>
        </w:rPr>
        <w:t>Návrh zákona, ktorým sa mení a dopĺňa zákon č. 595/2003 Z. z. o dani z príjmov v znení neskorších predpisov.</w:t>
      </w:r>
    </w:p>
    <w:p w:rsidR="00542DBA" w:rsidRPr="0012245E" w:rsidP="00542DBA">
      <w:pPr>
        <w:bidi w:val="0"/>
        <w:jc w:val="both"/>
        <w:rPr>
          <w:rFonts w:ascii="Times New Roman" w:hAnsi="Times New Roman"/>
          <w:b/>
          <w:bCs/>
        </w:rPr>
      </w:pP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Zohľadnenie opotrebenia motorového vozidla pri výpočte nepeňažného príjmu zamestnanca, ktorý využíva služobné motorové vozidlo aj na súkromné účely</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Zahrnovanie cestovných náhrad a stravného spoločníkov v.o.s. a komplementárov k. s. do daňových výdavkov</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Zavedenie rovnakých podmienok pre zdaňovanie dávok z doplnkového dôchodkového sporenia vyplácaného zo zdrojov z územia SR a zo zdrojov v zahraničí</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 xml:space="preserve">Zdanenie sumy výhier prevyšujúcich hranicu od ktorej už nie je cena alebo výhra od dane oslobodená, a to hranicou 350 eur </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Zavedenie zvýšenej sadzby dane vyberanej zrážkou pri platbách plynúcich daňovníkom do nezmluvných štátov</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Rozšírenie zdroja príjmu na území SR aj na úhrady medzi daňovníkmi s obmedzenou daňovou povinnosťou z predaja majetkových cenných papierov registrovaných na území SR</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Spresnenie výpočtu základu dane a daňovej straty stálej prevádzkarne na území SR</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Rozšírenie okruhu zmluvných pokút o nový inštitút tzv. paušálnej náhrady nákladov spojených s uplatnením pohľadávky</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Umožnenie paušalizácie výdavkov na PHL v prípade použitia motorového vozidla nezahrnutého do obchodného majetku fyzickej osoby</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Zvýšenie a zaokrúhlenie minimálnej sumy dane na úhradu z 3,32 eura na 5 eur</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Zjednotenie spodnej hranice pre povinnosť platenia štvrťročných preddavkov na daň z príjmov právnických a fyzických osôb</w:t>
      </w:r>
    </w:p>
    <w:p w:rsidR="00542DBA" w:rsidRPr="0012245E" w:rsidP="00542DBA">
      <w:pPr>
        <w:pStyle w:val="ListParagraph"/>
        <w:numPr>
          <w:numId w:val="9"/>
        </w:numPr>
        <w:bidi w:val="0"/>
        <w:spacing w:after="0" w:line="240" w:lineRule="auto"/>
        <w:jc w:val="both"/>
        <w:rPr>
          <w:rStyle w:val="PlaceholderText"/>
          <w:color w:val="000000"/>
          <w:sz w:val="24"/>
          <w:szCs w:val="24"/>
        </w:rPr>
      </w:pPr>
      <w:r w:rsidRPr="0012245E">
        <w:rPr>
          <w:rStyle w:val="PlaceholderText"/>
          <w:color w:val="000000"/>
          <w:sz w:val="24"/>
          <w:szCs w:val="24"/>
        </w:rPr>
        <w:t>Umožnenie platenia preddavkov novovzniknutým daňovníkom podľa skutočnej daňovej povinnosti vykázanej za zdaňovacie obdobie, v ktorom vznikli</w:t>
      </w:r>
    </w:p>
    <w:p w:rsidR="00542DBA" w:rsidP="00542DBA">
      <w:pPr>
        <w:pStyle w:val="ListParagraph"/>
        <w:bidi w:val="0"/>
        <w:ind w:left="786"/>
        <w:jc w:val="both"/>
        <w:rPr>
          <w:rFonts w:ascii="Times New Roman" w:hAnsi="Times New Roman"/>
          <w:b/>
          <w:sz w:val="24"/>
          <w:szCs w:val="24"/>
          <w:highlight w:val="yellow"/>
        </w:rPr>
      </w:pPr>
    </w:p>
    <w:p w:rsidR="006E22A4" w:rsidP="00542DBA">
      <w:pPr>
        <w:pStyle w:val="ListParagraph"/>
        <w:bidi w:val="0"/>
        <w:ind w:left="786"/>
        <w:jc w:val="both"/>
        <w:rPr>
          <w:rFonts w:ascii="Times New Roman" w:hAnsi="Times New Roman"/>
          <w:b/>
          <w:sz w:val="24"/>
          <w:szCs w:val="24"/>
          <w:highlight w:val="yellow"/>
        </w:rPr>
      </w:pPr>
    </w:p>
    <w:p w:rsidR="006E22A4" w:rsidP="00542DBA">
      <w:pPr>
        <w:pStyle w:val="ListParagraph"/>
        <w:bidi w:val="0"/>
        <w:ind w:left="786"/>
        <w:jc w:val="both"/>
        <w:rPr>
          <w:rFonts w:ascii="Times New Roman" w:hAnsi="Times New Roman"/>
          <w:b/>
          <w:sz w:val="24"/>
          <w:szCs w:val="24"/>
          <w:highlight w:val="yellow"/>
        </w:rPr>
      </w:pPr>
    </w:p>
    <w:p w:rsidR="006E22A4" w:rsidP="00542DBA">
      <w:pPr>
        <w:pStyle w:val="ListParagraph"/>
        <w:bidi w:val="0"/>
        <w:ind w:left="786"/>
        <w:jc w:val="both"/>
        <w:rPr>
          <w:rFonts w:ascii="Times New Roman" w:hAnsi="Times New Roman"/>
          <w:b/>
          <w:sz w:val="24"/>
          <w:szCs w:val="24"/>
          <w:highlight w:val="yellow"/>
        </w:rPr>
      </w:pPr>
    </w:p>
    <w:p w:rsidR="006E22A4" w:rsidP="00542DBA">
      <w:pPr>
        <w:pStyle w:val="ListParagraph"/>
        <w:bidi w:val="0"/>
        <w:ind w:left="786"/>
        <w:jc w:val="both"/>
        <w:rPr>
          <w:rFonts w:ascii="Times New Roman" w:hAnsi="Times New Roman"/>
          <w:b/>
          <w:sz w:val="24"/>
          <w:szCs w:val="24"/>
          <w:highlight w:val="yellow"/>
        </w:rPr>
      </w:pPr>
    </w:p>
    <w:p w:rsidR="00542DBA" w:rsidRPr="0012245E" w:rsidP="00542DBA">
      <w:pPr>
        <w:bidi w:val="0"/>
        <w:jc w:val="both"/>
        <w:rPr>
          <w:rFonts w:ascii="Times New Roman" w:hAnsi="Times New Roman"/>
        </w:rPr>
      </w:pPr>
      <w:r w:rsidRPr="0012245E">
        <w:rPr>
          <w:rFonts w:ascii="Times New Roman" w:hAnsi="Times New Roman"/>
        </w:rPr>
        <w:t>Legislatívne zmeny bude implementovať Ministerstvo financií SR a Finančné riaditeľstvo SR</w:t>
      </w:r>
    </w:p>
    <w:p w:rsidR="00542DBA" w:rsidRPr="0012245E" w:rsidP="00542DBA">
      <w:pPr>
        <w:bidi w:val="0"/>
        <w:rPr>
          <w:rFonts w:ascii="Times New Roman" w:hAnsi="Times New Roman"/>
        </w:rPr>
      </w:pPr>
      <w:r w:rsidRPr="0012245E">
        <w:rPr>
          <w:rFonts w:ascii="Times New Roman" w:hAnsi="Times New Roman"/>
          <w:b/>
          <w:bCs/>
        </w:rPr>
        <w:t>2.3.2. Charakteristika návrhu podľa bodu  2.3.2. Metodiky :</w:t>
      </w:r>
    </w:p>
    <w:p w:rsidR="00542DBA" w:rsidRPr="0012245E" w:rsidP="00542DBA">
      <w:pPr>
        <w:bidi w:val="0"/>
        <w:rPr>
          <w:rFonts w:ascii="Times New Roman" w:hAnsi="Times New Roman"/>
        </w:rPr>
      </w:pPr>
      <w:r w:rsidRPr="0012245E">
        <w:rPr>
          <w:rFonts w:ascii="Times New Roman" w:hAnsi="Times New Roman"/>
        </w:rPr>
        <w:t> </w:t>
      </w:r>
    </w:p>
    <w:p w:rsidR="00542DBA" w:rsidRPr="0012245E" w:rsidP="00542DBA">
      <w:pPr>
        <w:bidi w:val="0"/>
        <w:rPr>
          <w:rFonts w:ascii="Times New Roman" w:hAnsi="Times New Roman"/>
        </w:rPr>
      </w:pPr>
      <w:r w:rsidRPr="0012245E">
        <w:rPr>
          <w:rFonts w:ascii="Times New Roman" w:hAnsi="Times New Roman"/>
          <w:b/>
          <w:bCs/>
          <w:bdr w:val="single" w:sz="4" w:space="0" w:color="000000" w:frame="1"/>
        </w:rPr>
        <w:t xml:space="preserve">     </w:t>
      </w:r>
      <w:r w:rsidRPr="0012245E">
        <w:rPr>
          <w:rFonts w:ascii="Times New Roman" w:hAnsi="Times New Roman"/>
          <w:b/>
          <w:bCs/>
        </w:rPr>
        <w:t xml:space="preserve">  </w:t>
      </w:r>
      <w:r w:rsidRPr="0012245E">
        <w:rPr>
          <w:rFonts w:ascii="Times New Roman" w:hAnsi="Times New Roman"/>
        </w:rPr>
        <w:t>zmena sadzby</w:t>
      </w:r>
    </w:p>
    <w:p w:rsidR="00542DBA" w:rsidRPr="0012245E" w:rsidP="00542DBA">
      <w:pPr>
        <w:bidi w:val="0"/>
        <w:rPr>
          <w:rFonts w:ascii="Times New Roman" w:hAnsi="Times New Roman"/>
        </w:rPr>
      </w:pPr>
      <w:r w:rsidRPr="0012245E">
        <w:rPr>
          <w:rFonts w:ascii="Times New Roman" w:hAnsi="Times New Roman"/>
          <w:bdr w:val="single" w:sz="4" w:space="0" w:color="000000" w:frame="1"/>
        </w:rPr>
        <w:t xml:space="preserve">     </w:t>
      </w:r>
      <w:r w:rsidRPr="0012245E">
        <w:rPr>
          <w:rFonts w:ascii="Times New Roman" w:hAnsi="Times New Roman"/>
        </w:rPr>
        <w:t>  zmena v nároku</w:t>
      </w:r>
    </w:p>
    <w:p w:rsidR="00542DBA" w:rsidRPr="0012245E" w:rsidP="00542DBA">
      <w:pPr>
        <w:bidi w:val="0"/>
        <w:rPr>
          <w:rFonts w:ascii="Times New Roman" w:hAnsi="Times New Roman"/>
        </w:rPr>
      </w:pPr>
      <w:r w:rsidRPr="0012245E">
        <w:rPr>
          <w:rFonts w:ascii="Times New Roman" w:hAnsi="Times New Roman"/>
          <w:bdr w:val="single" w:sz="4" w:space="0" w:color="000000" w:frame="1"/>
        </w:rPr>
        <w:t xml:space="preserve">     </w:t>
      </w:r>
      <w:r w:rsidRPr="0012245E">
        <w:rPr>
          <w:rFonts w:ascii="Times New Roman" w:hAnsi="Times New Roman"/>
        </w:rPr>
        <w:t>  nová služba alebo nariadenie (alebo ich zrušenie)</w:t>
      </w:r>
    </w:p>
    <w:p w:rsidR="00542DBA" w:rsidRPr="0012245E" w:rsidP="00542DBA">
      <w:pPr>
        <w:bidi w:val="0"/>
        <w:rPr>
          <w:rFonts w:ascii="Times New Roman" w:hAnsi="Times New Roman"/>
        </w:rPr>
      </w:pPr>
      <w:r w:rsidRPr="0012245E">
        <w:rPr>
          <w:rFonts w:ascii="Times New Roman" w:hAnsi="Times New Roman"/>
          <w:bdr w:val="single" w:sz="4" w:space="0" w:color="000000" w:frame="1"/>
        </w:rPr>
        <w:t>     </w:t>
      </w:r>
      <w:r w:rsidRPr="0012245E">
        <w:rPr>
          <w:rFonts w:ascii="Times New Roman" w:hAnsi="Times New Roman"/>
        </w:rPr>
        <w:t>  kombinovaný návrh</w:t>
      </w:r>
    </w:p>
    <w:p w:rsidR="00542DBA" w:rsidRPr="0012245E" w:rsidP="00542DBA">
      <w:pPr>
        <w:bidi w:val="0"/>
        <w:rPr>
          <w:rFonts w:ascii="Times New Roman" w:hAnsi="Times New Roman"/>
        </w:rPr>
      </w:pPr>
      <w:r w:rsidRPr="0012245E">
        <w:rPr>
          <w:rFonts w:ascii="Times New Roman" w:hAnsi="Times New Roman"/>
          <w:bdr w:val="single" w:sz="4" w:space="0" w:color="000000" w:frame="1"/>
        </w:rPr>
        <w:t xml:space="preserve"> x  </w:t>
      </w:r>
      <w:r w:rsidRPr="0012245E">
        <w:rPr>
          <w:rFonts w:ascii="Times New Roman" w:hAnsi="Times New Roman"/>
        </w:rPr>
        <w:t>  iné (rozšírenie základne pre výpočet dane z príjmov)</w:t>
      </w:r>
    </w:p>
    <w:p w:rsidR="00542DBA" w:rsidRPr="0012245E" w:rsidP="00542DBA">
      <w:pPr>
        <w:bidi w:val="0"/>
        <w:rPr>
          <w:rFonts w:ascii="Times New Roman" w:hAnsi="Times New Roman"/>
        </w:rPr>
      </w:pPr>
      <w:r w:rsidRPr="0012245E">
        <w:rPr>
          <w:rFonts w:ascii="Times New Roman" w:hAnsi="Times New Roman"/>
        </w:rPr>
        <w:t>  </w:t>
      </w:r>
    </w:p>
    <w:p w:rsidR="00542DBA" w:rsidRPr="0012245E" w:rsidP="00542DBA">
      <w:pPr>
        <w:bidi w:val="0"/>
        <w:rPr>
          <w:rFonts w:ascii="Times New Roman" w:hAnsi="Times New Roman"/>
        </w:rPr>
      </w:pPr>
      <w:r w:rsidRPr="0012245E">
        <w:rPr>
          <w:rFonts w:ascii="Times New Roman" w:hAnsi="Times New Roman"/>
          <w:b/>
          <w:bCs/>
        </w:rPr>
        <w:t>2.3.3. Predpoklady vývoja objemu aktivít:</w:t>
      </w:r>
    </w:p>
    <w:p w:rsidR="00542DBA" w:rsidRPr="0012245E" w:rsidP="00542DBA">
      <w:pPr>
        <w:bidi w:val="0"/>
        <w:rPr>
          <w:rFonts w:ascii="Times New Roman" w:hAnsi="Times New Roman"/>
        </w:rPr>
      </w:pPr>
      <w:r w:rsidRPr="0012245E">
        <w:rPr>
          <w:rFonts w:ascii="Times New Roman" w:hAnsi="Times New Roman"/>
        </w:rPr>
        <w:t> -</w:t>
      </w:r>
    </w:p>
    <w:p w:rsidR="00542DBA" w:rsidRPr="0012245E" w:rsidP="00542DBA">
      <w:pPr>
        <w:bidi w:val="0"/>
        <w:rPr>
          <w:rFonts w:ascii="Times New Roman" w:hAnsi="Times New Roman"/>
        </w:rPr>
      </w:pPr>
    </w:p>
    <w:p w:rsidR="00542DBA" w:rsidRPr="0012245E" w:rsidP="00542DBA">
      <w:pPr>
        <w:bidi w:val="0"/>
        <w:rPr>
          <w:rFonts w:ascii="Times New Roman" w:hAnsi="Times New Roman"/>
          <w:b/>
          <w:bCs/>
        </w:rPr>
      </w:pPr>
      <w:r w:rsidRPr="0012245E">
        <w:rPr>
          <w:rFonts w:ascii="Times New Roman" w:hAnsi="Times New Roman"/>
          <w:b/>
          <w:bCs/>
        </w:rPr>
        <w:t>2.3.4. Výpočty vplyvov na verejné financie</w:t>
      </w:r>
    </w:p>
    <w:p w:rsidR="00542DBA" w:rsidRPr="0012245E" w:rsidP="00542DBA">
      <w:pPr>
        <w:autoSpaceDE w:val="0"/>
        <w:autoSpaceDN w:val="0"/>
        <w:bidi w:val="0"/>
        <w:adjustRightInd w:val="0"/>
        <w:jc w:val="both"/>
        <w:rPr>
          <w:rFonts w:ascii="Times New Roman" w:hAnsi="Times New Roman"/>
        </w:rPr>
      </w:pPr>
    </w:p>
    <w:p w:rsidR="00542DBA" w:rsidRPr="0012245E" w:rsidP="00542DBA">
      <w:pPr>
        <w:autoSpaceDE w:val="0"/>
        <w:autoSpaceDN w:val="0"/>
        <w:bidi w:val="0"/>
        <w:adjustRightInd w:val="0"/>
        <w:jc w:val="both"/>
        <w:rPr>
          <w:rFonts w:ascii="Times New Roman" w:hAnsi="Times New Roman"/>
        </w:rPr>
      </w:pPr>
      <w:r w:rsidRPr="0012245E">
        <w:rPr>
          <w:rFonts w:ascii="Times New Roman" w:hAnsi="Times New Roman"/>
        </w:rPr>
        <w:t>Kvantifikácia predpokladá negatívny vplyv na rozpočet verejnej správy na úrovni 764 tis. eur v roku 2014, v roku 2015 vo výške 777 tis. eur a 786 tis. eur v roku 2016.</w:t>
      </w:r>
    </w:p>
    <w:p w:rsidR="00542DBA" w:rsidRPr="0012245E" w:rsidP="00542DBA">
      <w:pPr>
        <w:autoSpaceDE w:val="0"/>
        <w:autoSpaceDN w:val="0"/>
        <w:bidi w:val="0"/>
        <w:adjustRightInd w:val="0"/>
        <w:jc w:val="both"/>
        <w:rPr>
          <w:rFonts w:ascii="Times New Roman" w:hAnsi="Times New Roman"/>
          <w:b/>
        </w:rPr>
      </w:pPr>
      <w:r w:rsidRPr="0012245E">
        <w:rPr>
          <w:rFonts w:ascii="Times New Roman" w:hAnsi="Times New Roman"/>
          <w:b/>
        </w:rPr>
        <w:t>Kvantifikácia príjmov</w:t>
      </w:r>
    </w:p>
    <w:p w:rsidR="00542DBA" w:rsidRPr="0012245E" w:rsidP="00542DBA">
      <w:pPr>
        <w:tabs>
          <w:tab w:val="left" w:pos="1080"/>
        </w:tabs>
        <w:bidi w:val="0"/>
        <w:jc w:val="both"/>
        <w:rPr>
          <w:rFonts w:ascii="Times New Roman" w:hAnsi="Times New Roman"/>
          <w:b/>
        </w:rPr>
      </w:pPr>
    </w:p>
    <w:p w:rsidR="00542DBA" w:rsidRPr="0012245E" w:rsidP="00542DBA">
      <w:pPr>
        <w:tabs>
          <w:tab w:val="left" w:pos="1080"/>
        </w:tabs>
        <w:bidi w:val="0"/>
        <w:jc w:val="both"/>
        <w:rPr>
          <w:rFonts w:ascii="Times New Roman" w:hAnsi="Times New Roman"/>
          <w:color w:val="000000"/>
        </w:rPr>
      </w:pPr>
      <w:r w:rsidRPr="0012245E">
        <w:rPr>
          <w:rFonts w:ascii="Times New Roman" w:hAnsi="Times New Roman"/>
          <w:color w:val="000000"/>
        </w:rPr>
        <w:t>A, B, C, E, F, G, H, I, L - Pre účely kvantifikácie navrhovaných opatrení neexistujú k dispozícii žiadne dostupné štatistiky, a preto z uvedeného dôvodu absentuje vyčíslenie vplyvov týchto opatrení.</w:t>
      </w:r>
    </w:p>
    <w:p w:rsidR="00542DBA" w:rsidRPr="0012245E" w:rsidP="00542DBA">
      <w:pPr>
        <w:tabs>
          <w:tab w:val="left" w:pos="1080"/>
        </w:tabs>
        <w:bidi w:val="0"/>
        <w:jc w:val="both"/>
        <w:rPr>
          <w:rFonts w:ascii="Times New Roman" w:hAnsi="Times New Roman"/>
          <w:b/>
        </w:rPr>
      </w:pPr>
    </w:p>
    <w:p w:rsidR="00542DBA" w:rsidRPr="0012245E" w:rsidP="00542DBA">
      <w:pPr>
        <w:bidi w:val="0"/>
        <w:jc w:val="both"/>
        <w:rPr>
          <w:rFonts w:ascii="Times New Roman" w:hAnsi="Times New Roman"/>
          <w:color w:val="000000"/>
        </w:rPr>
      </w:pPr>
      <w:r w:rsidRPr="0012245E">
        <w:rPr>
          <w:rFonts w:ascii="Times New Roman" w:hAnsi="Times New Roman"/>
          <w:color w:val="000000"/>
        </w:rPr>
        <w:t>D, J, K - Kvantifikácia opatrení vychádza z údajov individuálnych daňových priznaní DPPO a z disagregovaných údajov daňových priznaní fyzických osôb.</w:t>
      </w:r>
    </w:p>
    <w:p w:rsidR="00542DBA" w:rsidRPr="0012245E" w:rsidP="00542DBA">
      <w:pPr>
        <w:autoSpaceDE w:val="0"/>
        <w:autoSpaceDN w:val="0"/>
        <w:bidi w:val="0"/>
        <w:adjustRightInd w:val="0"/>
        <w:jc w:val="both"/>
        <w:rPr>
          <w:rFonts w:ascii="Times New Roman" w:hAnsi="Times New Roman"/>
        </w:rPr>
      </w:pPr>
    </w:p>
    <w:p w:rsidR="00542DBA" w:rsidP="00542DBA">
      <w:pPr>
        <w:autoSpaceDE w:val="0"/>
        <w:autoSpaceDN w:val="0"/>
        <w:bidi w:val="0"/>
        <w:adjustRightInd w:val="0"/>
        <w:jc w:val="both"/>
        <w:rPr>
          <w:rFonts w:ascii="Times New Roman" w:hAnsi="Times New Roman"/>
          <w:b/>
        </w:rPr>
      </w:pPr>
      <w:r w:rsidRPr="0012245E">
        <w:rPr>
          <w:rFonts w:ascii="Times New Roman" w:hAnsi="Times New Roman"/>
          <w:b/>
        </w:rPr>
        <w:t>Kvantifikácia príjmov</w:t>
      </w:r>
    </w:p>
    <w:p w:rsidR="00542DBA" w:rsidRPr="0012245E" w:rsidP="00542DBA">
      <w:pPr>
        <w:autoSpaceDE w:val="0"/>
        <w:autoSpaceDN w:val="0"/>
        <w:bidi w:val="0"/>
        <w:adjustRightInd w:val="0"/>
        <w:jc w:val="both"/>
        <w:rPr>
          <w:rFonts w:ascii="Times New Roman" w:hAnsi="Times New Roman"/>
          <w:b/>
        </w:rPr>
      </w:pPr>
    </w:p>
    <w:tbl>
      <w:tblPr>
        <w:tblStyle w:val="TableNormal"/>
        <w:tblW w:w="9087" w:type="dxa"/>
        <w:tblInd w:w="55" w:type="dxa"/>
        <w:tblCellMar>
          <w:left w:w="70" w:type="dxa"/>
          <w:right w:w="70" w:type="dxa"/>
        </w:tblCellMar>
        <w:tblLook w:val="04A0"/>
      </w:tblPr>
      <w:tblGrid>
        <w:gridCol w:w="500"/>
        <w:gridCol w:w="4677"/>
        <w:gridCol w:w="1276"/>
        <w:gridCol w:w="1418"/>
        <w:gridCol w:w="1275"/>
      </w:tblGrid>
      <w:tr>
        <w:tblPrEx>
          <w:tblW w:w="9087" w:type="dxa"/>
          <w:tblInd w:w="55" w:type="dxa"/>
          <w:tblCellMar>
            <w:left w:w="70" w:type="dxa"/>
            <w:right w:w="70" w:type="dxa"/>
          </w:tblCellMar>
          <w:tblLook w:val="04A0"/>
        </w:tblPrEx>
        <w:trPr>
          <w:trHeight w:val="345"/>
        </w:trPr>
        <w:tc>
          <w:tcPr>
            <w:tcW w:w="441"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677"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Štátny rozpočet (VPS) – príjmy (v tis. eur)</w:t>
            </w:r>
          </w:p>
        </w:tc>
        <w:tc>
          <w:tcPr>
            <w:tcW w:w="3969" w:type="dxa"/>
            <w:gridSpan w:val="3"/>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štátny rozpočet (ESA95)</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677" w:type="dxa"/>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1276"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275"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príjmy</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-764</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-768</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-777</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110</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-764</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-768</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-777</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111</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fyzickej osoby</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-5</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-1</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-2</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112</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právnickej osoby</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113</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vyberaná zrážkou</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-759</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-767</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-775</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130</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za tovary a služby</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bl>
    <w:p w:rsidR="00542DBA" w:rsidP="00542DBA">
      <w:pPr>
        <w:autoSpaceDE w:val="0"/>
        <w:autoSpaceDN w:val="0"/>
        <w:bidi w:val="0"/>
        <w:adjustRightInd w:val="0"/>
        <w:jc w:val="both"/>
        <w:rPr>
          <w:rFonts w:ascii="Times New Roman" w:hAnsi="Times New Roman"/>
          <w:b/>
        </w:rPr>
      </w:pPr>
    </w:p>
    <w:p w:rsidR="00542DBA" w:rsidRPr="0012245E" w:rsidP="00542DBA">
      <w:pPr>
        <w:autoSpaceDE w:val="0"/>
        <w:autoSpaceDN w:val="0"/>
        <w:bidi w:val="0"/>
        <w:adjustRightInd w:val="0"/>
        <w:jc w:val="both"/>
        <w:rPr>
          <w:rFonts w:ascii="Times New Roman" w:hAnsi="Times New Roman"/>
          <w:b/>
        </w:rPr>
      </w:pPr>
    </w:p>
    <w:tbl>
      <w:tblPr>
        <w:tblStyle w:val="TableNormal"/>
        <w:tblW w:w="9157" w:type="dxa"/>
        <w:tblInd w:w="55" w:type="dxa"/>
        <w:tblLayout w:type="fixed"/>
        <w:tblCellMar>
          <w:left w:w="70" w:type="dxa"/>
          <w:right w:w="70" w:type="dxa"/>
        </w:tblCellMar>
        <w:tblLook w:val="04A0"/>
      </w:tblPr>
      <w:tblGrid>
        <w:gridCol w:w="441"/>
        <w:gridCol w:w="4629"/>
        <w:gridCol w:w="1324"/>
        <w:gridCol w:w="1380"/>
        <w:gridCol w:w="1383"/>
      </w:tblGrid>
      <w:tr>
        <w:tblPrEx>
          <w:tblW w:w="9157" w:type="dxa"/>
          <w:tblInd w:w="55" w:type="dxa"/>
          <w:tblLayout w:type="fixed"/>
          <w:tblCellMar>
            <w:left w:w="70" w:type="dxa"/>
            <w:right w:w="70" w:type="dxa"/>
          </w:tblCellMar>
          <w:tblLook w:val="04A0"/>
        </w:tblPrEx>
        <w:trPr>
          <w:trHeight w:val="345"/>
        </w:trPr>
        <w:tc>
          <w:tcPr>
            <w:tcW w:w="441"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629"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obcí - príjmy (v tis. eur)</w:t>
            </w:r>
          </w:p>
        </w:tc>
        <w:tc>
          <w:tcPr>
            <w:tcW w:w="4087" w:type="dxa"/>
            <w:gridSpan w:val="3"/>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obcí (ESA95)</w:t>
            </w:r>
          </w:p>
        </w:tc>
      </w:tr>
      <w:tr>
        <w:tblPrEx>
          <w:tblW w:w="915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629" w:type="dxa"/>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1324"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380"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383"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15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62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príjmy</w:t>
            </w:r>
          </w:p>
        </w:tc>
        <w:tc>
          <w:tcPr>
            <w:tcW w:w="132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138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-6</w:t>
            </w:r>
          </w:p>
        </w:tc>
        <w:tc>
          <w:tcPr>
            <w:tcW w:w="1383"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-7</w:t>
            </w:r>
          </w:p>
        </w:tc>
      </w:tr>
      <w:tr>
        <w:tblPrEx>
          <w:tblW w:w="915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110</w:t>
            </w:r>
          </w:p>
        </w:tc>
        <w:tc>
          <w:tcPr>
            <w:tcW w:w="462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32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38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-6</w:t>
            </w:r>
          </w:p>
        </w:tc>
        <w:tc>
          <w:tcPr>
            <w:tcW w:w="1383"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w:t>
            </w:r>
          </w:p>
        </w:tc>
      </w:tr>
      <w:tr>
        <w:tblPrEx>
          <w:tblW w:w="915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111003</w:t>
            </w:r>
          </w:p>
        </w:tc>
        <w:tc>
          <w:tcPr>
            <w:tcW w:w="462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fyzickej osoby</w:t>
            </w:r>
          </w:p>
        </w:tc>
        <w:tc>
          <w:tcPr>
            <w:tcW w:w="132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38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-6</w:t>
            </w:r>
          </w:p>
        </w:tc>
        <w:tc>
          <w:tcPr>
            <w:tcW w:w="1383"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w:t>
            </w:r>
          </w:p>
        </w:tc>
      </w:tr>
    </w:tbl>
    <w:p w:rsidR="00542DBA" w:rsidP="00542DBA">
      <w:pPr>
        <w:autoSpaceDE w:val="0"/>
        <w:autoSpaceDN w:val="0"/>
        <w:bidi w:val="0"/>
        <w:adjustRightInd w:val="0"/>
        <w:jc w:val="both"/>
        <w:rPr>
          <w:rFonts w:ascii="Times New Roman" w:hAnsi="Times New Roman"/>
          <w:b/>
        </w:rPr>
      </w:pPr>
    </w:p>
    <w:p w:rsidR="00542DBA" w:rsidRPr="0012245E" w:rsidP="00542DBA">
      <w:pPr>
        <w:autoSpaceDE w:val="0"/>
        <w:autoSpaceDN w:val="0"/>
        <w:bidi w:val="0"/>
        <w:adjustRightInd w:val="0"/>
        <w:jc w:val="both"/>
        <w:rPr>
          <w:rFonts w:ascii="Times New Roman" w:hAnsi="Times New Roman"/>
          <w:b/>
        </w:rPr>
      </w:pPr>
    </w:p>
    <w:tbl>
      <w:tblPr>
        <w:tblStyle w:val="TableNormal"/>
        <w:tblW w:w="9087" w:type="dxa"/>
        <w:tblInd w:w="55" w:type="dxa"/>
        <w:tblLayout w:type="fixed"/>
        <w:tblCellMar>
          <w:left w:w="70" w:type="dxa"/>
          <w:right w:w="70" w:type="dxa"/>
        </w:tblCellMar>
        <w:tblLook w:val="04A0"/>
      </w:tblPr>
      <w:tblGrid>
        <w:gridCol w:w="441"/>
        <w:gridCol w:w="4677"/>
        <w:gridCol w:w="1276"/>
        <w:gridCol w:w="1418"/>
        <w:gridCol w:w="1275"/>
      </w:tblGrid>
      <w:tr>
        <w:tblPrEx>
          <w:tblW w:w="9087" w:type="dxa"/>
          <w:tblInd w:w="55" w:type="dxa"/>
          <w:tblLayout w:type="fixed"/>
          <w:tblCellMar>
            <w:left w:w="70" w:type="dxa"/>
            <w:right w:w="70" w:type="dxa"/>
          </w:tblCellMar>
          <w:tblLook w:val="04A0"/>
        </w:tblPrEx>
        <w:trPr>
          <w:trHeight w:val="345"/>
        </w:trPr>
        <w:tc>
          <w:tcPr>
            <w:tcW w:w="441"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677"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VÚC - príjmy (v tis. eur)</w:t>
            </w:r>
          </w:p>
        </w:tc>
        <w:tc>
          <w:tcPr>
            <w:tcW w:w="3969" w:type="dxa"/>
            <w:gridSpan w:val="3"/>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VÚC (ESA95)</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677" w:type="dxa"/>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1276"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275"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príjmy</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-2</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110</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-2</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-2</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111003</w:t>
            </w:r>
          </w:p>
        </w:tc>
        <w:tc>
          <w:tcPr>
            <w:tcW w:w="467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fyzickej osoby</w:t>
            </w:r>
          </w:p>
        </w:tc>
        <w:tc>
          <w:tcPr>
            <w:tcW w:w="127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-2</w:t>
            </w:r>
          </w:p>
        </w:tc>
        <w:tc>
          <w:tcPr>
            <w:tcW w:w="1275"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-2</w:t>
            </w:r>
          </w:p>
        </w:tc>
      </w:tr>
    </w:tbl>
    <w:p w:rsidR="00542DBA" w:rsidRPr="0012245E" w:rsidP="00542DBA">
      <w:pPr>
        <w:autoSpaceDE w:val="0"/>
        <w:autoSpaceDN w:val="0"/>
        <w:bidi w:val="0"/>
        <w:adjustRightInd w:val="0"/>
        <w:jc w:val="both"/>
        <w:rPr>
          <w:rFonts w:ascii="Times New Roman" w:hAnsi="Times New Roman"/>
          <w:b/>
        </w:rPr>
      </w:pPr>
    </w:p>
    <w:tbl>
      <w:tblPr>
        <w:tblStyle w:val="TableNormal"/>
        <w:tblW w:w="9148" w:type="dxa"/>
        <w:tblInd w:w="55" w:type="dxa"/>
        <w:tblCellMar>
          <w:left w:w="70" w:type="dxa"/>
          <w:right w:w="70" w:type="dxa"/>
        </w:tblCellMar>
        <w:tblLook w:val="04A0"/>
      </w:tblPr>
      <w:tblGrid>
        <w:gridCol w:w="576"/>
        <w:gridCol w:w="4424"/>
        <w:gridCol w:w="1251"/>
        <w:gridCol w:w="1499"/>
        <w:gridCol w:w="1407"/>
      </w:tblGrid>
      <w:tr>
        <w:tblPrEx>
          <w:tblW w:w="9148" w:type="dxa"/>
          <w:tblInd w:w="55" w:type="dxa"/>
          <w:tblCellMar>
            <w:left w:w="70" w:type="dxa"/>
            <w:right w:w="70" w:type="dxa"/>
          </w:tblCellMar>
          <w:tblLook w:val="04A0"/>
        </w:tblPrEx>
        <w:trPr>
          <w:trHeight w:val="330"/>
        </w:trPr>
        <w:tc>
          <w:tcPr>
            <w:tcW w:w="502"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459" w:type="dxa"/>
            <w:vMerge w:val="restart"/>
            <w:tcBorders>
              <w:top w:val="single" w:sz="8" w:space="0" w:color="auto"/>
              <w:left w:val="nil"/>
              <w:bottom w:val="single" w:sz="8" w:space="0" w:color="000000"/>
              <w:right w:val="nil"/>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Sociálnej poisťovne - príjmy (v tis. eur)</w:t>
            </w:r>
          </w:p>
        </w:tc>
        <w:tc>
          <w:tcPr>
            <w:tcW w:w="4187" w:type="dxa"/>
            <w:gridSpan w:val="3"/>
            <w:tcBorders>
              <w:top w:val="single" w:sz="8" w:space="0" w:color="auto"/>
              <w:left w:val="nil"/>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Sociálnej poisťovne (ESA95)</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459"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260"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10"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148" w:type="dxa"/>
          <w:tblInd w:w="55" w:type="dxa"/>
          <w:tblCellMar>
            <w:left w:w="70" w:type="dxa"/>
            <w:right w:w="70" w:type="dxa"/>
          </w:tblCellMar>
          <w:tblLook w:val="04A0"/>
        </w:tblPrEx>
        <w:trPr>
          <w:trHeight w:val="345"/>
        </w:trPr>
        <w:tc>
          <w:tcPr>
            <w:tcW w:w="502" w:type="dxa"/>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150</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Poistné</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148" w:type="dxa"/>
          <w:tblInd w:w="55" w:type="dxa"/>
          <w:tblCellMar>
            <w:left w:w="70" w:type="dxa"/>
            <w:right w:w="70" w:type="dxa"/>
          </w:tblCellMar>
          <w:tblLook w:val="04A0"/>
        </w:tblPrEx>
        <w:trPr>
          <w:trHeight w:val="43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151-153, 155-158</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Sociálne poistenie</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bl>
    <w:p w:rsidR="00542DBA" w:rsidRPr="0012245E" w:rsidP="00542DBA">
      <w:pPr>
        <w:autoSpaceDE w:val="0"/>
        <w:autoSpaceDN w:val="0"/>
        <w:bidi w:val="0"/>
        <w:adjustRightInd w:val="0"/>
        <w:jc w:val="both"/>
        <w:rPr>
          <w:rFonts w:ascii="Times New Roman" w:hAnsi="Times New Roman"/>
          <w:b/>
        </w:rPr>
      </w:pPr>
    </w:p>
    <w:tbl>
      <w:tblPr>
        <w:tblStyle w:val="TableNormal"/>
        <w:tblW w:w="9087" w:type="dxa"/>
        <w:tblInd w:w="55" w:type="dxa"/>
        <w:tblCellMar>
          <w:left w:w="70" w:type="dxa"/>
          <w:right w:w="70" w:type="dxa"/>
        </w:tblCellMar>
        <w:tblLook w:val="04A0"/>
      </w:tblPr>
      <w:tblGrid>
        <w:gridCol w:w="500"/>
        <w:gridCol w:w="4459"/>
        <w:gridCol w:w="1260"/>
        <w:gridCol w:w="1510"/>
        <w:gridCol w:w="1417"/>
      </w:tblGrid>
      <w:tr>
        <w:tblPrEx>
          <w:tblW w:w="9087" w:type="dxa"/>
          <w:tblInd w:w="55" w:type="dxa"/>
          <w:tblCellMar>
            <w:left w:w="70" w:type="dxa"/>
            <w:right w:w="70" w:type="dxa"/>
          </w:tblCellMar>
          <w:tblLook w:val="04A0"/>
        </w:tblPrEx>
        <w:trPr>
          <w:trHeight w:val="330"/>
        </w:trPr>
        <w:tc>
          <w:tcPr>
            <w:tcW w:w="441"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459" w:type="dxa"/>
            <w:vMerge w:val="restart"/>
            <w:tcBorders>
              <w:top w:val="single" w:sz="8" w:space="0" w:color="auto"/>
              <w:left w:val="nil"/>
              <w:bottom w:val="single" w:sz="8" w:space="0" w:color="000000"/>
              <w:right w:val="nil"/>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zdravotných poisťovní - príjmy (v tis. eur)</w:t>
            </w:r>
          </w:p>
        </w:tc>
        <w:tc>
          <w:tcPr>
            <w:tcW w:w="4187" w:type="dxa"/>
            <w:gridSpan w:val="3"/>
            <w:tcBorders>
              <w:top w:val="single" w:sz="8" w:space="0" w:color="auto"/>
              <w:left w:val="nil"/>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zdravotných poisťovní (ESA95)</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459"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260"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10"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color w:val="000000"/>
              </w:rPr>
            </w:pPr>
            <w:r w:rsidRPr="0012245E">
              <w:rPr>
                <w:rFonts w:ascii="Times New Roman" w:hAnsi="Times New Roman"/>
                <w:b/>
                <w:color w:val="000000"/>
              </w:rPr>
              <w:t>0</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150</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Poistné</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154</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Zdravotné poistenie</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bl>
    <w:p w:rsidR="00542DBA" w:rsidRPr="0012245E" w:rsidP="00542DBA">
      <w:pPr>
        <w:autoSpaceDE w:val="0"/>
        <w:autoSpaceDN w:val="0"/>
        <w:bidi w:val="0"/>
        <w:adjustRightInd w:val="0"/>
        <w:jc w:val="both"/>
        <w:rPr>
          <w:rFonts w:ascii="Times New Roman" w:hAnsi="Times New Roman"/>
          <w:b/>
        </w:rPr>
      </w:pPr>
    </w:p>
    <w:tbl>
      <w:tblPr>
        <w:tblStyle w:val="TableNormal"/>
        <w:tblW w:w="9148" w:type="dxa"/>
        <w:tblInd w:w="55" w:type="dxa"/>
        <w:tblCellMar>
          <w:left w:w="70" w:type="dxa"/>
          <w:right w:w="70" w:type="dxa"/>
        </w:tblCellMar>
        <w:tblLook w:val="04A0"/>
      </w:tblPr>
      <w:tblGrid>
        <w:gridCol w:w="576"/>
        <w:gridCol w:w="4424"/>
        <w:gridCol w:w="1251"/>
        <w:gridCol w:w="1499"/>
        <w:gridCol w:w="1407"/>
      </w:tblGrid>
      <w:tr>
        <w:tblPrEx>
          <w:tblW w:w="9148" w:type="dxa"/>
          <w:tblInd w:w="55" w:type="dxa"/>
          <w:tblCellMar>
            <w:left w:w="70" w:type="dxa"/>
            <w:right w:w="70" w:type="dxa"/>
          </w:tblCellMar>
          <w:tblLook w:val="04A0"/>
        </w:tblPrEx>
        <w:trPr>
          <w:trHeight w:val="330"/>
        </w:trPr>
        <w:tc>
          <w:tcPr>
            <w:tcW w:w="502"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459" w:type="dxa"/>
            <w:vMerge w:val="restart"/>
            <w:tcBorders>
              <w:top w:val="single" w:sz="8" w:space="0" w:color="auto"/>
              <w:left w:val="nil"/>
              <w:bottom w:val="single" w:sz="8" w:space="0" w:color="000000"/>
              <w:right w:val="nil"/>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verejnej správy - (v tis. eur)</w:t>
            </w:r>
          </w:p>
        </w:tc>
        <w:tc>
          <w:tcPr>
            <w:tcW w:w="4187" w:type="dxa"/>
            <w:gridSpan w:val="3"/>
            <w:tcBorders>
              <w:top w:val="single" w:sz="8" w:space="0" w:color="auto"/>
              <w:left w:val="nil"/>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verejnej správy (ESA95)</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459"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260"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10"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148" w:type="dxa"/>
          <w:tblInd w:w="55" w:type="dxa"/>
          <w:tblCellMar>
            <w:left w:w="70" w:type="dxa"/>
            <w:right w:w="70" w:type="dxa"/>
          </w:tblCellMar>
          <w:tblLook w:val="04A0"/>
        </w:tblPrEx>
        <w:trPr>
          <w:trHeight w:val="345"/>
        </w:trPr>
        <w:tc>
          <w:tcPr>
            <w:tcW w:w="502" w:type="dxa"/>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-764</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-777</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-786</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110</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-764</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-777</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-786</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111</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fyzickej osoby</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-5</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-10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-10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112</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právnických osôb</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113</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vyberaná zrážkou</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-759</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-767</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-775</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150</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Poistné</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148" w:type="dxa"/>
          <w:tblInd w:w="55" w:type="dxa"/>
          <w:tblCellMar>
            <w:left w:w="70" w:type="dxa"/>
            <w:right w:w="70" w:type="dxa"/>
          </w:tblCellMar>
          <w:tblLook w:val="04A0"/>
        </w:tblPrEx>
        <w:trPr>
          <w:trHeight w:val="43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151-153, 155-158</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Sociálne poistenie</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154</w:t>
            </w:r>
          </w:p>
        </w:tc>
        <w:tc>
          <w:tcPr>
            <w:tcW w:w="44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Zdravotné poistenie</w:t>
            </w:r>
          </w:p>
        </w:tc>
        <w:tc>
          <w:tcPr>
            <w:tcW w:w="126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10"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bl>
    <w:p w:rsidR="00542DBA" w:rsidP="00542DBA">
      <w:pPr>
        <w:autoSpaceDE w:val="0"/>
        <w:autoSpaceDN w:val="0"/>
        <w:bidi w:val="0"/>
        <w:adjustRightInd w:val="0"/>
        <w:jc w:val="both"/>
        <w:rPr>
          <w:rFonts w:ascii="Times New Roman" w:hAnsi="Times New Roman"/>
          <w:b/>
        </w:rPr>
      </w:pPr>
    </w:p>
    <w:tbl>
      <w:tblPr>
        <w:tblStyle w:val="TableNormal"/>
        <w:tblW w:w="9146" w:type="dxa"/>
        <w:tblInd w:w="55" w:type="dxa"/>
        <w:tblCellMar>
          <w:left w:w="70" w:type="dxa"/>
          <w:right w:w="70" w:type="dxa"/>
        </w:tblCellMar>
        <w:tblLook w:val="04A0"/>
      </w:tblPr>
      <w:tblGrid>
        <w:gridCol w:w="500"/>
        <w:gridCol w:w="4536"/>
        <w:gridCol w:w="1134"/>
        <w:gridCol w:w="141"/>
        <w:gridCol w:w="1418"/>
        <w:gridCol w:w="1417"/>
      </w:tblGrid>
      <w:tr>
        <w:tblPrEx>
          <w:tblW w:w="9146" w:type="dxa"/>
          <w:tblInd w:w="55" w:type="dxa"/>
          <w:tblCellMar>
            <w:left w:w="70" w:type="dxa"/>
            <w:right w:w="70" w:type="dxa"/>
          </w:tblCellMar>
          <w:tblLook w:val="04A0"/>
        </w:tblPrEx>
        <w:trPr>
          <w:trHeight w:val="345"/>
        </w:trPr>
        <w:tc>
          <w:tcPr>
            <w:tcW w:w="500"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Štátny rozpočet (VPS) - príjmy (v tis. eur)</w:t>
            </w:r>
          </w:p>
        </w:tc>
        <w:tc>
          <w:tcPr>
            <w:tcW w:w="4110" w:type="dxa"/>
            <w:gridSpan w:val="4"/>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štátny rozpočet (cash)</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59" w:type="dxa"/>
            <w:gridSpan w:val="2"/>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príjmy</w:t>
            </w:r>
          </w:p>
        </w:tc>
        <w:tc>
          <w:tcPr>
            <w:tcW w:w="1275" w:type="dxa"/>
            <w:gridSpan w:val="2"/>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-6 101</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-768</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-776</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110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275" w:type="dxa"/>
            <w:gridSpan w:val="2"/>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i/>
                <w:color w:val="000000"/>
              </w:rPr>
            </w:pPr>
            <w:r w:rsidRPr="0012245E">
              <w:rPr>
                <w:rFonts w:ascii="Times New Roman" w:hAnsi="Times New Roman"/>
                <w:bCs/>
                <w:i/>
                <w:color w:val="000000"/>
              </w:rPr>
              <w:t>-6 101</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i/>
                <w:color w:val="000000"/>
              </w:rPr>
            </w:pPr>
            <w:r w:rsidRPr="0012245E">
              <w:rPr>
                <w:rFonts w:ascii="Times New Roman" w:hAnsi="Times New Roman"/>
                <w:bCs/>
                <w:i/>
                <w:color w:val="000000"/>
              </w:rPr>
              <w:t>-768</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i/>
                <w:color w:val="000000"/>
              </w:rPr>
            </w:pPr>
            <w:r w:rsidRPr="0012245E">
              <w:rPr>
                <w:rFonts w:ascii="Times New Roman" w:hAnsi="Times New Roman"/>
                <w:bCs/>
                <w:i/>
                <w:color w:val="000000"/>
              </w:rPr>
              <w:t>-776</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111</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fyzickej osoby</w:t>
            </w:r>
          </w:p>
        </w:tc>
        <w:tc>
          <w:tcPr>
            <w:tcW w:w="1275" w:type="dxa"/>
            <w:gridSpan w:val="2"/>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-1</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-1</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112</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právnickej osoby</w:t>
            </w:r>
          </w:p>
        </w:tc>
        <w:tc>
          <w:tcPr>
            <w:tcW w:w="1275" w:type="dxa"/>
            <w:gridSpan w:val="2"/>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-5 342</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113</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vyberaná zrážkou</w:t>
            </w:r>
          </w:p>
        </w:tc>
        <w:tc>
          <w:tcPr>
            <w:tcW w:w="1275" w:type="dxa"/>
            <w:gridSpan w:val="2"/>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-759</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-767</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-775</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130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za tovary a služby</w:t>
            </w:r>
          </w:p>
        </w:tc>
        <w:tc>
          <w:tcPr>
            <w:tcW w:w="1275" w:type="dxa"/>
            <w:gridSpan w:val="2"/>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8"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bl>
    <w:p w:rsidR="00542DBA" w:rsidRPr="0012245E" w:rsidP="00542DBA">
      <w:pPr>
        <w:autoSpaceDE w:val="0"/>
        <w:autoSpaceDN w:val="0"/>
        <w:bidi w:val="0"/>
        <w:adjustRightInd w:val="0"/>
        <w:jc w:val="both"/>
        <w:rPr>
          <w:rFonts w:ascii="Times New Roman" w:hAnsi="Times New Roman"/>
          <w:b/>
        </w:rPr>
      </w:pPr>
    </w:p>
    <w:tbl>
      <w:tblPr>
        <w:tblStyle w:val="TableNormal"/>
        <w:tblW w:w="9087" w:type="dxa"/>
        <w:tblInd w:w="55" w:type="dxa"/>
        <w:tblLayout w:type="fixed"/>
        <w:tblCellMar>
          <w:left w:w="70" w:type="dxa"/>
          <w:right w:w="70" w:type="dxa"/>
        </w:tblCellMar>
        <w:tblLook w:val="04A0"/>
      </w:tblPr>
      <w:tblGrid>
        <w:gridCol w:w="441"/>
        <w:gridCol w:w="4536"/>
        <w:gridCol w:w="1134"/>
        <w:gridCol w:w="1559"/>
        <w:gridCol w:w="1417"/>
      </w:tblGrid>
      <w:tr>
        <w:tblPrEx>
          <w:tblW w:w="9087" w:type="dxa"/>
          <w:tblInd w:w="55" w:type="dxa"/>
          <w:tblLayout w:type="fixed"/>
          <w:tblCellMar>
            <w:left w:w="70" w:type="dxa"/>
            <w:right w:w="70" w:type="dxa"/>
          </w:tblCellMar>
          <w:tblLook w:val="04A0"/>
        </w:tblPrEx>
        <w:trPr>
          <w:trHeight w:val="345"/>
        </w:trPr>
        <w:tc>
          <w:tcPr>
            <w:tcW w:w="441"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obcí - príjmy (v tis. eur)</w:t>
            </w:r>
          </w:p>
        </w:tc>
        <w:tc>
          <w:tcPr>
            <w:tcW w:w="2693" w:type="dxa"/>
            <w:gridSpan w:val="2"/>
            <w:tcBorders>
              <w:top w:val="single" w:sz="8" w:space="0" w:color="auto"/>
              <w:left w:val="single" w:sz="8" w:space="0" w:color="auto"/>
              <w:bottom w:val="single" w:sz="8" w:space="0" w:color="auto"/>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obcí (cash)</w:t>
            </w:r>
          </w:p>
        </w:tc>
        <w:tc>
          <w:tcPr>
            <w:tcW w:w="1417" w:type="dxa"/>
            <w:tcBorders>
              <w:top w:val="single" w:sz="8" w:space="0" w:color="auto"/>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59"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príjmy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110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-6</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-7</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111003</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fyzickej osoby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-6</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-7</w:t>
            </w:r>
          </w:p>
        </w:tc>
      </w:tr>
    </w:tbl>
    <w:p w:rsidR="00542DBA" w:rsidP="00542DBA">
      <w:pPr>
        <w:autoSpaceDE w:val="0"/>
        <w:autoSpaceDN w:val="0"/>
        <w:bidi w:val="0"/>
        <w:adjustRightInd w:val="0"/>
        <w:jc w:val="both"/>
        <w:rPr>
          <w:rFonts w:ascii="Times New Roman" w:hAnsi="Times New Roman"/>
          <w:b/>
        </w:rPr>
      </w:pPr>
    </w:p>
    <w:tbl>
      <w:tblPr>
        <w:tblStyle w:val="TableNormal"/>
        <w:tblW w:w="9087" w:type="dxa"/>
        <w:tblInd w:w="55" w:type="dxa"/>
        <w:tblLayout w:type="fixed"/>
        <w:tblCellMar>
          <w:left w:w="70" w:type="dxa"/>
          <w:right w:w="70" w:type="dxa"/>
        </w:tblCellMar>
        <w:tblLook w:val="04A0"/>
      </w:tblPr>
      <w:tblGrid>
        <w:gridCol w:w="441"/>
        <w:gridCol w:w="4536"/>
        <w:gridCol w:w="1134"/>
        <w:gridCol w:w="1559"/>
        <w:gridCol w:w="1417"/>
      </w:tblGrid>
      <w:tr>
        <w:tblPrEx>
          <w:tblW w:w="9087" w:type="dxa"/>
          <w:tblInd w:w="55" w:type="dxa"/>
          <w:tblLayout w:type="fixed"/>
          <w:tblCellMar>
            <w:left w:w="70" w:type="dxa"/>
            <w:right w:w="70" w:type="dxa"/>
          </w:tblCellMar>
          <w:tblLook w:val="04A0"/>
        </w:tblPrEx>
        <w:trPr>
          <w:trHeight w:val="345"/>
        </w:trPr>
        <w:tc>
          <w:tcPr>
            <w:tcW w:w="441"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VÚC - príjmy (v tis. eur)</w:t>
            </w:r>
          </w:p>
        </w:tc>
        <w:tc>
          <w:tcPr>
            <w:tcW w:w="2693" w:type="dxa"/>
            <w:gridSpan w:val="2"/>
            <w:tcBorders>
              <w:top w:val="single" w:sz="8" w:space="0" w:color="auto"/>
              <w:left w:val="single" w:sz="8" w:space="0" w:color="auto"/>
              <w:bottom w:val="single" w:sz="8" w:space="0" w:color="auto"/>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VÚC (cash)</w:t>
            </w:r>
          </w:p>
        </w:tc>
        <w:tc>
          <w:tcPr>
            <w:tcW w:w="1417" w:type="dxa"/>
            <w:tcBorders>
              <w:top w:val="single" w:sz="8" w:space="0" w:color="auto"/>
              <w:left w:val="nil"/>
              <w:bottom w:val="single" w:sz="8" w:space="0" w:color="auto"/>
              <w:right w:val="single" w:sz="8" w:space="0" w:color="000000"/>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single" w:sz="8" w:space="0" w:color="auto"/>
              <w:bottom w:val="single" w:sz="8" w:space="0" w:color="000000"/>
              <w:right w:val="single" w:sz="8" w:space="0" w:color="auto"/>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59"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príjmy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-2</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-2</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110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-2</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-2</w:t>
            </w:r>
          </w:p>
        </w:tc>
      </w:tr>
      <w:tr>
        <w:tblPrEx>
          <w:tblW w:w="9087" w:type="dxa"/>
          <w:tblInd w:w="55" w:type="dxa"/>
          <w:tblLayout w:type="fixed"/>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111003</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fyzickej osoby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-2</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-2</w:t>
            </w:r>
          </w:p>
        </w:tc>
      </w:tr>
    </w:tbl>
    <w:p w:rsidR="00542DBA" w:rsidRPr="0012245E" w:rsidP="00542DBA">
      <w:pPr>
        <w:autoSpaceDE w:val="0"/>
        <w:autoSpaceDN w:val="0"/>
        <w:bidi w:val="0"/>
        <w:adjustRightInd w:val="0"/>
        <w:jc w:val="both"/>
        <w:rPr>
          <w:rFonts w:ascii="Times New Roman" w:hAnsi="Times New Roman"/>
          <w:b/>
        </w:rPr>
      </w:pPr>
    </w:p>
    <w:tbl>
      <w:tblPr>
        <w:tblStyle w:val="TableNormal"/>
        <w:tblW w:w="9148" w:type="dxa"/>
        <w:tblInd w:w="55" w:type="dxa"/>
        <w:tblCellMar>
          <w:left w:w="70" w:type="dxa"/>
          <w:right w:w="70" w:type="dxa"/>
        </w:tblCellMar>
        <w:tblLook w:val="04A0"/>
      </w:tblPr>
      <w:tblGrid>
        <w:gridCol w:w="576"/>
        <w:gridCol w:w="4500"/>
        <w:gridCol w:w="1126"/>
        <w:gridCol w:w="1548"/>
        <w:gridCol w:w="1407"/>
      </w:tblGrid>
      <w:tr>
        <w:tblPrEx>
          <w:tblW w:w="9148" w:type="dxa"/>
          <w:tblInd w:w="55" w:type="dxa"/>
          <w:tblCellMar>
            <w:left w:w="70" w:type="dxa"/>
            <w:right w:w="70" w:type="dxa"/>
          </w:tblCellMar>
          <w:tblLook w:val="04A0"/>
        </w:tblPrEx>
        <w:trPr>
          <w:trHeight w:val="330"/>
        </w:trPr>
        <w:tc>
          <w:tcPr>
            <w:tcW w:w="502"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nil"/>
              <w:bottom w:val="single" w:sz="8" w:space="0" w:color="000000"/>
              <w:right w:val="nil"/>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Sociálnej poisťovne - príjmy (v tis. eur)</w:t>
            </w:r>
          </w:p>
        </w:tc>
        <w:tc>
          <w:tcPr>
            <w:tcW w:w="4110" w:type="dxa"/>
            <w:gridSpan w:val="3"/>
            <w:tcBorders>
              <w:top w:val="single" w:sz="8" w:space="0" w:color="auto"/>
              <w:left w:val="nil"/>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Sociálnej poisťovne (cash)</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59"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148" w:type="dxa"/>
          <w:tblInd w:w="55" w:type="dxa"/>
          <w:tblCellMar>
            <w:left w:w="70" w:type="dxa"/>
            <w:right w:w="70" w:type="dxa"/>
          </w:tblCellMar>
          <w:tblLook w:val="04A0"/>
        </w:tblPrEx>
        <w:trPr>
          <w:trHeight w:val="345"/>
        </w:trPr>
        <w:tc>
          <w:tcPr>
            <w:tcW w:w="502" w:type="dxa"/>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559"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150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Poistné</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9148" w:type="dxa"/>
          <w:tblInd w:w="55" w:type="dxa"/>
          <w:tblCellMar>
            <w:left w:w="70" w:type="dxa"/>
            <w:right w:w="70" w:type="dxa"/>
          </w:tblCellMar>
          <w:tblLook w:val="04A0"/>
        </w:tblPrEx>
        <w:trPr>
          <w:trHeight w:val="43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151-153, 155-158</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Sociálne poistenie</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bl>
    <w:p w:rsidR="00542DBA" w:rsidRPr="0012245E" w:rsidP="00542DBA">
      <w:pPr>
        <w:autoSpaceDE w:val="0"/>
        <w:autoSpaceDN w:val="0"/>
        <w:bidi w:val="0"/>
        <w:adjustRightInd w:val="0"/>
        <w:jc w:val="both"/>
        <w:rPr>
          <w:rFonts w:ascii="Times New Roman" w:hAnsi="Times New Roman"/>
          <w:b/>
        </w:rPr>
      </w:pPr>
    </w:p>
    <w:tbl>
      <w:tblPr>
        <w:tblStyle w:val="TableNormal"/>
        <w:tblW w:w="9148" w:type="dxa"/>
        <w:tblInd w:w="55" w:type="dxa"/>
        <w:tblCellMar>
          <w:left w:w="70" w:type="dxa"/>
          <w:right w:w="70" w:type="dxa"/>
        </w:tblCellMar>
        <w:tblLook w:val="04A0"/>
      </w:tblPr>
      <w:tblGrid>
        <w:gridCol w:w="576"/>
        <w:gridCol w:w="4500"/>
        <w:gridCol w:w="1126"/>
        <w:gridCol w:w="1548"/>
        <w:gridCol w:w="1407"/>
      </w:tblGrid>
      <w:tr>
        <w:tblPrEx>
          <w:tblW w:w="9148" w:type="dxa"/>
          <w:tblInd w:w="55" w:type="dxa"/>
          <w:tblCellMar>
            <w:left w:w="70" w:type="dxa"/>
            <w:right w:w="70" w:type="dxa"/>
          </w:tblCellMar>
          <w:tblLook w:val="04A0"/>
        </w:tblPrEx>
        <w:trPr>
          <w:trHeight w:val="330"/>
        </w:trPr>
        <w:tc>
          <w:tcPr>
            <w:tcW w:w="502"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nil"/>
              <w:bottom w:val="single" w:sz="8" w:space="0" w:color="000000"/>
              <w:right w:val="nil"/>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zdravotných poisťovní - príjmy (v tis. eur)</w:t>
            </w:r>
          </w:p>
        </w:tc>
        <w:tc>
          <w:tcPr>
            <w:tcW w:w="4110" w:type="dxa"/>
            <w:gridSpan w:val="3"/>
            <w:tcBorders>
              <w:top w:val="single" w:sz="8" w:space="0" w:color="auto"/>
              <w:left w:val="nil"/>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zdravotných poisťovní (cash)</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59"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148" w:type="dxa"/>
          <w:tblInd w:w="55" w:type="dxa"/>
          <w:tblCellMar>
            <w:left w:w="70" w:type="dxa"/>
            <w:right w:w="70" w:type="dxa"/>
          </w:tblCellMar>
          <w:tblLook w:val="04A0"/>
        </w:tblPrEx>
        <w:trPr>
          <w:trHeight w:val="345"/>
        </w:trPr>
        <w:tc>
          <w:tcPr>
            <w:tcW w:w="502" w:type="dxa"/>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559"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150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Poistné</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154</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Zdravotné poistenie</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9148" w:type="dxa"/>
          <w:tblInd w:w="55" w:type="dxa"/>
          <w:tblCellMar>
            <w:left w:w="70" w:type="dxa"/>
            <w:right w:w="70" w:type="dxa"/>
          </w:tblCellMar>
          <w:tblLook w:val="04A0"/>
        </w:tblPrEx>
        <w:trPr>
          <w:trHeight w:val="487"/>
        </w:trPr>
        <w:tc>
          <w:tcPr>
            <w:tcW w:w="502"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p>
          <w:p w:rsidR="00542DBA" w:rsidRPr="0012245E" w:rsidP="00542DBA">
            <w:pPr>
              <w:bidi w:val="0"/>
              <w:rPr>
                <w:rFonts w:ascii="Times New Roman" w:hAnsi="Times New Roman"/>
                <w:b/>
                <w:bCs/>
                <w:color w:val="FFFFFF"/>
              </w:rPr>
            </w:pPr>
          </w:p>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nil"/>
              <w:bottom w:val="single" w:sz="8" w:space="0" w:color="000000"/>
              <w:right w:val="nil"/>
            </w:tcBorders>
            <w:shd w:val="clear" w:color="000000" w:fill="000000"/>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verejnej správy - (v tis. eur)</w:t>
            </w:r>
          </w:p>
        </w:tc>
        <w:tc>
          <w:tcPr>
            <w:tcW w:w="4110" w:type="dxa"/>
            <w:gridSpan w:val="3"/>
            <w:tcBorders>
              <w:top w:val="single" w:sz="8" w:space="0" w:color="auto"/>
              <w:left w:val="nil"/>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rozpočet verejnej správy (cash)</w:t>
            </w:r>
          </w:p>
        </w:tc>
      </w:tr>
      <w:tr>
        <w:tblPrEx>
          <w:tblW w:w="9148" w:type="dxa"/>
          <w:tblInd w:w="55" w:type="dxa"/>
          <w:tblCellMar>
            <w:left w:w="70" w:type="dxa"/>
            <w:right w:w="70" w:type="dxa"/>
          </w:tblCellMar>
          <w:tblLook w:val="04A0"/>
        </w:tblPrEx>
        <w:trPr>
          <w:trHeight w:val="417"/>
        </w:trPr>
        <w:tc>
          <w:tcPr>
            <w:tcW w:w="502" w:type="dxa"/>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59"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148" w:type="dxa"/>
          <w:tblInd w:w="55" w:type="dxa"/>
          <w:tblCellMar>
            <w:left w:w="70" w:type="dxa"/>
            <w:right w:w="70" w:type="dxa"/>
          </w:tblCellMar>
          <w:tblLook w:val="04A0"/>
        </w:tblPrEx>
        <w:trPr>
          <w:trHeight w:val="345"/>
        </w:trPr>
        <w:tc>
          <w:tcPr>
            <w:tcW w:w="502" w:type="dxa"/>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100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Daňové príjmy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-6 101</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-777</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-785</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110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i/>
                <w:color w:val="000000"/>
              </w:rPr>
            </w:pPr>
            <w:r w:rsidRPr="0012245E">
              <w:rPr>
                <w:rFonts w:ascii="Times New Roman" w:hAnsi="Times New Roman"/>
                <w:bCs/>
                <w:i/>
                <w:color w:val="000000"/>
              </w:rPr>
              <w:t>-6 101</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i/>
                <w:color w:val="000000"/>
              </w:rPr>
            </w:pPr>
            <w:r w:rsidRPr="0012245E">
              <w:rPr>
                <w:rFonts w:ascii="Times New Roman" w:hAnsi="Times New Roman"/>
                <w:bCs/>
                <w:i/>
                <w:color w:val="000000"/>
              </w:rPr>
              <w:t>-777</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Cs/>
                <w:i/>
                <w:color w:val="000000"/>
              </w:rPr>
            </w:pPr>
            <w:r w:rsidRPr="0012245E">
              <w:rPr>
                <w:rFonts w:ascii="Times New Roman" w:hAnsi="Times New Roman"/>
                <w:bCs/>
                <w:i/>
                <w:color w:val="000000"/>
              </w:rPr>
              <w:t>-785</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111</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fyzickej osoby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-9</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-10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112</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právnických osôb</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-5 342</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113</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Daň z príjmov vyberaná zrážkou</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-759</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-767</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-775</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Cs/>
                <w:color w:val="000000"/>
              </w:rPr>
            </w:pPr>
            <w:r w:rsidRPr="0012245E">
              <w:rPr>
                <w:rFonts w:ascii="Times New Roman" w:hAnsi="Times New Roman"/>
                <w:iCs/>
                <w:color w:val="000000"/>
              </w:rPr>
              <w:t>150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Cs/>
                <w:color w:val="000000"/>
              </w:rPr>
            </w:pPr>
            <w:r w:rsidRPr="0012245E">
              <w:rPr>
                <w:rFonts w:ascii="Times New Roman" w:hAnsi="Times New Roman"/>
                <w:iCs/>
                <w:color w:val="000000"/>
              </w:rPr>
              <w:t>Poistné</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9148" w:type="dxa"/>
          <w:tblInd w:w="55" w:type="dxa"/>
          <w:tblCellMar>
            <w:left w:w="70" w:type="dxa"/>
            <w:right w:w="70" w:type="dxa"/>
          </w:tblCellMar>
          <w:tblLook w:val="04A0"/>
        </w:tblPrEx>
        <w:trPr>
          <w:trHeight w:val="43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151-153, 155-158</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Sociálne poistenie</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r>
        <w:tblPrEx>
          <w:tblW w:w="9148" w:type="dxa"/>
          <w:tblInd w:w="55" w:type="dxa"/>
          <w:tblCellMar>
            <w:left w:w="70" w:type="dxa"/>
            <w:right w:w="70" w:type="dxa"/>
          </w:tblCellMar>
          <w:tblLook w:val="04A0"/>
        </w:tblPrEx>
        <w:trPr>
          <w:trHeight w:val="345"/>
        </w:trPr>
        <w:tc>
          <w:tcPr>
            <w:tcW w:w="502" w:type="dxa"/>
            <w:tcBorders>
              <w:top w:val="nil"/>
              <w:left w:val="single" w:sz="8" w:space="0" w:color="auto"/>
              <w:bottom w:val="single" w:sz="8" w:space="0" w:color="auto"/>
              <w:right w:val="single" w:sz="8" w:space="0" w:color="auto"/>
            </w:tcBorders>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154</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Zdravotné poistenie</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color w:val="000000"/>
              </w:rPr>
            </w:pPr>
            <w:r w:rsidRPr="0012245E">
              <w:rPr>
                <w:rFonts w:ascii="Times New Roman" w:hAnsi="Times New Roman"/>
                <w:i/>
                <w:color w:val="000000"/>
              </w:rPr>
              <w:t>0</w:t>
            </w:r>
          </w:p>
        </w:tc>
      </w:tr>
    </w:tbl>
    <w:p w:rsidR="00542DBA" w:rsidRPr="0012245E" w:rsidP="00542DBA">
      <w:pPr>
        <w:autoSpaceDE w:val="0"/>
        <w:autoSpaceDN w:val="0"/>
        <w:bidi w:val="0"/>
        <w:adjustRightInd w:val="0"/>
        <w:jc w:val="both"/>
        <w:rPr>
          <w:rFonts w:ascii="Times New Roman" w:hAnsi="Times New Roman"/>
          <w:b/>
        </w:rPr>
      </w:pPr>
    </w:p>
    <w:p w:rsidR="00542DBA" w:rsidRPr="0012245E" w:rsidP="00542DBA">
      <w:pPr>
        <w:autoSpaceDE w:val="0"/>
        <w:autoSpaceDN w:val="0"/>
        <w:bidi w:val="0"/>
        <w:adjustRightInd w:val="0"/>
        <w:jc w:val="both"/>
        <w:rPr>
          <w:rFonts w:ascii="Times New Roman" w:hAnsi="Times New Roman"/>
          <w:b/>
        </w:rPr>
      </w:pPr>
      <w:r w:rsidRPr="0012245E">
        <w:rPr>
          <w:rFonts w:ascii="Times New Roman" w:hAnsi="Times New Roman"/>
          <w:b/>
        </w:rPr>
        <w:t>Kvantifikácia výdavkov</w:t>
      </w:r>
    </w:p>
    <w:tbl>
      <w:tblPr>
        <w:tblStyle w:val="TableNormal"/>
        <w:tblW w:w="9146" w:type="dxa"/>
        <w:tblInd w:w="55" w:type="dxa"/>
        <w:tblCellMar>
          <w:left w:w="70" w:type="dxa"/>
          <w:right w:w="70" w:type="dxa"/>
        </w:tblCellMar>
        <w:tblLook w:val="04A0"/>
      </w:tblPr>
      <w:tblGrid>
        <w:gridCol w:w="500"/>
        <w:gridCol w:w="4536"/>
        <w:gridCol w:w="1134"/>
        <w:gridCol w:w="1559"/>
        <w:gridCol w:w="1417"/>
      </w:tblGrid>
      <w:tr>
        <w:tblPrEx>
          <w:tblW w:w="9146" w:type="dxa"/>
          <w:tblInd w:w="55" w:type="dxa"/>
          <w:tblCellMar>
            <w:left w:w="70" w:type="dxa"/>
            <w:right w:w="70" w:type="dxa"/>
          </w:tblCellMar>
          <w:tblLook w:val="04A0"/>
        </w:tblPrEx>
        <w:trPr>
          <w:trHeight w:val="330"/>
        </w:trPr>
        <w:tc>
          <w:tcPr>
            <w:tcW w:w="500"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nil"/>
              <w:bottom w:val="single" w:sz="8" w:space="0" w:color="000000"/>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Štátny rozpočet - výdavky (v tis. eur)</w:t>
            </w:r>
          </w:p>
        </w:tc>
        <w:tc>
          <w:tcPr>
            <w:tcW w:w="4110" w:type="dxa"/>
            <w:gridSpan w:val="3"/>
            <w:tcBorders>
              <w:top w:val="single" w:sz="8" w:space="0" w:color="auto"/>
              <w:left w:val="nil"/>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Vplyv na štátny rozpočet (ESA95)</w:t>
            </w:r>
          </w:p>
        </w:tc>
      </w:tr>
      <w:tr>
        <w:tblPrEx>
          <w:tblW w:w="9146" w:type="dxa"/>
          <w:tblInd w:w="55" w:type="dxa"/>
          <w:tblCellMar>
            <w:left w:w="70" w:type="dxa"/>
            <w:right w:w="70" w:type="dxa"/>
          </w:tblCellMar>
          <w:tblLook w:val="04A0"/>
        </w:tblPrEx>
        <w:trPr>
          <w:trHeight w:val="521"/>
        </w:trPr>
        <w:tc>
          <w:tcPr>
            <w:tcW w:w="500" w:type="dxa"/>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2013</w:t>
            </w:r>
          </w:p>
        </w:tc>
        <w:tc>
          <w:tcPr>
            <w:tcW w:w="1559"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417"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r>
      <w:tr>
        <w:tblPrEx>
          <w:tblW w:w="9146" w:type="dxa"/>
          <w:tblInd w:w="55" w:type="dxa"/>
          <w:tblCellMar>
            <w:left w:w="70" w:type="dxa"/>
            <w:right w:w="70" w:type="dxa"/>
          </w:tblCellMar>
          <w:tblLook w:val="04A0"/>
        </w:tblPrEx>
        <w:trPr>
          <w:trHeight w:val="345"/>
        </w:trPr>
        <w:tc>
          <w:tcPr>
            <w:tcW w:w="500" w:type="dxa"/>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Bežné výdavky</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559"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640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Bežné transfery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641</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Transfery v rámci verejnej správy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r>
        <w:tblPrEx>
          <w:tblW w:w="9146" w:type="dxa"/>
          <w:tblInd w:w="55" w:type="dxa"/>
          <w:tblCellMar>
            <w:left w:w="70" w:type="dxa"/>
            <w:right w:w="70" w:type="dxa"/>
          </w:tblCellMar>
          <w:tblLook w:val="04A0"/>
        </w:tblPrEx>
        <w:trPr>
          <w:trHeight w:val="780"/>
        </w:trPr>
        <w:tc>
          <w:tcPr>
            <w:tcW w:w="500"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642</w:t>
            </w:r>
          </w:p>
        </w:tc>
        <w:tc>
          <w:tcPr>
            <w:tcW w:w="4536" w:type="dxa"/>
            <w:tcBorders>
              <w:top w:val="nil"/>
              <w:left w:val="nil"/>
              <w:bottom w:val="single" w:sz="8" w:space="0" w:color="auto"/>
              <w:right w:val="single" w:sz="8" w:space="0" w:color="auto"/>
            </w:tcBorders>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Transfery jednotlivcom a neziskovým právnickým osobám (VPÚ)</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bl>
    <w:p w:rsidR="00542DBA" w:rsidRPr="0012245E" w:rsidP="00542DBA">
      <w:pPr>
        <w:autoSpaceDE w:val="0"/>
        <w:autoSpaceDN w:val="0"/>
        <w:bidi w:val="0"/>
        <w:adjustRightInd w:val="0"/>
        <w:jc w:val="both"/>
        <w:rPr>
          <w:rFonts w:ascii="Times New Roman" w:hAnsi="Times New Roman"/>
          <w:bCs/>
        </w:rPr>
      </w:pPr>
    </w:p>
    <w:tbl>
      <w:tblPr>
        <w:tblStyle w:val="TableNormal"/>
        <w:tblW w:w="9087" w:type="dxa"/>
        <w:tblInd w:w="55" w:type="dxa"/>
        <w:tblCellMar>
          <w:left w:w="70" w:type="dxa"/>
          <w:right w:w="70" w:type="dxa"/>
        </w:tblCellMar>
        <w:tblLook w:val="04A0"/>
      </w:tblPr>
      <w:tblGrid>
        <w:gridCol w:w="500"/>
        <w:gridCol w:w="4536"/>
        <w:gridCol w:w="1134"/>
        <w:gridCol w:w="1559"/>
        <w:gridCol w:w="1417"/>
      </w:tblGrid>
      <w:tr>
        <w:tblPrEx>
          <w:tblW w:w="9087" w:type="dxa"/>
          <w:tblInd w:w="55" w:type="dxa"/>
          <w:tblCellMar>
            <w:left w:w="70" w:type="dxa"/>
            <w:right w:w="70" w:type="dxa"/>
          </w:tblCellMar>
          <w:tblLook w:val="04A0"/>
        </w:tblPrEx>
        <w:trPr>
          <w:trHeight w:val="330"/>
        </w:trPr>
        <w:tc>
          <w:tcPr>
            <w:tcW w:w="441"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nil"/>
              <w:bottom w:val="single" w:sz="8" w:space="0" w:color="000000"/>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obcí - výdavky (v tis. eur)</w:t>
            </w:r>
          </w:p>
        </w:tc>
        <w:tc>
          <w:tcPr>
            <w:tcW w:w="4110" w:type="dxa"/>
            <w:gridSpan w:val="3"/>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 xml:space="preserve"> (cash=ESA95)</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59"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087" w:type="dxa"/>
          <w:tblInd w:w="55" w:type="dxa"/>
          <w:tblCellMar>
            <w:left w:w="70" w:type="dxa"/>
            <w:right w:w="70" w:type="dxa"/>
          </w:tblCellMar>
          <w:tblLook w:val="04A0"/>
        </w:tblPrEx>
        <w:trPr>
          <w:trHeight w:val="345"/>
        </w:trPr>
        <w:tc>
          <w:tcPr>
            <w:tcW w:w="441" w:type="dxa"/>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Bežné výdavky</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i/>
                <w:iCs/>
                <w:color w:val="000000"/>
              </w:rPr>
            </w:pPr>
            <w:r w:rsidRPr="0012245E">
              <w:rPr>
                <w:rFonts w:ascii="Times New Roman" w:hAnsi="Times New Roman"/>
                <w:b/>
                <w:bCs/>
                <w:i/>
                <w:iCs/>
                <w:color w:val="000000"/>
              </w:rPr>
              <w:t>0</w:t>
            </w:r>
          </w:p>
        </w:tc>
        <w:tc>
          <w:tcPr>
            <w:tcW w:w="1559"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i/>
                <w:iCs/>
                <w:color w:val="000000"/>
              </w:rPr>
            </w:pPr>
            <w:r w:rsidRPr="0012245E">
              <w:rPr>
                <w:rFonts w:ascii="Times New Roman" w:hAnsi="Times New Roman"/>
                <w:b/>
                <w:bCs/>
                <w:i/>
                <w:iCs/>
                <w:color w:val="000000"/>
              </w:rPr>
              <w:t>0</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i/>
                <w:iCs/>
                <w:color w:val="000000"/>
              </w:rPr>
            </w:pPr>
            <w:r w:rsidRPr="0012245E">
              <w:rPr>
                <w:rFonts w:ascii="Times New Roman" w:hAnsi="Times New Roman"/>
                <w:b/>
                <w:bCs/>
                <w:i/>
                <w:iCs/>
                <w:color w:val="000000"/>
              </w:rPr>
              <w:t>0</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630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Tovary a služby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9087" w:type="dxa"/>
          <w:tblInd w:w="55" w:type="dxa"/>
          <w:tblCellMar>
            <w:left w:w="70" w:type="dxa"/>
            <w:right w:w="70" w:type="dxa"/>
          </w:tblCellMar>
          <w:tblLook w:val="04A0"/>
        </w:tblPrEx>
        <w:trPr>
          <w:trHeight w:val="345"/>
        </w:trPr>
        <w:tc>
          <w:tcPr>
            <w:tcW w:w="441"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637</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Služby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bl>
    <w:p w:rsidR="00542DBA" w:rsidP="00542DBA">
      <w:pPr>
        <w:autoSpaceDE w:val="0"/>
        <w:autoSpaceDN w:val="0"/>
        <w:bidi w:val="0"/>
        <w:adjustRightInd w:val="0"/>
        <w:jc w:val="both"/>
        <w:rPr>
          <w:rFonts w:ascii="Times New Roman" w:hAnsi="Times New Roman"/>
          <w:bCs/>
        </w:rPr>
      </w:pPr>
    </w:p>
    <w:tbl>
      <w:tblPr>
        <w:tblStyle w:val="TableNormal"/>
        <w:tblW w:w="9146" w:type="dxa"/>
        <w:tblInd w:w="55" w:type="dxa"/>
        <w:tblCellMar>
          <w:left w:w="70" w:type="dxa"/>
          <w:right w:w="70" w:type="dxa"/>
        </w:tblCellMar>
        <w:tblLook w:val="04A0"/>
      </w:tblPr>
      <w:tblGrid>
        <w:gridCol w:w="500"/>
        <w:gridCol w:w="4536"/>
        <w:gridCol w:w="1134"/>
        <w:gridCol w:w="1559"/>
        <w:gridCol w:w="1417"/>
      </w:tblGrid>
      <w:tr>
        <w:tblPrEx>
          <w:tblW w:w="9146" w:type="dxa"/>
          <w:tblInd w:w="55" w:type="dxa"/>
          <w:tblCellMar>
            <w:left w:w="70" w:type="dxa"/>
            <w:right w:w="70" w:type="dxa"/>
          </w:tblCellMar>
          <w:tblLook w:val="04A0"/>
        </w:tblPrEx>
        <w:trPr>
          <w:trHeight w:val="330"/>
        </w:trPr>
        <w:tc>
          <w:tcPr>
            <w:tcW w:w="500" w:type="dxa"/>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val="restart"/>
            <w:tcBorders>
              <w:top w:val="single" w:sz="8" w:space="0" w:color="auto"/>
              <w:left w:val="nil"/>
              <w:bottom w:val="single" w:sz="8" w:space="0" w:color="000000"/>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VÚC - výdavky (v tis. eur)</w:t>
            </w:r>
          </w:p>
        </w:tc>
        <w:tc>
          <w:tcPr>
            <w:tcW w:w="4110" w:type="dxa"/>
            <w:gridSpan w:val="3"/>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 xml:space="preserve"> (cash=ESA95)</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4536" w:type="dxa"/>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134"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559"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417" w:type="dxa"/>
            <w:tcBorders>
              <w:top w:val="nil"/>
              <w:left w:val="nil"/>
              <w:bottom w:val="nil"/>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9146" w:type="dxa"/>
          <w:tblInd w:w="55" w:type="dxa"/>
          <w:tblCellMar>
            <w:left w:w="70" w:type="dxa"/>
            <w:right w:w="70" w:type="dxa"/>
          </w:tblCellMar>
          <w:tblLook w:val="04A0"/>
        </w:tblPrEx>
        <w:trPr>
          <w:trHeight w:val="345"/>
        </w:trPr>
        <w:tc>
          <w:tcPr>
            <w:tcW w:w="500" w:type="dxa"/>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600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Bežné výdavky</w:t>
            </w:r>
          </w:p>
        </w:tc>
        <w:tc>
          <w:tcPr>
            <w:tcW w:w="1134"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i/>
                <w:iCs/>
                <w:color w:val="000000"/>
              </w:rPr>
            </w:pPr>
            <w:r w:rsidRPr="0012245E">
              <w:rPr>
                <w:rFonts w:ascii="Times New Roman" w:hAnsi="Times New Roman"/>
                <w:b/>
                <w:bCs/>
                <w:i/>
                <w:iCs/>
                <w:color w:val="000000"/>
              </w:rPr>
              <w:t>0</w:t>
            </w:r>
          </w:p>
        </w:tc>
        <w:tc>
          <w:tcPr>
            <w:tcW w:w="1559"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i/>
                <w:iCs/>
                <w:color w:val="000000"/>
              </w:rPr>
            </w:pPr>
            <w:r w:rsidRPr="0012245E">
              <w:rPr>
                <w:rFonts w:ascii="Times New Roman" w:hAnsi="Times New Roman"/>
                <w:b/>
                <w:bCs/>
                <w:i/>
                <w:iCs/>
                <w:color w:val="000000"/>
              </w:rPr>
              <w:t>0</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i/>
                <w:iCs/>
                <w:color w:val="000000"/>
              </w:rPr>
            </w:pPr>
            <w:r w:rsidRPr="0012245E">
              <w:rPr>
                <w:rFonts w:ascii="Times New Roman" w:hAnsi="Times New Roman"/>
                <w:b/>
                <w:bCs/>
                <w:i/>
                <w:iCs/>
                <w:color w:val="000000"/>
              </w:rPr>
              <w:t>0</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630</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Tovary a služby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9146"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637</w:t>
            </w:r>
          </w:p>
        </w:tc>
        <w:tc>
          <w:tcPr>
            <w:tcW w:w="4536" w:type="dxa"/>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Služby</w:t>
            </w:r>
          </w:p>
        </w:tc>
        <w:tc>
          <w:tcPr>
            <w:tcW w:w="1134"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559"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417" w:type="dxa"/>
            <w:tcBorders>
              <w:top w:val="nil"/>
              <w:left w:val="nil"/>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bl>
    <w:p w:rsidR="00542DBA" w:rsidRPr="0012245E" w:rsidP="00542DBA">
      <w:pPr>
        <w:autoSpaceDE w:val="0"/>
        <w:autoSpaceDN w:val="0"/>
        <w:bidi w:val="0"/>
        <w:adjustRightInd w:val="0"/>
        <w:jc w:val="both"/>
        <w:rPr>
          <w:rFonts w:ascii="Times New Roman" w:hAnsi="Times New Roman"/>
          <w:bCs/>
        </w:rPr>
      </w:pPr>
    </w:p>
    <w:tbl>
      <w:tblPr>
        <w:tblStyle w:val="TableNormal"/>
        <w:tblW w:w="5000" w:type="pct"/>
        <w:tblCellMar>
          <w:left w:w="70" w:type="dxa"/>
          <w:right w:w="70" w:type="dxa"/>
        </w:tblCellMar>
        <w:tblLook w:val="04A0"/>
      </w:tblPr>
      <w:tblGrid>
        <w:gridCol w:w="500"/>
        <w:gridCol w:w="4913"/>
        <w:gridCol w:w="971"/>
        <w:gridCol w:w="1413"/>
        <w:gridCol w:w="1415"/>
      </w:tblGrid>
      <w:tr>
        <w:tblPrEx>
          <w:tblW w:w="5000" w:type="pct"/>
          <w:tblCellMar>
            <w:left w:w="70" w:type="dxa"/>
            <w:right w:w="70" w:type="dxa"/>
          </w:tblCellMar>
          <w:tblLook w:val="04A0"/>
        </w:tblPrEx>
        <w:trPr>
          <w:trHeight w:val="330"/>
        </w:trPr>
        <w:tc>
          <w:tcPr>
            <w:tcW w:w="276" w:type="pct"/>
            <w:tcBorders>
              <w:top w:val="single" w:sz="8" w:space="0" w:color="auto"/>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1690" w:type="pct"/>
            <w:vMerge w:val="restart"/>
            <w:tcBorders>
              <w:top w:val="single" w:sz="8" w:space="0" w:color="auto"/>
              <w:left w:val="nil"/>
              <w:bottom w:val="single" w:sz="8" w:space="0" w:color="000000"/>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u w:val="single"/>
              </w:rPr>
            </w:pPr>
            <w:r w:rsidRPr="0012245E">
              <w:rPr>
                <w:rFonts w:ascii="Times New Roman" w:hAnsi="Times New Roman"/>
                <w:b/>
                <w:bCs/>
                <w:color w:val="FFFFFF"/>
                <w:u w:val="single"/>
              </w:rPr>
              <w:t>Rozpočet verejnej správy - výdavky (v tis. eur)</w:t>
            </w:r>
          </w:p>
        </w:tc>
        <w:tc>
          <w:tcPr>
            <w:tcW w:w="3034" w:type="pct"/>
            <w:gridSpan w:val="3"/>
            <w:tcBorders>
              <w:top w:val="single" w:sz="8" w:space="0" w:color="auto"/>
              <w:left w:val="nil"/>
              <w:bottom w:val="nil"/>
              <w:right w:val="nil"/>
            </w:tcBorders>
            <w:shd w:val="clear" w:color="000000" w:fill="000000"/>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 xml:space="preserve"> (cash=ESA95)</w:t>
            </w:r>
          </w:p>
        </w:tc>
      </w:tr>
      <w:tr>
        <w:tblPrEx>
          <w:tblW w:w="5000" w:type="pct"/>
          <w:tblCellMar>
            <w:left w:w="70" w:type="dxa"/>
            <w:right w:w="70" w:type="dxa"/>
          </w:tblCellMar>
          <w:tblLook w:val="04A0"/>
        </w:tblPrEx>
        <w:trPr>
          <w:trHeight w:val="345"/>
        </w:trPr>
        <w:tc>
          <w:tcPr>
            <w:tcW w:w="276" w:type="pct"/>
            <w:tcBorders>
              <w:top w:val="nil"/>
              <w:left w:val="single" w:sz="8" w:space="0" w:color="auto"/>
              <w:bottom w:val="nil"/>
              <w:right w:val="nil"/>
            </w:tcBorders>
            <w:shd w:val="clear" w:color="000000" w:fill="000000"/>
            <w:noWrap/>
            <w:textDirection w:val="lrTb"/>
            <w:vAlign w:val="center"/>
            <w:hideMark/>
          </w:tcPr>
          <w:p w:rsidR="00542DBA" w:rsidRPr="0012245E" w:rsidP="00542DBA">
            <w:pPr>
              <w:bidi w:val="0"/>
              <w:rPr>
                <w:rFonts w:ascii="Times New Roman" w:hAnsi="Times New Roman"/>
                <w:b/>
                <w:bCs/>
                <w:color w:val="FFFFFF"/>
              </w:rPr>
            </w:pPr>
            <w:r w:rsidRPr="0012245E">
              <w:rPr>
                <w:rFonts w:ascii="Times New Roman" w:hAnsi="Times New Roman"/>
                <w:b/>
                <w:bCs/>
                <w:color w:val="FFFFFF"/>
              </w:rPr>
              <w:t> </w:t>
            </w:r>
          </w:p>
        </w:tc>
        <w:tc>
          <w:tcPr>
            <w:tcW w:w="1690" w:type="pct"/>
            <w:vMerge/>
            <w:tcBorders>
              <w:top w:val="single" w:sz="8" w:space="0" w:color="auto"/>
              <w:left w:val="nil"/>
              <w:bottom w:val="single" w:sz="8" w:space="0" w:color="000000"/>
              <w:right w:val="nil"/>
            </w:tcBorders>
            <w:textDirection w:val="lrTb"/>
            <w:vAlign w:val="center"/>
            <w:hideMark/>
          </w:tcPr>
          <w:p w:rsidR="00542DBA" w:rsidRPr="0012245E" w:rsidP="00542DBA">
            <w:pPr>
              <w:bidi w:val="0"/>
              <w:rPr>
                <w:rFonts w:ascii="Times New Roman" w:hAnsi="Times New Roman"/>
                <w:b/>
                <w:bCs/>
                <w:color w:val="FFFFFF"/>
                <w:u w:val="single"/>
              </w:rPr>
            </w:pPr>
          </w:p>
        </w:tc>
        <w:tc>
          <w:tcPr>
            <w:tcW w:w="1011" w:type="pct"/>
            <w:tcBorders>
              <w:top w:val="nil"/>
              <w:left w:val="nil"/>
              <w:bottom w:val="single" w:sz="8" w:space="0" w:color="auto"/>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2014</w:t>
            </w:r>
          </w:p>
        </w:tc>
        <w:tc>
          <w:tcPr>
            <w:tcW w:w="1011" w:type="pct"/>
            <w:tcBorders>
              <w:top w:val="nil"/>
              <w:left w:val="nil"/>
              <w:bottom w:val="single" w:sz="8" w:space="0" w:color="auto"/>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2015</w:t>
            </w:r>
          </w:p>
        </w:tc>
        <w:tc>
          <w:tcPr>
            <w:tcW w:w="1011" w:type="pct"/>
            <w:tcBorders>
              <w:top w:val="nil"/>
              <w:left w:val="nil"/>
              <w:bottom w:val="single" w:sz="8" w:space="0" w:color="auto"/>
              <w:right w:val="nil"/>
            </w:tcBorders>
            <w:shd w:val="clear" w:color="000000" w:fill="000000"/>
            <w:noWrap/>
            <w:textDirection w:val="lrTb"/>
            <w:vAlign w:val="center"/>
            <w:hideMark/>
          </w:tcPr>
          <w:p w:rsidR="00542DBA" w:rsidRPr="0012245E" w:rsidP="00542DBA">
            <w:pPr>
              <w:bidi w:val="0"/>
              <w:jc w:val="center"/>
              <w:rPr>
                <w:rFonts w:ascii="Times New Roman" w:hAnsi="Times New Roman"/>
                <w:b/>
                <w:bCs/>
                <w:color w:val="FFFFFF"/>
              </w:rPr>
            </w:pPr>
            <w:r w:rsidRPr="0012245E">
              <w:rPr>
                <w:rFonts w:ascii="Times New Roman" w:hAnsi="Times New Roman"/>
                <w:b/>
                <w:bCs/>
                <w:color w:val="FFFFFF"/>
              </w:rPr>
              <w:t>2016</w:t>
            </w:r>
          </w:p>
        </w:tc>
      </w:tr>
      <w:tr>
        <w:tblPrEx>
          <w:tblW w:w="5000" w:type="pct"/>
          <w:tblCellMar>
            <w:left w:w="70" w:type="dxa"/>
            <w:right w:w="70" w:type="dxa"/>
          </w:tblCellMar>
          <w:tblLook w:val="04A0"/>
        </w:tblPrEx>
        <w:trPr>
          <w:trHeight w:val="345"/>
        </w:trPr>
        <w:tc>
          <w:tcPr>
            <w:tcW w:w="276" w:type="pct"/>
            <w:tcBorders>
              <w:top w:val="single" w:sz="8" w:space="0" w:color="auto"/>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600</w:t>
            </w:r>
          </w:p>
        </w:tc>
        <w:tc>
          <w:tcPr>
            <w:tcW w:w="169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b/>
                <w:bCs/>
                <w:color w:val="000000"/>
              </w:rPr>
            </w:pPr>
            <w:r w:rsidRPr="0012245E">
              <w:rPr>
                <w:rFonts w:ascii="Times New Roman" w:hAnsi="Times New Roman"/>
                <w:b/>
                <w:bCs/>
                <w:color w:val="000000"/>
              </w:rPr>
              <w:t>Bežné výdavky</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b/>
                <w:bCs/>
                <w:color w:val="000000"/>
              </w:rPr>
            </w:pPr>
            <w:r w:rsidRPr="0012245E">
              <w:rPr>
                <w:rFonts w:ascii="Times New Roman" w:hAnsi="Times New Roman"/>
                <w:b/>
                <w:bCs/>
                <w:color w:val="000000"/>
              </w:rPr>
              <w:t>0</w:t>
            </w:r>
          </w:p>
        </w:tc>
      </w:tr>
      <w:tr>
        <w:tblPrEx>
          <w:tblW w:w="5000" w:type="pct"/>
          <w:tblCellMar>
            <w:left w:w="70" w:type="dxa"/>
            <w:right w:w="70" w:type="dxa"/>
          </w:tblCellMar>
          <w:tblLook w:val="04A0"/>
        </w:tblPrEx>
        <w:trPr>
          <w:trHeight w:val="345"/>
        </w:trPr>
        <w:tc>
          <w:tcPr>
            <w:tcW w:w="276"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630</w:t>
            </w:r>
          </w:p>
        </w:tc>
        <w:tc>
          <w:tcPr>
            <w:tcW w:w="169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Tovary a služby</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5000" w:type="pct"/>
          <w:tblCellMar>
            <w:left w:w="70" w:type="dxa"/>
            <w:right w:w="70" w:type="dxa"/>
          </w:tblCellMar>
          <w:tblLook w:val="04A0"/>
        </w:tblPrEx>
        <w:trPr>
          <w:trHeight w:val="345"/>
        </w:trPr>
        <w:tc>
          <w:tcPr>
            <w:tcW w:w="276"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637</w:t>
            </w:r>
          </w:p>
        </w:tc>
        <w:tc>
          <w:tcPr>
            <w:tcW w:w="169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Služby</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5000" w:type="pct"/>
          <w:tblCellMar>
            <w:left w:w="70" w:type="dxa"/>
            <w:right w:w="70" w:type="dxa"/>
          </w:tblCellMar>
          <w:tblLook w:val="04A0"/>
        </w:tblPrEx>
        <w:trPr>
          <w:trHeight w:val="345"/>
        </w:trPr>
        <w:tc>
          <w:tcPr>
            <w:tcW w:w="276"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640</w:t>
            </w:r>
          </w:p>
        </w:tc>
        <w:tc>
          <w:tcPr>
            <w:tcW w:w="169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i/>
                <w:iCs/>
                <w:color w:val="000000"/>
              </w:rPr>
            </w:pPr>
            <w:r w:rsidRPr="0012245E">
              <w:rPr>
                <w:rFonts w:ascii="Times New Roman" w:hAnsi="Times New Roman"/>
                <w:i/>
                <w:iCs/>
                <w:color w:val="000000"/>
              </w:rPr>
              <w:t>Bežné transfery</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i/>
                <w:iCs/>
                <w:color w:val="000000"/>
              </w:rPr>
            </w:pPr>
            <w:r w:rsidRPr="0012245E">
              <w:rPr>
                <w:rFonts w:ascii="Times New Roman" w:hAnsi="Times New Roman"/>
                <w:i/>
                <w:iCs/>
                <w:color w:val="000000"/>
              </w:rPr>
              <w:t>0</w:t>
            </w:r>
          </w:p>
        </w:tc>
      </w:tr>
      <w:tr>
        <w:tblPrEx>
          <w:tblW w:w="5000" w:type="pct"/>
          <w:tblCellMar>
            <w:left w:w="70" w:type="dxa"/>
            <w:right w:w="70" w:type="dxa"/>
          </w:tblCellMar>
          <w:tblLook w:val="04A0"/>
        </w:tblPrEx>
        <w:trPr>
          <w:trHeight w:val="345"/>
        </w:trPr>
        <w:tc>
          <w:tcPr>
            <w:tcW w:w="276"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641</w:t>
            </w:r>
          </w:p>
        </w:tc>
        <w:tc>
          <w:tcPr>
            <w:tcW w:w="1690" w:type="pct"/>
            <w:tcBorders>
              <w:top w:val="nil"/>
              <w:left w:val="nil"/>
              <w:bottom w:val="single" w:sz="8" w:space="0" w:color="auto"/>
              <w:right w:val="single" w:sz="8" w:space="0" w:color="auto"/>
            </w:tcBorders>
            <w:noWrap/>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Transfery v rámci verejnej správy</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r>
        <w:tblPrEx>
          <w:tblW w:w="5000" w:type="pct"/>
          <w:tblCellMar>
            <w:left w:w="70" w:type="dxa"/>
            <w:right w:w="70" w:type="dxa"/>
          </w:tblCellMar>
          <w:tblLook w:val="04A0"/>
        </w:tblPrEx>
        <w:trPr>
          <w:trHeight w:val="525"/>
        </w:trPr>
        <w:tc>
          <w:tcPr>
            <w:tcW w:w="276" w:type="pct"/>
            <w:tcBorders>
              <w:top w:val="nil"/>
              <w:left w:val="single" w:sz="8" w:space="0" w:color="auto"/>
              <w:bottom w:val="single" w:sz="8" w:space="0" w:color="auto"/>
              <w:right w:val="single" w:sz="8" w:space="0" w:color="auto"/>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642</w:t>
            </w:r>
          </w:p>
        </w:tc>
        <w:tc>
          <w:tcPr>
            <w:tcW w:w="1690" w:type="pct"/>
            <w:tcBorders>
              <w:top w:val="nil"/>
              <w:left w:val="nil"/>
              <w:bottom w:val="single" w:sz="8" w:space="0" w:color="auto"/>
              <w:right w:val="single" w:sz="8" w:space="0" w:color="auto"/>
            </w:tcBorders>
            <w:textDirection w:val="lrTb"/>
            <w:vAlign w:val="center"/>
            <w:hideMark/>
          </w:tcPr>
          <w:p w:rsidR="00542DBA" w:rsidRPr="0012245E" w:rsidP="00542DBA">
            <w:pPr>
              <w:bidi w:val="0"/>
              <w:rPr>
                <w:rFonts w:ascii="Times New Roman" w:hAnsi="Times New Roman"/>
                <w:color w:val="000000"/>
              </w:rPr>
            </w:pPr>
            <w:r w:rsidRPr="0012245E">
              <w:rPr>
                <w:rFonts w:ascii="Times New Roman" w:hAnsi="Times New Roman"/>
                <w:color w:val="000000"/>
              </w:rPr>
              <w:t>Transfery jednotlivcom a neziskovým právnickým osobám</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c>
          <w:tcPr>
            <w:tcW w:w="1011" w:type="pct"/>
            <w:tcBorders>
              <w:top w:val="single" w:sz="8" w:space="0" w:color="auto"/>
              <w:left w:val="nil"/>
              <w:bottom w:val="single" w:sz="8" w:space="0" w:color="auto"/>
              <w:right w:val="single" w:sz="8" w:space="0" w:color="000000"/>
            </w:tcBorders>
            <w:noWrap/>
            <w:textDirection w:val="lrTb"/>
            <w:vAlign w:val="center"/>
            <w:hideMark/>
          </w:tcPr>
          <w:p w:rsidR="00542DBA" w:rsidRPr="0012245E" w:rsidP="00542DBA">
            <w:pPr>
              <w:bidi w:val="0"/>
              <w:jc w:val="right"/>
              <w:rPr>
                <w:rFonts w:ascii="Times New Roman" w:hAnsi="Times New Roman"/>
                <w:color w:val="000000"/>
              </w:rPr>
            </w:pPr>
            <w:r w:rsidRPr="0012245E">
              <w:rPr>
                <w:rFonts w:ascii="Times New Roman" w:hAnsi="Times New Roman"/>
                <w:color w:val="000000"/>
              </w:rPr>
              <w:t>0</w:t>
            </w:r>
          </w:p>
        </w:tc>
      </w:tr>
    </w:tbl>
    <w:p w:rsidR="00542DBA" w:rsidRPr="0012245E" w:rsidP="00542DBA">
      <w:pPr>
        <w:autoSpaceDE w:val="0"/>
        <w:autoSpaceDN w:val="0"/>
        <w:bidi w:val="0"/>
        <w:adjustRightInd w:val="0"/>
        <w:jc w:val="both"/>
        <w:rPr>
          <w:rFonts w:ascii="Times New Roman" w:hAnsi="Times New Roman"/>
          <w:b/>
        </w:rPr>
      </w:pPr>
    </w:p>
    <w:p w:rsidR="00542DBA" w:rsidRPr="0012245E" w:rsidP="00542DBA">
      <w:pPr>
        <w:autoSpaceDE w:val="0"/>
        <w:autoSpaceDN w:val="0"/>
        <w:bidi w:val="0"/>
        <w:adjustRightInd w:val="0"/>
        <w:jc w:val="both"/>
        <w:rPr>
          <w:rFonts w:ascii="Times New Roman" w:hAnsi="Times New Roman"/>
          <w:b/>
        </w:rPr>
      </w:pPr>
    </w:p>
    <w:p w:rsidR="00542DBA" w:rsidRPr="0012245E" w:rsidP="00542DBA">
      <w:pPr>
        <w:autoSpaceDE w:val="0"/>
        <w:autoSpaceDN w:val="0"/>
        <w:bidi w:val="0"/>
        <w:adjustRightInd w:val="0"/>
        <w:jc w:val="both"/>
        <w:rPr>
          <w:rFonts w:ascii="Times New Roman" w:hAnsi="Times New Roman"/>
          <w:b/>
        </w:rPr>
      </w:pPr>
      <w:r w:rsidRPr="0012245E">
        <w:rPr>
          <w:rFonts w:ascii="Times New Roman" w:hAnsi="Times New Roman"/>
          <w:b/>
        </w:rPr>
        <w:t>Vplyv na zamestnanosť</w:t>
      </w:r>
    </w:p>
    <w:p w:rsidR="00542DBA" w:rsidRPr="0012245E" w:rsidP="00542DBA">
      <w:pPr>
        <w:autoSpaceDE w:val="0"/>
        <w:autoSpaceDN w:val="0"/>
        <w:bidi w:val="0"/>
        <w:adjustRightInd w:val="0"/>
        <w:jc w:val="both"/>
        <w:rPr>
          <w:rFonts w:ascii="Times New Roman" w:hAnsi="Times New Roman"/>
        </w:rPr>
      </w:pPr>
    </w:p>
    <w:p w:rsidR="00542DBA" w:rsidRPr="0012245E" w:rsidP="00542DBA">
      <w:pPr>
        <w:bidi w:val="0"/>
        <w:jc w:val="both"/>
        <w:rPr>
          <w:rFonts w:ascii="Times New Roman" w:hAnsi="Times New Roman"/>
        </w:rPr>
      </w:pPr>
      <w:r w:rsidRPr="0012245E">
        <w:rPr>
          <w:rFonts w:ascii="Times New Roman" w:hAnsi="Times New Roman"/>
        </w:rPr>
        <w:t xml:space="preserve">Navrhované opatrenia nemajú vplyv na zamestnanosť vo verejnej správe. </w:t>
      </w:r>
    </w:p>
    <w:p w:rsidR="00542DBA" w:rsidRPr="0012245E" w:rsidP="00542DBA">
      <w:pPr>
        <w:bidi w:val="0"/>
        <w:rPr>
          <w:rFonts w:ascii="Times New Roman" w:hAnsi="Times New Roman"/>
        </w:rPr>
      </w:pPr>
    </w:p>
    <w:p w:rsidR="00542DBA" w:rsidRPr="0012245E" w:rsidP="00542DBA">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5451BE">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12245E">
      <w:pPr>
        <w:bidi w:val="0"/>
        <w:rPr>
          <w:rFonts w:ascii="Times New Roman" w:hAnsi="Times New Roman"/>
        </w:rPr>
      </w:pPr>
    </w:p>
    <w:p w:rsidR="00E21B5B">
      <w:pPr>
        <w:bidi w:val="0"/>
        <w:rPr>
          <w:rFonts w:ascii="Times New Roman" w:hAnsi="Times New Roman"/>
        </w:rPr>
      </w:pPr>
    </w:p>
    <w:p w:rsidR="00E21B5B">
      <w:pPr>
        <w:bidi w:val="0"/>
        <w:rPr>
          <w:rFonts w:ascii="Times New Roman" w:hAnsi="Times New Roman"/>
        </w:rPr>
      </w:pPr>
    </w:p>
    <w:p w:rsidR="00E21B5B">
      <w:pPr>
        <w:bidi w:val="0"/>
        <w:rPr>
          <w:rFonts w:ascii="Times New Roman" w:hAnsi="Times New Roman"/>
        </w:rPr>
      </w:pPr>
    </w:p>
    <w:p w:rsidR="00E21B5B">
      <w:pPr>
        <w:bidi w:val="0"/>
        <w:rPr>
          <w:rFonts w:ascii="Times New Roman" w:hAnsi="Times New Roman"/>
        </w:rPr>
      </w:pPr>
    </w:p>
    <w:p w:rsidR="00E21B5B">
      <w:pPr>
        <w:bidi w:val="0"/>
        <w:rPr>
          <w:rFonts w:ascii="Times New Roman" w:hAnsi="Times New Roman"/>
        </w:rPr>
      </w:pPr>
    </w:p>
    <w:p w:rsidR="00E21B5B">
      <w:pPr>
        <w:bidi w:val="0"/>
        <w:rPr>
          <w:rFonts w:ascii="Times New Roman" w:hAnsi="Times New Roman"/>
        </w:rPr>
      </w:pPr>
    </w:p>
    <w:p w:rsidR="00E21B5B">
      <w:pPr>
        <w:bidi w:val="0"/>
        <w:rPr>
          <w:rFonts w:ascii="Times New Roman" w:hAnsi="Times New Roman"/>
        </w:rPr>
      </w:pPr>
    </w:p>
    <w:p w:rsidR="005451BE">
      <w:pPr>
        <w:bidi w:val="0"/>
        <w:rPr>
          <w:rFonts w:ascii="Times New Roman" w:hAnsi="Times New Roman"/>
        </w:rPr>
      </w:pPr>
    </w:p>
    <w:p w:rsidR="005451BE">
      <w:pPr>
        <w:bidi w:val="0"/>
        <w:rPr>
          <w:rFonts w:ascii="Times New Roman" w:hAnsi="Times New Roman"/>
        </w:rPr>
      </w:pPr>
    </w:p>
    <w:p w:rsidR="005451BE">
      <w:pPr>
        <w:bidi w:val="0"/>
        <w:rPr>
          <w:rFonts w:ascii="Times New Roman" w:hAnsi="Times New Roman"/>
        </w:rPr>
      </w:pPr>
    </w:p>
    <w:p w:rsidR="00E21B5B">
      <w:pPr>
        <w:bidi w:val="0"/>
        <w:rPr>
          <w:rFonts w:ascii="Times New Roman" w:hAnsi="Times New Roman"/>
        </w:rPr>
      </w:pPr>
    </w:p>
    <w:p w:rsidR="00E21B5B">
      <w:pPr>
        <w:bidi w:val="0"/>
        <w:rPr>
          <w:rFonts w:ascii="Times New Roman" w:hAnsi="Times New Roman"/>
        </w:rPr>
      </w:pPr>
    </w:p>
    <w:p w:rsidR="001D127A" w:rsidRPr="0012245E" w:rsidP="001D127A">
      <w:pPr>
        <w:bidi w:val="0"/>
        <w:jc w:val="center"/>
        <w:rPr>
          <w:rFonts w:ascii="Times New Roman" w:hAnsi="Times New Roman"/>
          <w:b/>
          <w:bCs/>
        </w:rPr>
      </w:pPr>
      <w:r w:rsidRPr="0012245E">
        <w:rPr>
          <w:rFonts w:ascii="Times New Roman" w:hAnsi="Times New Roman"/>
          <w:b/>
          <w:bCs/>
        </w:rPr>
        <w:t>Vplyvy na podnikateľské prostredie</w:t>
      </w:r>
    </w:p>
    <w:p w:rsidR="001D127A" w:rsidRPr="0012245E" w:rsidP="001D127A">
      <w:pPr>
        <w:bidi w:val="0"/>
        <w:rPr>
          <w:rFonts w:ascii="Times New Roman" w:hAnsi="Times New Roman"/>
          <w:b/>
          <w:bCs/>
        </w:rPr>
      </w:pPr>
    </w:p>
    <w:tbl>
      <w:tblPr>
        <w:tblStyle w:val="TableNormal"/>
        <w:tblW w:w="9195" w:type="dxa"/>
        <w:tblInd w:w="55" w:type="dxa"/>
        <w:tblCellMar>
          <w:left w:w="70" w:type="dxa"/>
          <w:right w:w="70" w:type="dxa"/>
        </w:tblCellMar>
      </w:tblPr>
      <w:tblGrid>
        <w:gridCol w:w="3134"/>
        <w:gridCol w:w="6061"/>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1D127A" w:rsidRPr="0012245E" w:rsidP="001D127A">
            <w:pPr>
              <w:bidi w:val="0"/>
              <w:jc w:val="center"/>
              <w:rPr>
                <w:rFonts w:ascii="Times New Roman" w:hAnsi="Times New Roman"/>
                <w:b/>
                <w:bCs/>
                <w:color w:val="FFFFFF"/>
              </w:rPr>
            </w:pPr>
            <w:r w:rsidRPr="0012245E">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1D127A" w:rsidRPr="0012245E" w:rsidP="001D127A">
            <w:pPr>
              <w:bidi w:val="0"/>
              <w:rPr>
                <w:rFonts w:ascii="Times New Roman" w:hAnsi="Times New Roman"/>
              </w:rPr>
            </w:pPr>
          </w:p>
          <w:p w:rsidR="001D127A" w:rsidRPr="0012245E" w:rsidP="001D127A">
            <w:pPr>
              <w:bidi w:val="0"/>
              <w:rPr>
                <w:rFonts w:ascii="Times New Roman" w:hAnsi="Times New Roman"/>
              </w:rPr>
            </w:pPr>
            <w:r w:rsidRPr="0012245E">
              <w:rPr>
                <w:rFonts w:ascii="Times New Roman" w:hAnsi="Times New Roman"/>
                <w:b/>
              </w:rPr>
              <w:t>3.1</w:t>
            </w:r>
            <w:r w:rsidRPr="0012245E">
              <w:rPr>
                <w:rFonts w:ascii="Times New Roman" w:hAnsi="Times New Roman"/>
              </w:rPr>
              <w:t>. Ktoré podnikateľské subjekty budú predkladaným návrhom ovplyvnené a aký je ich počet?</w:t>
            </w:r>
          </w:p>
          <w:p w:rsidR="001D127A" w:rsidRPr="0012245E" w:rsidP="001D127A">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1D127A" w:rsidRPr="0012245E" w:rsidP="000627E0">
            <w:pPr>
              <w:numPr>
                <w:numId w:val="6"/>
              </w:numPr>
              <w:bidi w:val="0"/>
              <w:ind w:left="326" w:hanging="281"/>
              <w:rPr>
                <w:rFonts w:ascii="Times New Roman" w:hAnsi="Times New Roman"/>
              </w:rPr>
            </w:pPr>
            <w:r w:rsidRPr="0012245E">
              <w:rPr>
                <w:rFonts w:ascii="Times New Roman" w:hAnsi="Times New Roman"/>
              </w:rPr>
              <w:t>Zamestnávatelia - všetci</w:t>
            </w:r>
          </w:p>
          <w:p w:rsidR="001D127A" w:rsidRPr="0012245E" w:rsidP="000627E0">
            <w:pPr>
              <w:numPr>
                <w:numId w:val="6"/>
              </w:numPr>
              <w:bidi w:val="0"/>
              <w:ind w:left="326" w:hanging="281"/>
              <w:rPr>
                <w:rFonts w:ascii="Times New Roman" w:hAnsi="Times New Roman"/>
              </w:rPr>
            </w:pPr>
            <w:r w:rsidRPr="0012245E">
              <w:rPr>
                <w:rFonts w:ascii="Times New Roman" w:hAnsi="Times New Roman"/>
              </w:rPr>
              <w:t>SZČO</w:t>
            </w:r>
            <w:r w:rsidRPr="0012245E" w:rsidR="0092753C">
              <w:rPr>
                <w:rFonts w:ascii="Times New Roman" w:hAnsi="Times New Roman"/>
              </w:rPr>
              <w:t xml:space="preserve"> </w:t>
            </w:r>
            <w:r w:rsidRPr="0012245E">
              <w:rPr>
                <w:rFonts w:ascii="Times New Roman" w:hAnsi="Times New Roman"/>
              </w:rPr>
              <w:t>–  všetky</w:t>
            </w:r>
          </w:p>
          <w:p w:rsidR="001D127A" w:rsidRPr="0012245E" w:rsidP="000627E0">
            <w:pPr>
              <w:numPr>
                <w:numId w:val="6"/>
              </w:numPr>
              <w:bidi w:val="0"/>
              <w:ind w:left="326" w:hanging="281"/>
              <w:rPr>
                <w:rFonts w:ascii="Times New Roman" w:hAnsi="Times New Roman"/>
              </w:rPr>
            </w:pPr>
            <w:r w:rsidRPr="0012245E">
              <w:rPr>
                <w:rFonts w:ascii="Times New Roman" w:hAnsi="Times New Roman"/>
              </w:rPr>
              <w:t>Právnické osoby – všetky</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1D127A" w:rsidRPr="0012245E" w:rsidP="001D127A">
            <w:pPr>
              <w:bidi w:val="0"/>
              <w:rPr>
                <w:rFonts w:ascii="Times New Roman" w:hAnsi="Times New Roman"/>
              </w:rPr>
            </w:pPr>
          </w:p>
          <w:p w:rsidR="001D127A" w:rsidRPr="0012245E" w:rsidP="001D127A">
            <w:pPr>
              <w:bidi w:val="0"/>
              <w:rPr>
                <w:rFonts w:ascii="Times New Roman" w:hAnsi="Times New Roman"/>
              </w:rPr>
            </w:pPr>
            <w:r w:rsidRPr="0012245E">
              <w:rPr>
                <w:rFonts w:ascii="Times New Roman" w:hAnsi="Times New Roman"/>
                <w:b/>
              </w:rPr>
              <w:t>3.2</w:t>
            </w:r>
            <w:r w:rsidRPr="0012245E">
              <w:rPr>
                <w:rFonts w:ascii="Times New Roman" w:hAnsi="Times New Roman"/>
              </w:rPr>
              <w:t>. Aký je predpokladaný charakter a rozsah nákladov a prínosov?</w:t>
            </w:r>
          </w:p>
          <w:p w:rsidR="001D127A" w:rsidRPr="0012245E" w:rsidP="001D127A">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1D127A" w:rsidRPr="0012245E" w:rsidP="000627E0">
            <w:pPr>
              <w:numPr>
                <w:numId w:val="5"/>
              </w:numPr>
              <w:bidi w:val="0"/>
              <w:ind w:left="468"/>
              <w:jc w:val="both"/>
              <w:rPr>
                <w:rFonts w:ascii="Times New Roman" w:hAnsi="Times New Roman"/>
              </w:rPr>
            </w:pPr>
            <w:r w:rsidRPr="0012245E">
              <w:rPr>
                <w:rFonts w:ascii="Times New Roman" w:hAnsi="Times New Roman"/>
              </w:rPr>
              <w:t xml:space="preserve">Daňové zaťaženie SZČO sa zníži v dôsledku zavedenia paušálizácie výdavkov na PHL v prípade použitia motorového vozidla nezahrnutého do obchodného majetku. </w:t>
            </w:r>
          </w:p>
          <w:p w:rsidR="001D127A" w:rsidRPr="0012245E" w:rsidP="000627E0">
            <w:pPr>
              <w:numPr>
                <w:numId w:val="5"/>
              </w:numPr>
              <w:bidi w:val="0"/>
              <w:ind w:left="468"/>
              <w:jc w:val="both"/>
              <w:rPr>
                <w:rFonts w:ascii="Times New Roman" w:hAnsi="Times New Roman"/>
              </w:rPr>
            </w:pPr>
            <w:r w:rsidRPr="0012245E">
              <w:rPr>
                <w:rFonts w:ascii="Times New Roman" w:hAnsi="Times New Roman"/>
              </w:rPr>
              <w:t xml:space="preserve">Daňové zaťaženie PO sa zvýši v dôsledku zjednotenia podmienok pre zahrnutie záväzkov a pohľadávok po lehote splatnosti do základu dane. </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1D127A" w:rsidRPr="0012245E" w:rsidP="001D127A">
            <w:pPr>
              <w:bidi w:val="0"/>
              <w:rPr>
                <w:rFonts w:ascii="Times New Roman" w:hAnsi="Times New Roman"/>
              </w:rPr>
            </w:pPr>
          </w:p>
          <w:p w:rsidR="001D127A" w:rsidRPr="0012245E" w:rsidP="001D127A">
            <w:pPr>
              <w:bidi w:val="0"/>
              <w:rPr>
                <w:rFonts w:ascii="Times New Roman" w:hAnsi="Times New Roman"/>
              </w:rPr>
            </w:pPr>
            <w:r w:rsidRPr="0012245E">
              <w:rPr>
                <w:rFonts w:ascii="Times New Roman" w:hAnsi="Times New Roman"/>
                <w:b/>
              </w:rPr>
              <w:t>3.3</w:t>
            </w:r>
            <w:r w:rsidRPr="0012245E">
              <w:rPr>
                <w:rFonts w:ascii="Times New Roman" w:hAnsi="Times New Roman"/>
              </w:rPr>
              <w:t>. Aká je predpokladaná výška administratívnych nákladov, ktoré podniky vynaložia v súvislosti s implementáciou návrhu?</w:t>
            </w:r>
          </w:p>
          <w:p w:rsidR="001D127A" w:rsidRPr="0012245E" w:rsidP="001D127A">
            <w:pPr>
              <w:bidi w:val="0"/>
              <w:ind w:left="360" w:hanging="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top"/>
          </w:tcPr>
          <w:p w:rsidR="001D127A" w:rsidRPr="0012245E" w:rsidP="001D127A">
            <w:pPr>
              <w:bidi w:val="0"/>
              <w:ind w:left="72"/>
              <w:rPr>
                <w:rFonts w:ascii="Times New Roman" w:hAnsi="Times New Roman"/>
              </w:rPr>
            </w:pPr>
          </w:p>
          <w:p w:rsidR="001D127A" w:rsidRPr="0012245E" w:rsidP="001D127A">
            <w:pPr>
              <w:bidi w:val="0"/>
              <w:jc w:val="both"/>
              <w:rPr>
                <w:rFonts w:ascii="Times New Roman" w:hAnsi="Times New Roman"/>
              </w:rPr>
            </w:pPr>
            <w:r w:rsidRPr="0012245E">
              <w:rPr>
                <w:rFonts w:ascii="Times New Roman" w:hAnsi="Times New Roman"/>
              </w:rPr>
              <w:t>Očakáva sa zníženie administratívnej náročnosti daňovníka v dôsledku:</w:t>
            </w:r>
          </w:p>
          <w:p w:rsidR="001D127A" w:rsidRPr="0012245E" w:rsidP="001D127A">
            <w:pPr>
              <w:bidi w:val="0"/>
              <w:jc w:val="both"/>
              <w:rPr>
                <w:rFonts w:ascii="Times New Roman" w:hAnsi="Times New Roman"/>
              </w:rPr>
            </w:pPr>
            <w:r w:rsidRPr="0012245E">
              <w:rPr>
                <w:rFonts w:ascii="Times New Roman" w:hAnsi="Times New Roman"/>
              </w:rPr>
              <w:t>- zjednodušenia a zjednotenia evidencie preukázateľných príjmov a výdavkov pre fyzické osoby</w:t>
            </w:r>
            <w:r w:rsidRPr="0012245E" w:rsidR="0092753C">
              <w:rPr>
                <w:rFonts w:ascii="Times New Roman" w:hAnsi="Times New Roman"/>
              </w:rPr>
              <w:t xml:space="preserve"> - podnikateľov</w:t>
            </w:r>
            <w:r w:rsidRPr="0012245E">
              <w:rPr>
                <w:rFonts w:ascii="Times New Roman" w:hAnsi="Times New Roman"/>
              </w:rPr>
              <w:t>,</w:t>
            </w:r>
          </w:p>
          <w:p w:rsidR="001D127A" w:rsidRPr="0012245E" w:rsidP="001D127A">
            <w:pPr>
              <w:bidi w:val="0"/>
              <w:jc w:val="both"/>
              <w:rPr>
                <w:rFonts w:ascii="Times New Roman" w:hAnsi="Times New Roman"/>
              </w:rPr>
            </w:pPr>
            <w:r w:rsidRPr="0012245E">
              <w:rPr>
                <w:rFonts w:ascii="Times New Roman" w:hAnsi="Times New Roman"/>
              </w:rPr>
              <w:t>- zrušenia oznamovacej povinnosti pri platbách v hotovosti,</w:t>
            </w:r>
          </w:p>
          <w:p w:rsidR="001D127A" w:rsidRPr="0012245E" w:rsidP="001D127A">
            <w:pPr>
              <w:bidi w:val="0"/>
              <w:jc w:val="both"/>
              <w:rPr>
                <w:rFonts w:ascii="Times New Roman" w:hAnsi="Times New Roman"/>
              </w:rPr>
            </w:pPr>
            <w:r w:rsidRPr="0012245E">
              <w:rPr>
                <w:rFonts w:ascii="Times New Roman" w:hAnsi="Times New Roman"/>
              </w:rPr>
              <w:t>- zrušenia oznamovacej povinnosti pri začatí a ukončení zahrnovania nerealizovaných kurzových rozdielov do základu dane,</w:t>
            </w:r>
          </w:p>
          <w:p w:rsidR="001D127A" w:rsidRPr="0012245E" w:rsidP="001D127A">
            <w:pPr>
              <w:bidi w:val="0"/>
              <w:jc w:val="both"/>
              <w:rPr>
                <w:rFonts w:ascii="Times New Roman" w:hAnsi="Times New Roman"/>
              </w:rPr>
            </w:pPr>
            <w:r w:rsidRPr="0012245E">
              <w:rPr>
                <w:rFonts w:ascii="Times New Roman" w:hAnsi="Times New Roman"/>
              </w:rPr>
              <w:t>- zjednotenia spodnej hranice pre povinnosť platenia štvrťročných preddavkov PO a FO.</w:t>
            </w:r>
          </w:p>
          <w:p w:rsidR="001D127A" w:rsidRPr="0012245E" w:rsidP="001D127A">
            <w:pPr>
              <w:bidi w:val="0"/>
              <w:jc w:val="both"/>
              <w:rPr>
                <w:rFonts w:ascii="Times New Roman" w:hAnsi="Times New Roman"/>
              </w:rPr>
            </w:pPr>
            <w:r w:rsidRPr="0012245E">
              <w:rPr>
                <w:rFonts w:ascii="Times New Roman" w:hAnsi="Times New Roman"/>
              </w:rPr>
              <w:t>Zvýšenie administratívnej náročnosti sa predpokladá z dôvodu:</w:t>
            </w:r>
          </w:p>
          <w:p w:rsidR="001D127A" w:rsidRPr="0012245E" w:rsidP="001D127A">
            <w:pPr>
              <w:bidi w:val="0"/>
              <w:jc w:val="both"/>
              <w:rPr>
                <w:rFonts w:ascii="Times New Roman" w:hAnsi="Times New Roman"/>
              </w:rPr>
            </w:pPr>
            <w:r w:rsidRPr="0012245E">
              <w:rPr>
                <w:rFonts w:ascii="Times New Roman" w:hAnsi="Times New Roman"/>
              </w:rPr>
              <w:t>- zavedenia zvýšenej zrážkovej dane na vybrané druhy príjmov a s tým súvisiacej oznamovacej povinnosti,</w:t>
            </w:r>
          </w:p>
          <w:p w:rsidR="001D127A" w:rsidRPr="0012245E" w:rsidP="001D127A">
            <w:pPr>
              <w:bidi w:val="0"/>
              <w:jc w:val="both"/>
              <w:rPr>
                <w:rFonts w:ascii="Times New Roman" w:hAnsi="Times New Roman"/>
              </w:rPr>
            </w:pPr>
            <w:r w:rsidRPr="0012245E">
              <w:rPr>
                <w:rFonts w:ascii="Times New Roman" w:hAnsi="Times New Roman"/>
              </w:rPr>
              <w:t xml:space="preserve">- uloženia povinnosti pre zamestnávateľa uvádzať v ročnom hlásení údaje na zabezpečenie postupu pri poukázaní podielu zaplatenej dane na osobitný účel v prípade, že zamestnanec o uvedené zamestnávateľa požiada. </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textDirection w:val="lrTb"/>
            <w:vAlign w:val="top"/>
          </w:tcPr>
          <w:p w:rsidR="001D127A" w:rsidRPr="0012245E" w:rsidP="001D127A">
            <w:pPr>
              <w:bidi w:val="0"/>
              <w:rPr>
                <w:rFonts w:ascii="Times New Roman" w:hAnsi="Times New Roman"/>
              </w:rPr>
            </w:pPr>
          </w:p>
          <w:p w:rsidR="001D127A" w:rsidRPr="0012245E" w:rsidP="001D127A">
            <w:pPr>
              <w:bidi w:val="0"/>
              <w:rPr>
                <w:rFonts w:ascii="Times New Roman" w:hAnsi="Times New Roman"/>
              </w:rPr>
            </w:pPr>
            <w:r w:rsidRPr="0012245E">
              <w:rPr>
                <w:rFonts w:ascii="Times New Roman" w:hAnsi="Times New Roman"/>
                <w:b/>
              </w:rPr>
              <w:t>3.4</w:t>
            </w:r>
            <w:r w:rsidRPr="0012245E">
              <w:rPr>
                <w:rFonts w:ascii="Times New Roman" w:hAnsi="Times New Roman"/>
              </w:rPr>
              <w:t>. Aké sú dôsledky pripravovaného návrhu pre fungovanie podnikateľských subjektov na slovenskom trhu (ako sa zmenia operácie na trhu?)</w:t>
            </w:r>
          </w:p>
        </w:tc>
        <w:tc>
          <w:tcPr>
            <w:tcW w:w="6061" w:type="dxa"/>
            <w:tcBorders>
              <w:top w:val="nil"/>
              <w:left w:val="nil"/>
              <w:bottom w:val="single" w:sz="4" w:space="0" w:color="auto"/>
              <w:right w:val="single" w:sz="8" w:space="0" w:color="auto"/>
            </w:tcBorders>
            <w:noWrap/>
            <w:textDirection w:val="lrTb"/>
            <w:vAlign w:val="center"/>
          </w:tcPr>
          <w:p w:rsidR="001D127A" w:rsidRPr="0012245E" w:rsidP="001D127A">
            <w:pPr>
              <w:bidi w:val="0"/>
              <w:jc w:val="both"/>
              <w:rPr>
                <w:rFonts w:ascii="Times New Roman" w:hAnsi="Times New Roman"/>
              </w:rPr>
            </w:pPr>
            <w:r w:rsidRPr="0012245E">
              <w:rPr>
                <w:rFonts w:ascii="Times New Roman" w:hAnsi="Times New Roman"/>
              </w:rPr>
              <w:t>Okrem vplyvov uvedených v bodoch 3.2 a 3.3 sa neočakávajú ďalšie vplyvy na fungovanie podnikateľských subjektov.</w:t>
            </w:r>
          </w:p>
        </w:tc>
      </w:tr>
      <w:tr>
        <w:tblPrEx>
          <w:tblW w:w="9195" w:type="dxa"/>
          <w:tblInd w:w="55" w:type="dxa"/>
          <w:tblCellMar>
            <w:left w:w="70" w:type="dxa"/>
            <w:right w:w="70" w:type="dxa"/>
          </w:tblCellMar>
        </w:tblPrEx>
        <w:trPr>
          <w:trHeight w:val="600"/>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1D127A" w:rsidRPr="0012245E" w:rsidP="001D127A">
            <w:pPr>
              <w:bidi w:val="0"/>
              <w:rPr>
                <w:rFonts w:ascii="Times New Roman" w:hAnsi="Times New Roman"/>
              </w:rPr>
            </w:pPr>
          </w:p>
          <w:p w:rsidR="001D127A" w:rsidRPr="0012245E" w:rsidP="001D127A">
            <w:pPr>
              <w:bidi w:val="0"/>
              <w:rPr>
                <w:rFonts w:ascii="Times New Roman" w:hAnsi="Times New Roman"/>
              </w:rPr>
            </w:pPr>
            <w:r w:rsidRPr="0012245E">
              <w:rPr>
                <w:rFonts w:ascii="Times New Roman" w:hAnsi="Times New Roman"/>
                <w:b/>
              </w:rPr>
              <w:t>3.5</w:t>
            </w:r>
            <w:r w:rsidRPr="0012245E">
              <w:rPr>
                <w:rFonts w:ascii="Times New Roman" w:hAnsi="Times New Roman"/>
              </w:rPr>
              <w:t>. Aké sú predpokladané spoločensko – ekonomické dôsledky pripravovaných regulácií?</w:t>
            </w:r>
          </w:p>
        </w:tc>
        <w:tc>
          <w:tcPr>
            <w:tcW w:w="6061" w:type="dxa"/>
            <w:tcBorders>
              <w:top w:val="single" w:sz="4" w:space="0" w:color="auto"/>
              <w:left w:val="nil"/>
              <w:bottom w:val="single" w:sz="4" w:space="0" w:color="auto"/>
              <w:right w:val="single" w:sz="8" w:space="0" w:color="auto"/>
            </w:tcBorders>
            <w:noWrap/>
            <w:textDirection w:val="lrTb"/>
            <w:vAlign w:val="center"/>
          </w:tcPr>
          <w:p w:rsidR="001D127A" w:rsidRPr="0012245E" w:rsidP="001D127A">
            <w:pPr>
              <w:bidi w:val="0"/>
              <w:jc w:val="both"/>
              <w:rPr>
                <w:rFonts w:ascii="Times New Roman" w:hAnsi="Times New Roman"/>
              </w:rPr>
            </w:pPr>
            <w:r w:rsidRPr="0012245E">
              <w:rPr>
                <w:rFonts w:ascii="Times New Roman" w:hAnsi="Times New Roman"/>
              </w:rPr>
              <w:t xml:space="preserve">Snahou je postupné znižovanie administratívnej záťaže daňových subjektov s cieľom udržania efektívneho, jednoduchého a neutrálneho daňového systému. </w:t>
            </w:r>
          </w:p>
        </w:tc>
      </w:tr>
    </w:tbl>
    <w:p w:rsidR="001D127A" w:rsidRPr="0012245E" w:rsidP="001D127A">
      <w:pPr>
        <w:bidi w:val="0"/>
        <w:rPr>
          <w:rFonts w:ascii="Times New Roman" w:hAnsi="Times New Roman"/>
          <w:b/>
        </w:rPr>
      </w:pPr>
      <w:r w:rsidRPr="0012245E">
        <w:rPr>
          <w:rFonts w:ascii="Times New Roman" w:hAnsi="Times New Roman"/>
          <w:b/>
        </w:rPr>
        <w:t>Sociálne vplyvy -  vplyvy na hospodárenie obyvateľstva, sociálnu exklúziu, rovnosť príležitostí a rodovú rovnosť  a na zamestnanosť</w:t>
      </w:r>
    </w:p>
    <w:p w:rsidR="001D127A" w:rsidRPr="0012245E" w:rsidP="001D127A">
      <w:pPr>
        <w:bidi w:val="0"/>
        <w:rPr>
          <w:rFonts w:ascii="Times New Roman" w:hAnsi="Times New Roman"/>
          <w:b/>
          <w:bCs/>
        </w:rPr>
      </w:pPr>
    </w:p>
    <w:tbl>
      <w:tblPr>
        <w:tblStyle w:val="TableNormal"/>
        <w:tblW w:w="9015" w:type="dxa"/>
        <w:jc w:val="center"/>
        <w:tblCellMar>
          <w:left w:w="70" w:type="dxa"/>
          <w:right w:w="70" w:type="dxa"/>
        </w:tblCellMar>
      </w:tblPr>
      <w:tblGrid>
        <w:gridCol w:w="4225"/>
        <w:gridCol w:w="479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1D127A" w:rsidRPr="0012245E" w:rsidP="001D127A">
            <w:pPr>
              <w:bidi w:val="0"/>
              <w:jc w:val="center"/>
              <w:rPr>
                <w:rFonts w:ascii="Times New Roman" w:hAnsi="Times New Roman"/>
                <w:b/>
                <w:bCs/>
                <w:color w:val="FFFFFF"/>
              </w:rPr>
            </w:pPr>
            <w:r w:rsidRPr="0012245E">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4309"/>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1D127A" w:rsidRPr="0012245E" w:rsidP="001D127A">
            <w:pPr>
              <w:bidi w:val="0"/>
              <w:rPr>
                <w:rFonts w:ascii="Times New Roman" w:hAnsi="Times New Roman"/>
              </w:rPr>
            </w:pPr>
            <w:r w:rsidRPr="0012245E">
              <w:rPr>
                <w:rFonts w:ascii="Times New Roman" w:hAnsi="Times New Roman"/>
                <w:b/>
              </w:rPr>
              <w:t>4.1.</w:t>
            </w:r>
            <w:r w:rsidRPr="0012245E">
              <w:rPr>
                <w:rFonts w:ascii="Times New Roman" w:hAnsi="Times New Roman"/>
              </w:rPr>
              <w:t xml:space="preserve"> Identifikujte vplyv na hospodárenie   domácností a špecifikujte ovplyvnené skupiny domácností, ktoré budú pozitívne/negatívne ovplyvnené.  </w:t>
            </w:r>
          </w:p>
        </w:tc>
        <w:tc>
          <w:tcPr>
            <w:tcW w:w="4790" w:type="dxa"/>
            <w:tcBorders>
              <w:top w:val="single" w:sz="4" w:space="0" w:color="auto"/>
              <w:left w:val="nil"/>
              <w:bottom w:val="single" w:sz="4" w:space="0" w:color="auto"/>
              <w:right w:val="single" w:sz="4" w:space="0" w:color="auto"/>
            </w:tcBorders>
            <w:textDirection w:val="lrTb"/>
            <w:vAlign w:val="top"/>
          </w:tcPr>
          <w:p w:rsidR="001D127A" w:rsidRPr="0012245E" w:rsidP="001D127A">
            <w:pPr>
              <w:bidi w:val="0"/>
              <w:jc w:val="both"/>
              <w:rPr>
                <w:rFonts w:ascii="Times New Roman" w:hAnsi="Times New Roman"/>
              </w:rPr>
            </w:pPr>
            <w:r w:rsidRPr="0012245E">
              <w:rPr>
                <w:rFonts w:ascii="Times New Roman" w:hAnsi="Times New Roman"/>
              </w:rPr>
              <w:t>Návrh zákona bude mať pozitívny vplyv na nižšie uvedené skupiny domácností, resp. jednotlivcov:</w:t>
            </w:r>
          </w:p>
          <w:p w:rsidR="001D127A" w:rsidRPr="0012245E" w:rsidP="001D127A">
            <w:pPr>
              <w:bidi w:val="0"/>
              <w:ind w:left="355" w:hanging="355"/>
              <w:jc w:val="both"/>
              <w:rPr>
                <w:rFonts w:ascii="Times New Roman" w:hAnsi="Times New Roman"/>
              </w:rPr>
            </w:pPr>
            <w:r w:rsidRPr="0012245E" w:rsidR="00515F3B">
              <w:rPr>
                <w:rFonts w:ascii="Times New Roman" w:hAnsi="Times New Roman"/>
              </w:rPr>
              <w:t>1</w:t>
            </w:r>
            <w:r w:rsidRPr="0012245E">
              <w:rPr>
                <w:rFonts w:ascii="Times New Roman" w:hAnsi="Times New Roman"/>
              </w:rPr>
              <w:t>)  u fyzických osôb v dôsledku zdanenia sumy výhier prevyšujúcich hranicu, od ktorej už nie je cena alebo výhra oslobodená od dane,</w:t>
            </w:r>
          </w:p>
          <w:p w:rsidR="001D127A" w:rsidRPr="0012245E" w:rsidP="001D127A">
            <w:pPr>
              <w:bidi w:val="0"/>
              <w:ind w:left="355" w:hanging="355"/>
              <w:jc w:val="both"/>
              <w:rPr>
                <w:rFonts w:ascii="Times New Roman" w:hAnsi="Times New Roman"/>
              </w:rPr>
            </w:pPr>
            <w:r w:rsidRPr="0012245E" w:rsidR="00515F3B">
              <w:rPr>
                <w:rFonts w:ascii="Times New Roman" w:hAnsi="Times New Roman"/>
              </w:rPr>
              <w:t>2</w:t>
            </w:r>
            <w:r w:rsidRPr="0012245E">
              <w:rPr>
                <w:rFonts w:ascii="Times New Roman" w:hAnsi="Times New Roman"/>
              </w:rPr>
              <w:t>) u zamestnancov pri výpočte nepeňažného príjmu plynúceho z používania motorového vozidla zamestnávateľa aj na súkromné účely,</w:t>
            </w:r>
          </w:p>
          <w:p w:rsidR="001D127A" w:rsidRPr="0012245E" w:rsidP="001D127A">
            <w:pPr>
              <w:bidi w:val="0"/>
              <w:ind w:left="355" w:hanging="355"/>
              <w:jc w:val="both"/>
              <w:rPr>
                <w:rFonts w:ascii="Times New Roman" w:hAnsi="Times New Roman"/>
              </w:rPr>
            </w:pPr>
            <w:r w:rsidRPr="0012245E" w:rsidR="00515F3B">
              <w:rPr>
                <w:rFonts w:ascii="Times New Roman" w:hAnsi="Times New Roman"/>
              </w:rPr>
              <w:t>3</w:t>
            </w:r>
            <w:r w:rsidRPr="0012245E">
              <w:rPr>
                <w:rFonts w:ascii="Times New Roman" w:hAnsi="Times New Roman"/>
              </w:rPr>
              <w:t xml:space="preserve">)  zvýšením minimálnej sumy dane na úhradu. </w:t>
            </w:r>
          </w:p>
        </w:tc>
      </w:tr>
      <w:tr>
        <w:tblPrEx>
          <w:tblW w:w="9015" w:type="dxa"/>
          <w:jc w:val="center"/>
          <w:tblCellMar>
            <w:left w:w="70" w:type="dxa"/>
            <w:right w:w="70" w:type="dxa"/>
          </w:tblCellMar>
        </w:tblPrEx>
        <w:trPr>
          <w:trHeight w:val="4309"/>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1D127A" w:rsidRPr="0012245E" w:rsidP="001D127A">
            <w:pPr>
              <w:bidi w:val="0"/>
              <w:rPr>
                <w:rFonts w:ascii="Times New Roman" w:hAnsi="Times New Roman"/>
                <w:i/>
              </w:rPr>
            </w:pPr>
            <w:r w:rsidRPr="0012245E">
              <w:rPr>
                <w:rFonts w:ascii="Times New Roman" w:hAnsi="Times New Roman"/>
                <w:i/>
              </w:rPr>
              <w:t xml:space="preserve">Kvantifikujte: </w:t>
            </w:r>
          </w:p>
          <w:p w:rsidR="001D127A" w:rsidRPr="0012245E" w:rsidP="000627E0">
            <w:pPr>
              <w:numPr>
                <w:numId w:val="7"/>
              </w:numPr>
              <w:tabs>
                <w:tab w:val="left" w:pos="328"/>
              </w:tabs>
              <w:bidi w:val="0"/>
              <w:ind w:left="328"/>
              <w:rPr>
                <w:rFonts w:ascii="Times New Roman" w:hAnsi="Times New Roman"/>
                <w:i/>
              </w:rPr>
            </w:pPr>
            <w:r w:rsidRPr="0012245E">
              <w:rPr>
                <w:rFonts w:ascii="Times New Roman" w:hAnsi="Times New Roman"/>
                <w:i/>
              </w:rPr>
              <w:t>Rast alebo pokles príjmov/výdavkov            na priemerného obyvateľa</w:t>
            </w:r>
          </w:p>
          <w:p w:rsidR="001D127A" w:rsidRPr="0012245E" w:rsidP="000627E0">
            <w:pPr>
              <w:numPr>
                <w:numId w:val="7"/>
              </w:numPr>
              <w:tabs>
                <w:tab w:val="left" w:pos="328"/>
              </w:tabs>
              <w:bidi w:val="0"/>
              <w:ind w:left="328"/>
              <w:rPr>
                <w:rFonts w:ascii="Times New Roman" w:hAnsi="Times New Roman"/>
                <w:i/>
              </w:rPr>
            </w:pPr>
            <w:r w:rsidRPr="0012245E">
              <w:rPr>
                <w:rFonts w:ascii="Times New Roman" w:hAnsi="Times New Roman"/>
                <w:i/>
              </w:rPr>
              <w:t>Rast alebo pokles príjmov/výdavkov                  za jednotlivé ovplyvnené  skupiny domácností</w:t>
            </w:r>
          </w:p>
          <w:p w:rsidR="001D127A" w:rsidRPr="0012245E" w:rsidP="001D127A">
            <w:pPr>
              <w:bidi w:val="0"/>
              <w:rPr>
                <w:rFonts w:ascii="Times New Roman" w:hAnsi="Times New Roman"/>
                <w:b/>
                <w:highlight w:val="yellow"/>
              </w:rPr>
            </w:pPr>
            <w:r w:rsidRPr="0012245E">
              <w:rPr>
                <w:rFonts w:ascii="Times New Roman" w:hAnsi="Times New Roman"/>
                <w:i/>
              </w:rPr>
              <w:t>Celkový počet obyvateľstva/domácností ovplyvnených predkladaným materiálom</w:t>
            </w:r>
          </w:p>
        </w:tc>
        <w:tc>
          <w:tcPr>
            <w:tcW w:w="4790" w:type="dxa"/>
            <w:tcBorders>
              <w:top w:val="single" w:sz="4" w:space="0" w:color="auto"/>
              <w:left w:val="nil"/>
              <w:bottom w:val="single" w:sz="4" w:space="0" w:color="auto"/>
              <w:right w:val="single" w:sz="4" w:space="0" w:color="auto"/>
            </w:tcBorders>
            <w:textDirection w:val="lrTb"/>
            <w:vAlign w:val="top"/>
          </w:tcPr>
          <w:p w:rsidR="001D127A" w:rsidRPr="0012245E" w:rsidP="001D127A">
            <w:pPr>
              <w:bidi w:val="0"/>
              <w:jc w:val="both"/>
              <w:rPr>
                <w:rFonts w:ascii="Times New Roman" w:hAnsi="Times New Roman"/>
              </w:rPr>
            </w:pPr>
            <w:r w:rsidRPr="0012245E">
              <w:rPr>
                <w:rFonts w:ascii="Times New Roman" w:hAnsi="Times New Roman"/>
              </w:rPr>
              <w:t xml:space="preserve">Kvantifikácia vplyvov na obyvateľstvo vychádza z </w:t>
            </w:r>
            <w:r w:rsidRPr="0012245E">
              <w:rPr>
                <w:rFonts w:ascii="Times New Roman" w:hAnsi="Times New Roman"/>
                <w:b/>
              </w:rPr>
              <w:t>údajov štatistického zisťovania ŠÚSR o úplných nákladoch práce</w:t>
            </w:r>
            <w:r w:rsidRPr="0012245E">
              <w:rPr>
                <w:rFonts w:ascii="Times New Roman" w:hAnsi="Times New Roman"/>
              </w:rPr>
              <w:t xml:space="preserve"> za rok 2010 a 2011, ktoré pokrývalo vzorku cca 854 000 zamestnancov podnikov, čo v roku 2011 predstavovalo 39% celkovej zamestnanosti a z údajov </w:t>
            </w:r>
            <w:r w:rsidRPr="0012245E">
              <w:rPr>
                <w:rFonts w:ascii="Times New Roman" w:hAnsi="Times New Roman"/>
                <w:b/>
              </w:rPr>
              <w:t>daňových priznaní</w:t>
            </w:r>
            <w:r w:rsidRPr="0012245E">
              <w:rPr>
                <w:rFonts w:ascii="Times New Roman" w:hAnsi="Times New Roman"/>
              </w:rPr>
              <w:t xml:space="preserve"> z predchádzajúcich zdaňovacích období:</w:t>
            </w:r>
          </w:p>
          <w:p w:rsidR="001D127A" w:rsidRPr="0012245E" w:rsidP="001D127A">
            <w:pPr>
              <w:bidi w:val="0"/>
              <w:ind w:left="355" w:hanging="283"/>
              <w:jc w:val="both"/>
              <w:rPr>
                <w:rFonts w:ascii="Times New Roman" w:hAnsi="Times New Roman"/>
                <w:b/>
              </w:rPr>
            </w:pPr>
            <w:r w:rsidRPr="0012245E" w:rsidR="00904DCA">
              <w:rPr>
                <w:rFonts w:ascii="Times New Roman" w:hAnsi="Times New Roman"/>
              </w:rPr>
              <w:t>1</w:t>
            </w:r>
            <w:r w:rsidRPr="0012245E">
              <w:rPr>
                <w:rFonts w:ascii="Times New Roman" w:hAnsi="Times New Roman"/>
              </w:rPr>
              <w:t xml:space="preserve">) podľa údajov z daňových priznaní za roky 2009 až 2011 </w:t>
            </w:r>
            <w:r w:rsidRPr="0012245E">
              <w:rPr>
                <w:rFonts w:ascii="Times New Roman" w:hAnsi="Times New Roman"/>
                <w:b/>
              </w:rPr>
              <w:t xml:space="preserve">priemerný počet daňovníkov, ktorých dosiahli príjem z výhry predstavoval 2 574 </w:t>
            </w:r>
          </w:p>
          <w:p w:rsidR="001D127A" w:rsidRPr="0012245E" w:rsidP="001D127A">
            <w:pPr>
              <w:bidi w:val="0"/>
              <w:ind w:left="355" w:hanging="283"/>
              <w:jc w:val="both"/>
              <w:rPr>
                <w:rFonts w:ascii="Times New Roman" w:hAnsi="Times New Roman"/>
              </w:rPr>
            </w:pPr>
            <w:r w:rsidRPr="0012245E" w:rsidR="00904DCA">
              <w:rPr>
                <w:rFonts w:ascii="Times New Roman" w:hAnsi="Times New Roman"/>
              </w:rPr>
              <w:t>2</w:t>
            </w:r>
            <w:r w:rsidRPr="0012245E">
              <w:rPr>
                <w:rFonts w:ascii="Times New Roman" w:hAnsi="Times New Roman"/>
              </w:rPr>
              <w:t xml:space="preserve">) </w:t>
            </w:r>
            <w:r w:rsidRPr="0012245E">
              <w:rPr>
                <w:rFonts w:ascii="Times New Roman" w:hAnsi="Times New Roman"/>
                <w:color w:val="000000"/>
              </w:rPr>
              <w:t xml:space="preserve">podľa údajov z daňových priznaní za roky 2009 až 2011 priemerný počet daňových subjektov </w:t>
            </w:r>
            <w:r w:rsidRPr="0012245E">
              <w:rPr>
                <w:rFonts w:ascii="Times New Roman" w:hAnsi="Times New Roman"/>
                <w:b/>
                <w:color w:val="000000"/>
              </w:rPr>
              <w:t xml:space="preserve">s daňou na úhradu v rozpätí od 3,32 Eur až 5 Eur predstavoval 881 </w:t>
            </w:r>
          </w:p>
          <w:p w:rsidR="001D127A" w:rsidRPr="0012245E" w:rsidP="001D127A">
            <w:pPr>
              <w:bidi w:val="0"/>
              <w:ind w:left="355" w:hanging="283"/>
              <w:jc w:val="both"/>
              <w:rPr>
                <w:rFonts w:ascii="Times New Roman" w:hAnsi="Times New Roman"/>
              </w:rPr>
            </w:pPr>
          </w:p>
          <w:p w:rsidR="001D127A" w:rsidRPr="0012245E" w:rsidP="001D127A">
            <w:pPr>
              <w:bidi w:val="0"/>
              <w:ind w:left="360"/>
              <w:rPr>
                <w:rFonts w:ascii="Times New Roman" w:hAnsi="Times New Roman"/>
                <w:highlight w:val="yellow"/>
              </w:rPr>
            </w:pPr>
          </w:p>
          <w:p w:rsidR="001D127A" w:rsidRPr="0012245E" w:rsidP="001D127A">
            <w:pPr>
              <w:bidi w:val="0"/>
              <w:jc w:val="both"/>
              <w:rPr>
                <w:rFonts w:ascii="Times New Roman" w:hAnsi="Times New Roman"/>
              </w:rPr>
            </w:pPr>
            <w:r w:rsidRPr="0012245E">
              <w:rPr>
                <w:rFonts w:ascii="Times New Roman" w:hAnsi="Times New Roman"/>
              </w:rPr>
              <w:t xml:space="preserve">Pozitívne vplyvy (v poradí podľa jednotlivých opatrení) v priemere na jedného daňovníka: </w:t>
            </w:r>
          </w:p>
          <w:p w:rsidR="001D127A" w:rsidRPr="0012245E" w:rsidP="001D127A">
            <w:pPr>
              <w:bidi w:val="0"/>
              <w:ind w:left="355" w:hanging="283"/>
              <w:jc w:val="both"/>
              <w:rPr>
                <w:rFonts w:ascii="Times New Roman" w:hAnsi="Times New Roman"/>
                <w:b/>
              </w:rPr>
            </w:pPr>
            <w:r w:rsidRPr="0012245E" w:rsidR="00904DCA">
              <w:rPr>
                <w:rFonts w:ascii="Times New Roman" w:hAnsi="Times New Roman"/>
              </w:rPr>
              <w:t>1</w:t>
            </w:r>
            <w:r w:rsidRPr="0012245E">
              <w:rPr>
                <w:rFonts w:ascii="Times New Roman" w:hAnsi="Times New Roman"/>
              </w:rPr>
              <w:t xml:space="preserve">) </w:t>
            </w:r>
            <w:r w:rsidRPr="0012245E" w:rsidR="00697CB2">
              <w:rPr>
                <w:rFonts w:ascii="Times New Roman" w:hAnsi="Times New Roman"/>
              </w:rPr>
              <w:t>p</w:t>
            </w:r>
            <w:r w:rsidRPr="0012245E">
              <w:rPr>
                <w:rFonts w:ascii="Times New Roman" w:hAnsi="Times New Roman"/>
              </w:rPr>
              <w:t>riemerná úspora na daňovníka týkajúca sa zmeny zdanenia výhier predstavuje 66,5 </w:t>
            </w:r>
            <w:r w:rsidRPr="0012245E" w:rsidR="00697CB2">
              <w:rPr>
                <w:rFonts w:ascii="Times New Roman" w:hAnsi="Times New Roman"/>
              </w:rPr>
              <w:t>e</w:t>
            </w:r>
            <w:r w:rsidRPr="0012245E">
              <w:rPr>
                <w:rFonts w:ascii="Times New Roman" w:hAnsi="Times New Roman"/>
              </w:rPr>
              <w:t>ur/rok.</w:t>
            </w:r>
            <w:r w:rsidRPr="0012245E">
              <w:rPr>
                <w:rFonts w:ascii="Times New Roman" w:hAnsi="Times New Roman"/>
                <w:b/>
              </w:rPr>
              <w:t xml:space="preserve"> </w:t>
            </w:r>
          </w:p>
          <w:p w:rsidR="001D127A" w:rsidRPr="0012245E" w:rsidP="001D127A">
            <w:pPr>
              <w:bidi w:val="0"/>
              <w:ind w:left="355" w:hanging="283"/>
              <w:jc w:val="both"/>
              <w:rPr>
                <w:rFonts w:ascii="Times New Roman" w:hAnsi="Times New Roman"/>
              </w:rPr>
            </w:pPr>
            <w:r w:rsidRPr="0012245E" w:rsidR="00D73B46">
              <w:rPr>
                <w:rFonts w:ascii="Times New Roman" w:hAnsi="Times New Roman"/>
              </w:rPr>
              <w:t>2</w:t>
            </w:r>
            <w:r w:rsidRPr="0012245E">
              <w:rPr>
                <w:rFonts w:ascii="Times New Roman" w:hAnsi="Times New Roman"/>
              </w:rPr>
              <w:t xml:space="preserve">) </w:t>
            </w:r>
            <w:r w:rsidRPr="0012245E" w:rsidR="00697CB2">
              <w:rPr>
                <w:rFonts w:ascii="Times New Roman" w:hAnsi="Times New Roman"/>
              </w:rPr>
              <w:t>p</w:t>
            </w:r>
            <w:r w:rsidRPr="0012245E">
              <w:rPr>
                <w:rFonts w:ascii="Times New Roman" w:hAnsi="Times New Roman"/>
              </w:rPr>
              <w:t xml:space="preserve">riemerná úspora na daňovníka súvisiaca so zmenou v oblasti dane na úhradu, ktorú daňovník nemusí zúčtovať predstavuje 1,82 </w:t>
            </w:r>
            <w:r w:rsidRPr="0012245E" w:rsidR="00697CB2">
              <w:rPr>
                <w:rFonts w:ascii="Times New Roman" w:hAnsi="Times New Roman"/>
              </w:rPr>
              <w:t>e</w:t>
            </w:r>
            <w:r w:rsidRPr="0012245E">
              <w:rPr>
                <w:rFonts w:ascii="Times New Roman" w:hAnsi="Times New Roman"/>
              </w:rPr>
              <w:t xml:space="preserve">ur/rok. </w:t>
            </w:r>
          </w:p>
          <w:p w:rsidR="001D127A" w:rsidRPr="0012245E" w:rsidP="001D127A">
            <w:pPr>
              <w:bidi w:val="0"/>
              <w:jc w:val="both"/>
              <w:rPr>
                <w:rFonts w:ascii="Times New Roman" w:hAnsi="Times New Roman"/>
                <w:highlight w:val="yellow"/>
              </w:rPr>
            </w:pPr>
          </w:p>
        </w:tc>
      </w:tr>
      <w:tr>
        <w:tblPrEx>
          <w:tblW w:w="9015" w:type="dxa"/>
          <w:jc w:val="center"/>
          <w:tblCellMar>
            <w:left w:w="70" w:type="dxa"/>
            <w:right w:w="70" w:type="dxa"/>
          </w:tblCellMar>
        </w:tblPrEx>
        <w:trPr>
          <w:trHeight w:val="4309"/>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1D127A" w:rsidRPr="0012245E" w:rsidP="001D127A">
            <w:pPr>
              <w:bidi w:val="0"/>
              <w:rPr>
                <w:rFonts w:ascii="Times New Roman" w:hAnsi="Times New Roman"/>
              </w:rPr>
            </w:pPr>
            <w:r w:rsidRPr="0012245E">
              <w:rPr>
                <w:rFonts w:ascii="Times New Roman" w:hAnsi="Times New Roman"/>
                <w:b/>
              </w:rPr>
              <w:t>4.2.</w:t>
            </w:r>
            <w:r w:rsidRPr="0012245E">
              <w:rPr>
                <w:rFonts w:ascii="Times New Roman" w:hAnsi="Times New Roman"/>
              </w:rPr>
              <w:t xml:space="preserve"> Zhodnoťte kvalitatívne (prípadne kvantitatívne) vplyvy na prístup k zdrojom, právam, tovarom a službám u jednotlivých ovplyvnených skupín obyvateľstva.</w:t>
            </w:r>
          </w:p>
        </w:tc>
        <w:tc>
          <w:tcPr>
            <w:tcW w:w="4790" w:type="dxa"/>
            <w:tcBorders>
              <w:top w:val="single" w:sz="4" w:space="0" w:color="auto"/>
              <w:left w:val="nil"/>
              <w:bottom w:val="single" w:sz="4" w:space="0" w:color="auto"/>
              <w:right w:val="single" w:sz="4" w:space="0" w:color="auto"/>
            </w:tcBorders>
            <w:textDirection w:val="lrTb"/>
            <w:vAlign w:val="top"/>
          </w:tcPr>
          <w:p w:rsidR="001D127A" w:rsidRPr="0012245E" w:rsidP="001D127A">
            <w:pPr>
              <w:bidi w:val="0"/>
              <w:jc w:val="both"/>
              <w:rPr>
                <w:rFonts w:ascii="Times New Roman" w:hAnsi="Times New Roman"/>
              </w:rPr>
            </w:pPr>
            <w:r w:rsidRPr="0012245E">
              <w:rPr>
                <w:rFonts w:ascii="Times New Roman" w:hAnsi="Times New Roman"/>
              </w:rPr>
              <w:t xml:space="preserve">Nepredpokladá sa vplyv na prístup k zdrojom, právam, tovarom a službám. </w:t>
            </w:r>
          </w:p>
        </w:tc>
      </w:tr>
      <w:tr>
        <w:tblPrEx>
          <w:tblW w:w="9015" w:type="dxa"/>
          <w:jc w:val="center"/>
          <w:tblCellMar>
            <w:left w:w="70" w:type="dxa"/>
            <w:right w:w="70" w:type="dxa"/>
          </w:tblCellMar>
        </w:tblPrEx>
        <w:trPr>
          <w:trHeight w:val="660"/>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1D127A" w:rsidRPr="0012245E" w:rsidP="001D127A">
            <w:pPr>
              <w:bidi w:val="0"/>
              <w:rPr>
                <w:rFonts w:ascii="Times New Roman" w:hAnsi="Times New Roman"/>
              </w:rPr>
            </w:pPr>
            <w:r w:rsidRPr="0012245E">
              <w:rPr>
                <w:rFonts w:ascii="Times New Roman" w:hAnsi="Times New Roman"/>
                <w:b/>
              </w:rPr>
              <w:t>4.3.</w:t>
            </w:r>
            <w:r w:rsidRPr="0012245E">
              <w:rPr>
                <w:rFonts w:ascii="Times New Roman" w:hAnsi="Times New Roman"/>
              </w:rPr>
              <w:t xml:space="preserve">  Zhodnoťte vplyv na rovnosť príležitostí:</w:t>
            </w:r>
          </w:p>
          <w:p w:rsidR="001D127A" w:rsidRPr="0012245E" w:rsidP="001D127A">
            <w:pPr>
              <w:bidi w:val="0"/>
              <w:rPr>
                <w:rFonts w:ascii="Times New Roman" w:hAnsi="Times New Roman"/>
              </w:rPr>
            </w:pPr>
          </w:p>
          <w:p w:rsidR="001D127A" w:rsidRPr="0012245E" w:rsidP="001D127A">
            <w:pPr>
              <w:bidi w:val="0"/>
              <w:rPr>
                <w:rFonts w:ascii="Times New Roman" w:hAnsi="Times New Roman"/>
              </w:rPr>
            </w:pPr>
            <w:r w:rsidRPr="0012245E">
              <w:rPr>
                <w:rFonts w:ascii="Times New Roman" w:hAnsi="Times New Roman"/>
              </w:rPr>
              <w:t>Zhodnoťte vplyv na rodovú rovnosť.</w:t>
            </w:r>
          </w:p>
          <w:p w:rsidR="001D127A" w:rsidRPr="0012245E" w:rsidP="001D127A">
            <w:pPr>
              <w:bidi w:val="0"/>
              <w:rPr>
                <w:rFonts w:ascii="Times New Roman" w:hAnsi="Times New Roman"/>
              </w:rPr>
            </w:pPr>
          </w:p>
        </w:tc>
        <w:tc>
          <w:tcPr>
            <w:tcW w:w="4790" w:type="dxa"/>
            <w:tcBorders>
              <w:top w:val="nil"/>
              <w:left w:val="nil"/>
              <w:bottom w:val="single" w:sz="4" w:space="0" w:color="auto"/>
              <w:right w:val="single" w:sz="4" w:space="0" w:color="auto"/>
            </w:tcBorders>
            <w:textDirection w:val="lrTb"/>
            <w:vAlign w:val="top"/>
          </w:tcPr>
          <w:p w:rsidR="001D127A" w:rsidRPr="0012245E" w:rsidP="001D127A">
            <w:pPr>
              <w:bidi w:val="0"/>
              <w:jc w:val="both"/>
              <w:rPr>
                <w:rFonts w:ascii="Times New Roman" w:hAnsi="Times New Roman"/>
              </w:rPr>
            </w:pPr>
            <w:r w:rsidRPr="0012245E">
              <w:rPr>
                <w:rFonts w:ascii="Times New Roman" w:hAnsi="Times New Roman"/>
              </w:rPr>
              <w:t>Nepredpokladá sa vplyv na rodovú rovnosť.</w:t>
            </w:r>
          </w:p>
          <w:p w:rsidR="001D127A" w:rsidRPr="0012245E" w:rsidP="001D127A">
            <w:pPr>
              <w:bidi w:val="0"/>
              <w:ind w:left="355"/>
              <w:jc w:val="both"/>
              <w:rPr>
                <w:rFonts w:ascii="Times New Roman" w:hAnsi="Times New Roman"/>
              </w:rPr>
            </w:pPr>
          </w:p>
        </w:tc>
      </w:tr>
      <w:tr>
        <w:tblPrEx>
          <w:tblW w:w="9015" w:type="dxa"/>
          <w:jc w:val="center"/>
          <w:tblCellMar>
            <w:left w:w="70" w:type="dxa"/>
            <w:right w:w="70" w:type="dxa"/>
          </w:tblCellMar>
        </w:tblPrEx>
        <w:trPr>
          <w:trHeight w:val="2252"/>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1D127A" w:rsidRPr="0012245E" w:rsidP="001D127A">
            <w:pPr>
              <w:bidi w:val="0"/>
              <w:rPr>
                <w:rFonts w:ascii="Times New Roman" w:hAnsi="Times New Roman"/>
              </w:rPr>
            </w:pPr>
            <w:r w:rsidRPr="0012245E">
              <w:rPr>
                <w:rFonts w:ascii="Times New Roman" w:hAnsi="Times New Roman"/>
                <w:b/>
              </w:rPr>
              <w:t xml:space="preserve">4.4. </w:t>
            </w:r>
            <w:r w:rsidRPr="0012245E">
              <w:rPr>
                <w:rFonts w:ascii="Times New Roman" w:hAnsi="Times New Roman"/>
              </w:rPr>
              <w:t>Zhodnoťte vplyvy na zamestnanosť.</w:t>
            </w:r>
          </w:p>
          <w:p w:rsidR="001D127A" w:rsidRPr="0012245E" w:rsidP="001D127A">
            <w:pPr>
              <w:bidi w:val="0"/>
              <w:rPr>
                <w:rFonts w:ascii="Times New Roman" w:hAnsi="Times New Roman"/>
                <w:b/>
              </w:rPr>
            </w:pPr>
          </w:p>
          <w:p w:rsidR="001D127A" w:rsidRPr="0012245E" w:rsidP="001D127A">
            <w:pPr>
              <w:bidi w:val="0"/>
              <w:rPr>
                <w:rFonts w:ascii="Times New Roman" w:hAnsi="Times New Roman"/>
                <w:bCs/>
              </w:rPr>
            </w:pPr>
            <w:r w:rsidRPr="0012245E">
              <w:rPr>
                <w:rFonts w:ascii="Times New Roman" w:hAnsi="Times New Roman"/>
                <w:bCs/>
              </w:rPr>
              <w:t>Aké sú  vplyvy na zamestnanosť ?</w:t>
            </w:r>
          </w:p>
          <w:p w:rsidR="001D127A" w:rsidRPr="0012245E" w:rsidP="001D127A">
            <w:pPr>
              <w:bidi w:val="0"/>
              <w:rPr>
                <w:rFonts w:ascii="Times New Roman" w:hAnsi="Times New Roman"/>
              </w:rPr>
            </w:pPr>
            <w:r w:rsidRPr="0012245E">
              <w:rPr>
                <w:rFonts w:ascii="Times New Roman" w:hAnsi="Times New Roman"/>
                <w:bCs/>
              </w:rPr>
              <w:t>Ktoré skupiny zamestnancov budú ohrozené schválením predkladaného materiálu ?</w:t>
            </w:r>
          </w:p>
          <w:p w:rsidR="001D127A" w:rsidRPr="0012245E" w:rsidP="001D127A">
            <w:pPr>
              <w:bidi w:val="0"/>
              <w:rPr>
                <w:rFonts w:ascii="Times New Roman" w:hAnsi="Times New Roman"/>
                <w:bCs/>
              </w:rPr>
            </w:pPr>
            <w:r w:rsidRPr="0012245E">
              <w:rPr>
                <w:rFonts w:ascii="Times New Roman" w:hAnsi="Times New Roman"/>
                <w:bCs/>
              </w:rPr>
              <w:t>Hrozí v prípade schválenia predkladaného materiálu hromadné prepúšťanie ?</w:t>
            </w:r>
          </w:p>
        </w:tc>
        <w:tc>
          <w:tcPr>
            <w:tcW w:w="4790" w:type="dxa"/>
            <w:tcBorders>
              <w:top w:val="single" w:sz="4" w:space="0" w:color="auto"/>
              <w:left w:val="single" w:sz="4" w:space="0" w:color="auto"/>
              <w:bottom w:val="single" w:sz="4" w:space="0" w:color="auto"/>
              <w:right w:val="single" w:sz="4" w:space="0" w:color="auto"/>
            </w:tcBorders>
            <w:textDirection w:val="lrTb"/>
            <w:vAlign w:val="top"/>
          </w:tcPr>
          <w:p w:rsidR="001D127A" w:rsidRPr="0012245E" w:rsidP="001D127A">
            <w:pPr>
              <w:bidi w:val="0"/>
              <w:jc w:val="both"/>
              <w:rPr>
                <w:rFonts w:ascii="Times New Roman" w:hAnsi="Times New Roman"/>
              </w:rPr>
            </w:pPr>
            <w:r w:rsidRPr="0012245E">
              <w:rPr>
                <w:rFonts w:ascii="Times New Roman" w:hAnsi="Times New Roman"/>
              </w:rPr>
              <w:t> Nepredpokladá sa vplyv na zamestnanosť.</w:t>
            </w:r>
          </w:p>
          <w:p w:rsidR="001D127A" w:rsidRPr="0012245E" w:rsidP="001D127A">
            <w:pPr>
              <w:bidi w:val="0"/>
              <w:jc w:val="both"/>
              <w:rPr>
                <w:rFonts w:ascii="Times New Roman" w:hAnsi="Times New Roman"/>
              </w:rPr>
            </w:pPr>
          </w:p>
          <w:p w:rsidR="001D127A" w:rsidRPr="0012245E" w:rsidP="001D127A">
            <w:pPr>
              <w:bidi w:val="0"/>
              <w:jc w:val="both"/>
              <w:rPr>
                <w:rFonts w:ascii="Times New Roman" w:hAnsi="Times New Roman"/>
              </w:rPr>
            </w:pPr>
          </w:p>
          <w:p w:rsidR="001D127A" w:rsidRPr="0012245E" w:rsidP="001D127A">
            <w:pPr>
              <w:bidi w:val="0"/>
              <w:jc w:val="both"/>
              <w:rPr>
                <w:rFonts w:ascii="Times New Roman" w:hAnsi="Times New Roman"/>
              </w:rPr>
            </w:pPr>
          </w:p>
          <w:p w:rsidR="001D127A" w:rsidRPr="0012245E" w:rsidP="001D127A">
            <w:pPr>
              <w:bidi w:val="0"/>
              <w:jc w:val="both"/>
              <w:rPr>
                <w:rFonts w:ascii="Times New Roman" w:hAnsi="Times New Roman"/>
              </w:rPr>
            </w:pPr>
          </w:p>
        </w:tc>
      </w:tr>
    </w:tbl>
    <w:p w:rsidR="001D127A" w:rsidRPr="0012245E" w:rsidP="001D127A">
      <w:pPr>
        <w:bidi w:val="0"/>
        <w:jc w:val="both"/>
        <w:rPr>
          <w:rFonts w:ascii="Times New Roman" w:hAnsi="Times New Roman"/>
          <w:b/>
        </w:rPr>
      </w:pPr>
    </w:p>
    <w:p w:rsidR="001D127A" w:rsidRPr="0012245E" w:rsidP="001D127A">
      <w:pPr>
        <w:autoSpaceDE w:val="0"/>
        <w:autoSpaceDN w:val="0"/>
        <w:bidi w:val="0"/>
        <w:adjustRightInd w:val="0"/>
        <w:spacing w:line="300" w:lineRule="atLeast"/>
        <w:jc w:val="both"/>
        <w:rPr>
          <w:rFonts w:ascii="Times New Roman" w:hAnsi="Times New Roman"/>
          <w:color w:val="000000"/>
        </w:rPr>
      </w:pPr>
    </w:p>
    <w:p w:rsidR="00264EAC" w:rsidRPr="0012245E" w:rsidP="001D127A">
      <w:pPr>
        <w:autoSpaceDE w:val="0"/>
        <w:autoSpaceDN w:val="0"/>
        <w:bidi w:val="0"/>
        <w:adjustRightInd w:val="0"/>
        <w:spacing w:line="300" w:lineRule="atLeast"/>
        <w:jc w:val="both"/>
        <w:rPr>
          <w:rFonts w:ascii="Times New Roman" w:hAnsi="Times New Roman"/>
          <w:color w:val="000000"/>
        </w:rPr>
      </w:pPr>
    </w:p>
    <w:p w:rsidR="00264EAC"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P="001D127A">
      <w:pPr>
        <w:autoSpaceDE w:val="0"/>
        <w:autoSpaceDN w:val="0"/>
        <w:bidi w:val="0"/>
        <w:adjustRightInd w:val="0"/>
        <w:spacing w:line="300" w:lineRule="atLeast"/>
        <w:jc w:val="both"/>
        <w:rPr>
          <w:rFonts w:ascii="Times New Roman" w:hAnsi="Times New Roman"/>
          <w:color w:val="000000"/>
        </w:rPr>
      </w:pPr>
    </w:p>
    <w:p w:rsidR="0011564A" w:rsidRPr="0012245E" w:rsidP="001D127A">
      <w:pPr>
        <w:autoSpaceDE w:val="0"/>
        <w:autoSpaceDN w:val="0"/>
        <w:bidi w:val="0"/>
        <w:adjustRightInd w:val="0"/>
        <w:spacing w:line="300" w:lineRule="atLeast"/>
        <w:jc w:val="both"/>
        <w:rPr>
          <w:rFonts w:ascii="Times New Roman" w:hAnsi="Times New Roman"/>
          <w:color w:val="000000"/>
        </w:rPr>
      </w:pPr>
    </w:p>
    <w:p w:rsidR="00264EAC" w:rsidRPr="0012245E" w:rsidP="001D127A">
      <w:pPr>
        <w:autoSpaceDE w:val="0"/>
        <w:autoSpaceDN w:val="0"/>
        <w:bidi w:val="0"/>
        <w:adjustRightInd w:val="0"/>
        <w:spacing w:line="300" w:lineRule="atLeast"/>
        <w:jc w:val="both"/>
        <w:rPr>
          <w:rFonts w:ascii="Times New Roman" w:hAnsi="Times New Roman"/>
          <w:color w:val="000000"/>
        </w:rPr>
      </w:pPr>
    </w:p>
    <w:p w:rsidR="00525984" w:rsidRPr="0012245E" w:rsidP="00525984">
      <w:pPr>
        <w:bidi w:val="0"/>
        <w:jc w:val="center"/>
        <w:rPr>
          <w:rFonts w:ascii="Times New Roman" w:hAnsi="Times New Roman"/>
          <w:b/>
          <w:bCs/>
        </w:rPr>
      </w:pPr>
      <w:r w:rsidRPr="0012245E">
        <w:rPr>
          <w:rFonts w:ascii="Times New Roman" w:hAnsi="Times New Roman"/>
          <w:b/>
          <w:bCs/>
        </w:rPr>
        <w:t>DOLOŽKA ZLUČITEĽNOSTI</w:t>
      </w:r>
    </w:p>
    <w:p w:rsidR="00525984" w:rsidRPr="0012245E" w:rsidP="00525984">
      <w:pPr>
        <w:pBdr>
          <w:bottom w:val="single" w:sz="6" w:space="1" w:color="auto"/>
        </w:pBdr>
        <w:bidi w:val="0"/>
        <w:jc w:val="center"/>
        <w:rPr>
          <w:rFonts w:ascii="Times New Roman" w:hAnsi="Times New Roman"/>
          <w:b/>
          <w:bCs/>
        </w:rPr>
      </w:pPr>
      <w:r w:rsidRPr="0012245E">
        <w:rPr>
          <w:rFonts w:ascii="Times New Roman" w:hAnsi="Times New Roman"/>
          <w:b/>
          <w:bCs/>
        </w:rPr>
        <w:t xml:space="preserve">návrhu zákona, </w:t>
      </w:r>
      <w:r w:rsidRPr="0012245E">
        <w:rPr>
          <w:rFonts w:ascii="Times New Roman" w:hAnsi="Times New Roman"/>
          <w:b/>
        </w:rPr>
        <w:t>ktorým sa mení a dopĺňa zákon č. 595/2003 Z. z. o dani z príjmov v znení neskorších predpisov</w:t>
      </w:r>
      <w:r w:rsidR="0011564A">
        <w:rPr>
          <w:rFonts w:ascii="Times New Roman" w:hAnsi="Times New Roman"/>
          <w:b/>
        </w:rPr>
        <w:t xml:space="preserve"> a ktorým sa mení a dopĺňa zákon č. 564/2004 Z. z. o rozpočtovom určení výnosu dane z príjmov územnej samospráve a o zmene a doplnení niektorých zákonov v znení neskorších predpisov</w:t>
      </w:r>
      <w:r w:rsidRPr="0012245E">
        <w:rPr>
          <w:rFonts w:ascii="Times New Roman" w:hAnsi="Times New Roman"/>
          <w:b/>
        </w:rPr>
        <w:t xml:space="preserve"> </w:t>
      </w:r>
      <w:r w:rsidRPr="0012245E">
        <w:rPr>
          <w:rFonts w:ascii="Times New Roman" w:hAnsi="Times New Roman"/>
          <w:b/>
          <w:bCs/>
        </w:rPr>
        <w:t>s právom Európskej únie</w:t>
      </w:r>
    </w:p>
    <w:p w:rsidR="00525984" w:rsidRPr="0012245E" w:rsidP="00525984">
      <w:pPr>
        <w:bidi w:val="0"/>
        <w:rPr>
          <w:rFonts w:ascii="Times New Roman" w:hAnsi="Times New Roman"/>
          <w:b/>
          <w:bCs/>
        </w:rPr>
      </w:pPr>
    </w:p>
    <w:p w:rsidR="00525984" w:rsidRPr="0012245E" w:rsidP="00525984">
      <w:pPr>
        <w:numPr>
          <w:numId w:val="10"/>
        </w:numPr>
        <w:bidi w:val="0"/>
        <w:spacing w:after="120"/>
        <w:jc w:val="both"/>
        <w:rPr>
          <w:rFonts w:ascii="Times New Roman" w:hAnsi="Times New Roman"/>
        </w:rPr>
      </w:pPr>
      <w:r w:rsidRPr="0012245E">
        <w:rPr>
          <w:rFonts w:ascii="Times New Roman" w:hAnsi="Times New Roman"/>
          <w:b/>
          <w:bCs/>
        </w:rPr>
        <w:t>Predkladateľ zákona:</w:t>
      </w:r>
    </w:p>
    <w:p w:rsidR="00525984" w:rsidRPr="0012245E" w:rsidP="00525984">
      <w:pPr>
        <w:bidi w:val="0"/>
        <w:ind w:firstLine="425"/>
        <w:jc w:val="both"/>
        <w:rPr>
          <w:rFonts w:ascii="Times New Roman" w:hAnsi="Times New Roman"/>
        </w:rPr>
      </w:pPr>
      <w:r w:rsidRPr="0012245E">
        <w:rPr>
          <w:rFonts w:ascii="Times New Roman" w:hAnsi="Times New Roman"/>
        </w:rPr>
        <w:t xml:space="preserve">Vláda Slovenskej republiky. </w:t>
      </w:r>
    </w:p>
    <w:p w:rsidR="00525984" w:rsidRPr="0012245E" w:rsidP="00525984">
      <w:pPr>
        <w:bidi w:val="0"/>
        <w:jc w:val="both"/>
        <w:rPr>
          <w:rFonts w:ascii="Times New Roman" w:hAnsi="Times New Roman"/>
          <w:b/>
          <w:bCs/>
        </w:rPr>
      </w:pPr>
    </w:p>
    <w:p w:rsidR="00525984" w:rsidRPr="0012245E" w:rsidP="00525984">
      <w:pPr>
        <w:numPr>
          <w:numId w:val="10"/>
        </w:numPr>
        <w:bidi w:val="0"/>
        <w:spacing w:after="120"/>
        <w:jc w:val="both"/>
        <w:rPr>
          <w:rFonts w:ascii="Times New Roman" w:hAnsi="Times New Roman"/>
          <w:b/>
          <w:bCs/>
        </w:rPr>
      </w:pPr>
      <w:r w:rsidRPr="0012245E">
        <w:rPr>
          <w:rFonts w:ascii="Times New Roman" w:hAnsi="Times New Roman"/>
          <w:b/>
          <w:bCs/>
        </w:rPr>
        <w:t>Názov návrhu zákona:</w:t>
      </w:r>
    </w:p>
    <w:p w:rsidR="00525984" w:rsidRPr="0012245E" w:rsidP="00525984">
      <w:pPr>
        <w:bidi w:val="0"/>
        <w:ind w:left="425"/>
        <w:jc w:val="both"/>
        <w:rPr>
          <w:rFonts w:ascii="Times New Roman" w:hAnsi="Times New Roman"/>
          <w:b/>
          <w:bCs/>
        </w:rPr>
      </w:pPr>
      <w:r w:rsidRPr="0012245E">
        <w:rPr>
          <w:rFonts w:ascii="Times New Roman" w:hAnsi="Times New Roman"/>
        </w:rPr>
        <w:t>Návrh zákona, ktorým sa mení a dopĺňa zákon č. 595/2003 Z. z. o dani z príjmov v znení neskorších predpisov</w:t>
      </w:r>
      <w:r w:rsidR="0011564A">
        <w:rPr>
          <w:rFonts w:ascii="Times New Roman" w:hAnsi="Times New Roman"/>
        </w:rPr>
        <w:t xml:space="preserve"> </w:t>
      </w:r>
      <w:r w:rsidRPr="0011564A" w:rsidR="0011564A">
        <w:rPr>
          <w:rFonts w:ascii="Times New Roman" w:hAnsi="Times New Roman"/>
        </w:rPr>
        <w:t>a ktorým sa mení a dopĺňa zákon č. 564/2004 Z. z. o rozpočtovom určení výnosu dane z príjmov územnej samospráve a o zmene a doplnení niektorých zákonov v znení neskorších predpisov</w:t>
      </w:r>
      <w:r w:rsidRPr="0011564A">
        <w:rPr>
          <w:rFonts w:ascii="Times New Roman" w:hAnsi="Times New Roman"/>
        </w:rPr>
        <w:t>.</w:t>
      </w:r>
    </w:p>
    <w:p w:rsidR="00525984" w:rsidRPr="0012245E" w:rsidP="00525984">
      <w:pPr>
        <w:bidi w:val="0"/>
        <w:jc w:val="both"/>
        <w:rPr>
          <w:rFonts w:ascii="Times New Roman" w:hAnsi="Times New Roman"/>
          <w:b/>
          <w:bCs/>
        </w:rPr>
      </w:pPr>
    </w:p>
    <w:p w:rsidR="00525984" w:rsidRPr="0012245E" w:rsidP="00525984">
      <w:pPr>
        <w:numPr>
          <w:numId w:val="10"/>
        </w:numPr>
        <w:bidi w:val="0"/>
        <w:spacing w:after="120"/>
        <w:jc w:val="both"/>
        <w:rPr>
          <w:rFonts w:ascii="Times New Roman" w:hAnsi="Times New Roman"/>
          <w:b/>
          <w:bCs/>
        </w:rPr>
      </w:pPr>
      <w:r w:rsidRPr="0012245E">
        <w:rPr>
          <w:rFonts w:ascii="Times New Roman" w:hAnsi="Times New Roman"/>
          <w:b/>
          <w:bCs/>
        </w:rPr>
        <w:t xml:space="preserve">Problematika návrhu zákona: </w:t>
      </w:r>
    </w:p>
    <w:p w:rsidR="00525984" w:rsidRPr="0012245E" w:rsidP="00525984">
      <w:pPr>
        <w:numPr>
          <w:ilvl w:val="1"/>
          <w:numId w:val="10"/>
        </w:numPr>
        <w:bidi w:val="0"/>
        <w:spacing w:after="120"/>
        <w:rPr>
          <w:rFonts w:ascii="Times New Roman" w:hAnsi="Times New Roman"/>
          <w:lang w:eastAsia="cs-CZ"/>
        </w:rPr>
      </w:pPr>
      <w:r w:rsidRPr="0012245E">
        <w:rPr>
          <w:rFonts w:ascii="Times New Roman" w:hAnsi="Times New Roman"/>
          <w:lang w:eastAsia="cs-CZ"/>
        </w:rPr>
        <w:t>je upravená v práve Európskej únie:</w:t>
      </w:r>
    </w:p>
    <w:p w:rsidR="00525984" w:rsidRPr="0012245E" w:rsidP="00525984">
      <w:pPr>
        <w:bidi w:val="0"/>
        <w:spacing w:after="120"/>
        <w:ind w:left="900" w:hanging="425"/>
        <w:rPr>
          <w:rFonts w:ascii="Times New Roman" w:hAnsi="Times New Roman"/>
          <w:b/>
          <w:bCs/>
          <w:iCs/>
          <w:lang w:eastAsia="cs-CZ"/>
        </w:rPr>
      </w:pPr>
      <w:r w:rsidRPr="0012245E">
        <w:rPr>
          <w:rFonts w:ascii="Times New Roman" w:hAnsi="Times New Roman"/>
          <w:b/>
          <w:bCs/>
          <w:iCs/>
          <w:lang w:eastAsia="cs-CZ"/>
        </w:rPr>
        <w:t xml:space="preserve">Primárne právo: </w:t>
      </w:r>
    </w:p>
    <w:p w:rsidR="00525984" w:rsidRPr="0012245E" w:rsidP="00525984">
      <w:pPr>
        <w:numPr>
          <w:numId w:val="11"/>
        </w:numPr>
        <w:bidi w:val="0"/>
        <w:spacing w:after="120"/>
        <w:rPr>
          <w:rFonts w:ascii="Times New Roman" w:hAnsi="Times New Roman"/>
          <w:lang w:eastAsia="cs-CZ"/>
        </w:rPr>
      </w:pPr>
      <w:r w:rsidRPr="0012245E">
        <w:rPr>
          <w:rFonts w:ascii="Times New Roman" w:hAnsi="Times New Roman"/>
          <w:lang w:eastAsia="cs-CZ"/>
        </w:rPr>
        <w:t>čl. 110 až 112 Zmluvy o fungovaní Európskej únie</w:t>
      </w:r>
      <w:r w:rsidRPr="0012245E">
        <w:rPr>
          <w:rFonts w:ascii="Times New Roman" w:hAnsi="Times New Roman"/>
        </w:rPr>
        <w:t>,</w:t>
      </w:r>
    </w:p>
    <w:p w:rsidR="00525984" w:rsidRPr="0012245E" w:rsidP="00525984">
      <w:pPr>
        <w:pStyle w:val="BodyTextIndent"/>
        <w:bidi w:val="0"/>
        <w:ind w:left="475"/>
        <w:rPr>
          <w:rFonts w:ascii="Times New Roman" w:hAnsi="Times New Roman"/>
          <w:b/>
          <w:bCs/>
          <w:i/>
          <w:iCs/>
        </w:rPr>
      </w:pPr>
      <w:r w:rsidRPr="0012245E">
        <w:rPr>
          <w:rFonts w:ascii="Times New Roman" w:hAnsi="Times New Roman"/>
          <w:b/>
          <w:bCs/>
          <w:iCs/>
        </w:rPr>
        <w:t>Sekundárne právo</w:t>
      </w:r>
      <w:r w:rsidRPr="0012245E">
        <w:rPr>
          <w:rFonts w:ascii="Times New Roman" w:hAnsi="Times New Roman"/>
          <w:b/>
          <w:bCs/>
          <w:i/>
          <w:iCs/>
        </w:rPr>
        <w:t xml:space="preserve">  </w:t>
      </w:r>
      <w:r w:rsidRPr="0012245E">
        <w:rPr>
          <w:rFonts w:ascii="Times New Roman" w:hAnsi="Times New Roman"/>
        </w:rPr>
        <w:t>(prijaté po nadobudnutí platnosti Lisabonskej zmluvy, ktorou sa mení a dopĺňa Zmluva o Európskom spoločenstve a Zmluva o Európskej únii - po 30. novembri 2009):</w:t>
      </w:r>
    </w:p>
    <w:p w:rsidR="00525984" w:rsidRPr="0012245E" w:rsidP="00525984">
      <w:pPr>
        <w:numPr>
          <w:numId w:val="20"/>
        </w:numPr>
        <w:autoSpaceDE w:val="0"/>
        <w:autoSpaceDN w:val="0"/>
        <w:bidi w:val="0"/>
        <w:adjustRightInd w:val="0"/>
        <w:spacing w:before="120"/>
        <w:ind w:left="782" w:hanging="357"/>
        <w:jc w:val="both"/>
        <w:rPr>
          <w:rFonts w:ascii="Times New Roman" w:hAnsi="Times New Roman"/>
          <w:bCs/>
          <w:iCs/>
          <w:u w:val="single"/>
        </w:rPr>
      </w:pPr>
      <w:r w:rsidRPr="0012245E">
        <w:rPr>
          <w:rFonts w:ascii="Times New Roman" w:hAnsi="Times New Roman"/>
          <w:bCs/>
          <w:iCs/>
          <w:u w:val="single"/>
        </w:rPr>
        <w:t>legislatívne akty:</w:t>
      </w:r>
    </w:p>
    <w:p w:rsidR="00525984" w:rsidRPr="0012245E" w:rsidP="00525984">
      <w:pPr>
        <w:numPr>
          <w:numId w:val="11"/>
        </w:numPr>
        <w:autoSpaceDE w:val="0"/>
        <w:autoSpaceDN w:val="0"/>
        <w:bidi w:val="0"/>
        <w:adjustRightInd w:val="0"/>
        <w:spacing w:before="120"/>
        <w:jc w:val="both"/>
        <w:rPr>
          <w:rFonts w:ascii="Times New Roman" w:hAnsi="Times New Roman"/>
          <w:bCs/>
          <w:i/>
          <w:iCs/>
          <w:u w:val="single"/>
        </w:rPr>
      </w:pPr>
      <w:r w:rsidRPr="0012245E">
        <w:rPr>
          <w:rFonts w:ascii="Times New Roman" w:hAnsi="Times New Roman"/>
          <w:bCs/>
          <w:iCs/>
        </w:rPr>
        <w:t xml:space="preserve">smernica </w:t>
      </w:r>
      <w:r w:rsidRPr="0012245E">
        <w:rPr>
          <w:rFonts w:ascii="Times New Roman" w:hAnsi="Times New Roman"/>
          <w:bCs/>
        </w:rPr>
        <w:t xml:space="preserve">Rady </w:t>
      </w:r>
      <w:r w:rsidRPr="0012245E">
        <w:rPr>
          <w:rFonts w:ascii="Times New Roman" w:hAnsi="Times New Roman"/>
          <w:bCs/>
          <w:u w:val="single"/>
        </w:rPr>
        <w:t>2011/96/EÚ</w:t>
      </w:r>
      <w:r w:rsidRPr="0012245E">
        <w:rPr>
          <w:rFonts w:ascii="Times New Roman" w:hAnsi="Times New Roman"/>
          <w:bCs/>
        </w:rPr>
        <w:t xml:space="preserve"> z 30. novembra 2011 o spoločnom systéme zdaňovania uplatňovanom v prípade materských spoločností a dcérskych spoločností v rozličných členských štátoch                       (prepracované znenie) (</w:t>
      </w:r>
      <w:r w:rsidRPr="0012245E">
        <w:rPr>
          <w:rStyle w:val="Emphasis"/>
          <w:rFonts w:ascii="Times New Roman" w:hAnsi="Times New Roman"/>
          <w:i w:val="0"/>
          <w:iCs/>
        </w:rPr>
        <w:t>Ú. v. EÚ L 345, 29.12.2011).</w:t>
      </w:r>
    </w:p>
    <w:p w:rsidR="00525984" w:rsidRPr="0012245E" w:rsidP="00525984">
      <w:pPr>
        <w:autoSpaceDE w:val="0"/>
        <w:autoSpaceDN w:val="0"/>
        <w:bidi w:val="0"/>
        <w:adjustRightInd w:val="0"/>
        <w:ind w:left="454"/>
        <w:jc w:val="both"/>
        <w:rPr>
          <w:rFonts w:ascii="Times New Roman" w:hAnsi="Times New Roman"/>
          <w:b/>
          <w:bCs/>
          <w:iCs/>
        </w:rPr>
      </w:pPr>
    </w:p>
    <w:p w:rsidR="00525984" w:rsidRPr="0012245E" w:rsidP="00525984">
      <w:pPr>
        <w:autoSpaceDE w:val="0"/>
        <w:autoSpaceDN w:val="0"/>
        <w:bidi w:val="0"/>
        <w:adjustRightInd w:val="0"/>
        <w:ind w:left="454"/>
        <w:jc w:val="both"/>
        <w:rPr>
          <w:rFonts w:ascii="Times New Roman" w:hAnsi="Times New Roman"/>
        </w:rPr>
      </w:pPr>
      <w:r w:rsidRPr="0012245E">
        <w:rPr>
          <w:rFonts w:ascii="Times New Roman" w:hAnsi="Times New Roman"/>
          <w:b/>
          <w:bCs/>
          <w:iCs/>
        </w:rPr>
        <w:t xml:space="preserve">Sekundárne právo </w:t>
      </w:r>
      <w:r w:rsidRPr="0012245E">
        <w:rPr>
          <w:rFonts w:ascii="Times New Roman" w:hAnsi="Times New Roman"/>
        </w:rPr>
        <w:t>(prijaté pred nadobudnutím platnosti Lisabonskej zmluvy, ktorou sa mení a dopĺňa Zmluva o Európskom spoločenstve a Zmluva o Európskej únii - do 30. novembra 2009):</w:t>
      </w:r>
    </w:p>
    <w:p w:rsidR="00525984" w:rsidRPr="0012245E" w:rsidP="00525984">
      <w:pPr>
        <w:autoSpaceDE w:val="0"/>
        <w:autoSpaceDN w:val="0"/>
        <w:bidi w:val="0"/>
        <w:adjustRightInd w:val="0"/>
        <w:ind w:left="454"/>
        <w:rPr>
          <w:rFonts w:ascii="Times New Roman" w:hAnsi="Times New Roman"/>
          <w:b/>
          <w:bCs/>
          <w:iCs/>
        </w:rPr>
      </w:pPr>
    </w:p>
    <w:p w:rsidR="00525984" w:rsidRPr="0012245E" w:rsidP="00525984">
      <w:pPr>
        <w:numPr>
          <w:numId w:val="12"/>
        </w:numPr>
        <w:bidi w:val="0"/>
        <w:adjustRightInd w:val="0"/>
        <w:spacing w:after="120"/>
        <w:jc w:val="both"/>
        <w:rPr>
          <w:rFonts w:ascii="Times New Roman" w:hAnsi="Times New Roman"/>
        </w:rPr>
      </w:pPr>
      <w:r w:rsidRPr="0012245E">
        <w:rPr>
          <w:rFonts w:ascii="Times New Roman" w:hAnsi="Times New Roman"/>
          <w:bCs/>
        </w:rPr>
        <w:t xml:space="preserve">smernica Rady </w:t>
      </w:r>
      <w:r w:rsidRPr="0012245E">
        <w:rPr>
          <w:rFonts w:ascii="Times New Roman" w:hAnsi="Times New Roman"/>
          <w:bCs/>
          <w:u w:val="single"/>
        </w:rPr>
        <w:t>2003/48/ES</w:t>
      </w:r>
      <w:r w:rsidRPr="0012245E">
        <w:rPr>
          <w:rFonts w:ascii="Times New Roman" w:hAnsi="Times New Roman"/>
          <w:bCs/>
        </w:rPr>
        <w:t xml:space="preserve"> z 3. júna 2003 </w:t>
      </w:r>
      <w:r w:rsidRPr="0012245E">
        <w:rPr>
          <w:rFonts w:ascii="Times New Roman" w:hAnsi="Times New Roman"/>
        </w:rPr>
        <w:t xml:space="preserve">o zdaňovaní príjmu z úspor v podobe výplaty úrokov  </w:t>
      </w:r>
      <w:r w:rsidRPr="0012245E">
        <w:rPr>
          <w:rFonts w:ascii="Times New Roman" w:hAnsi="Times New Roman"/>
          <w:color w:val="000000"/>
        </w:rPr>
        <w:t>(</w:t>
      </w:r>
      <w:r w:rsidRPr="0012245E">
        <w:rPr>
          <w:rFonts w:ascii="Times New Roman" w:hAnsi="Times New Roman"/>
        </w:rPr>
        <w:t xml:space="preserve">Mimoriadne vydanie </w:t>
      </w:r>
      <w:r w:rsidRPr="0012245E">
        <w:rPr>
          <w:rFonts w:ascii="Times New Roman" w:hAnsi="Times New Roman"/>
          <w:color w:val="000000"/>
        </w:rPr>
        <w:t>Ú.v.</w:t>
      </w:r>
      <w:r w:rsidRPr="0012245E">
        <w:rPr>
          <w:rFonts w:ascii="Times New Roman" w:hAnsi="Times New Roman"/>
          <w:i/>
          <w:iCs/>
          <w:color w:val="000000"/>
        </w:rPr>
        <w:t xml:space="preserve"> </w:t>
      </w:r>
      <w:r w:rsidRPr="0012245E">
        <w:rPr>
          <w:rFonts w:ascii="Times New Roman" w:hAnsi="Times New Roman"/>
        </w:rPr>
        <w:t>EÚ, kap.  9/ zv. 1) v platnom znení,</w:t>
      </w:r>
    </w:p>
    <w:p w:rsidR="00525984" w:rsidRPr="0012245E" w:rsidP="00525984">
      <w:pPr>
        <w:numPr>
          <w:numId w:val="13"/>
        </w:numPr>
        <w:bidi w:val="0"/>
        <w:adjustRightInd w:val="0"/>
        <w:spacing w:after="120"/>
        <w:jc w:val="both"/>
        <w:rPr>
          <w:rFonts w:ascii="Times New Roman" w:hAnsi="Times New Roman"/>
        </w:rPr>
      </w:pPr>
      <w:r w:rsidRPr="0012245E">
        <w:rPr>
          <w:rFonts w:ascii="Times New Roman" w:hAnsi="Times New Roman"/>
          <w:bCs/>
        </w:rPr>
        <w:t xml:space="preserve">smernica Rady </w:t>
      </w:r>
      <w:r w:rsidRPr="0012245E">
        <w:rPr>
          <w:rFonts w:ascii="Times New Roman" w:hAnsi="Times New Roman"/>
          <w:bCs/>
          <w:u w:val="single"/>
        </w:rPr>
        <w:t>2003/49/ES</w:t>
      </w:r>
      <w:r w:rsidRPr="0012245E">
        <w:rPr>
          <w:rFonts w:ascii="Times New Roman" w:hAnsi="Times New Roman"/>
          <w:bCs/>
        </w:rPr>
        <w:t xml:space="preserve"> z 3. júna 2003 o spoločnom systéme zdaňovania uplatňovanom na výplaty úrokov a licenčných poplatkov medzi združenými spoločnosťami rôznych členských štátov  </w:t>
      </w:r>
      <w:r w:rsidRPr="0012245E">
        <w:rPr>
          <w:rFonts w:ascii="Times New Roman" w:hAnsi="Times New Roman"/>
          <w:color w:val="000000"/>
        </w:rPr>
        <w:t>(</w:t>
      </w:r>
      <w:r w:rsidRPr="0012245E">
        <w:rPr>
          <w:rFonts w:ascii="Times New Roman" w:hAnsi="Times New Roman"/>
        </w:rPr>
        <w:t xml:space="preserve">Mimoriadne vydanie </w:t>
      </w:r>
      <w:r w:rsidRPr="0012245E">
        <w:rPr>
          <w:rFonts w:ascii="Times New Roman" w:hAnsi="Times New Roman"/>
          <w:color w:val="000000"/>
        </w:rPr>
        <w:t>Ú.v.</w:t>
      </w:r>
      <w:r w:rsidRPr="0012245E">
        <w:rPr>
          <w:rFonts w:ascii="Times New Roman" w:hAnsi="Times New Roman"/>
          <w:i/>
          <w:iCs/>
          <w:color w:val="000000"/>
        </w:rPr>
        <w:t xml:space="preserve"> </w:t>
      </w:r>
      <w:r w:rsidRPr="0012245E">
        <w:rPr>
          <w:rFonts w:ascii="Times New Roman" w:hAnsi="Times New Roman"/>
        </w:rPr>
        <w:t>EÚ, kap. 9/ zv. 1) v platnom znení,</w:t>
      </w:r>
    </w:p>
    <w:p w:rsidR="00525984" w:rsidRPr="0012245E" w:rsidP="00525984">
      <w:pPr>
        <w:numPr>
          <w:numId w:val="13"/>
        </w:numPr>
        <w:bidi w:val="0"/>
        <w:adjustRightInd w:val="0"/>
        <w:spacing w:after="120"/>
        <w:jc w:val="both"/>
        <w:rPr>
          <w:rFonts w:ascii="Times New Roman" w:hAnsi="Times New Roman"/>
        </w:rPr>
      </w:pPr>
      <w:r w:rsidRPr="0012245E">
        <w:rPr>
          <w:rFonts w:ascii="Times New Roman" w:hAnsi="Times New Roman"/>
        </w:rPr>
        <w:t xml:space="preserve">smernica Rady </w:t>
      </w:r>
      <w:r w:rsidRPr="0012245E">
        <w:rPr>
          <w:rFonts w:ascii="Times New Roman" w:hAnsi="Times New Roman"/>
          <w:u w:val="single"/>
        </w:rPr>
        <w:t>2008/7/ES</w:t>
      </w:r>
      <w:r w:rsidRPr="0012245E">
        <w:rPr>
          <w:rFonts w:ascii="Times New Roman" w:hAnsi="Times New Roman"/>
        </w:rPr>
        <w:t xml:space="preserve"> z 12. februára 2008 o nepriamych daniach z navyšovania kapitálu ( Ú. v. EÚ L 46, 21.2. 2008),</w:t>
      </w:r>
    </w:p>
    <w:p w:rsidR="00525984" w:rsidRPr="0012245E" w:rsidP="00525984">
      <w:pPr>
        <w:numPr>
          <w:numId w:val="19"/>
        </w:numPr>
        <w:tabs>
          <w:tab w:val="clear" w:pos="360"/>
          <w:tab w:val="num" w:pos="851"/>
        </w:tabs>
        <w:bidi w:val="0"/>
        <w:spacing w:before="150" w:after="150"/>
        <w:ind w:left="851" w:hanging="284"/>
        <w:jc w:val="both"/>
        <w:rPr>
          <w:rFonts w:ascii="Times New Roman" w:hAnsi="Times New Roman"/>
        </w:rPr>
      </w:pPr>
      <w:r w:rsidRPr="0012245E">
        <w:rPr>
          <w:rFonts w:ascii="Times New Roman" w:hAnsi="Times New Roman"/>
        </w:rPr>
        <w:t xml:space="preserve">smernica Rady </w:t>
      </w:r>
      <w:r w:rsidRPr="0012245E">
        <w:rPr>
          <w:rFonts w:ascii="Times New Roman" w:hAnsi="Times New Roman"/>
          <w:u w:val="single"/>
        </w:rPr>
        <w:t>2009/133/ES</w:t>
      </w:r>
      <w:r w:rsidRPr="0012245E">
        <w:rPr>
          <w:rFonts w:ascii="Times New Roman" w:hAnsi="Times New Roman"/>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 (Ú. v. EÚ L 310, 25.11. 2009). </w:t>
      </w:r>
    </w:p>
    <w:p w:rsidR="005F586B" w:rsidRPr="0012245E" w:rsidP="005F586B">
      <w:pPr>
        <w:bidi w:val="0"/>
        <w:spacing w:before="150" w:after="150"/>
        <w:ind w:left="851"/>
        <w:jc w:val="both"/>
        <w:rPr>
          <w:rFonts w:ascii="Times New Roman" w:hAnsi="Times New Roman"/>
        </w:rPr>
      </w:pPr>
    </w:p>
    <w:p w:rsidR="00525984" w:rsidRPr="0012245E" w:rsidP="00525984">
      <w:pPr>
        <w:numPr>
          <w:ilvl w:val="1"/>
          <w:numId w:val="10"/>
        </w:numPr>
        <w:bidi w:val="0"/>
        <w:spacing w:after="120"/>
        <w:rPr>
          <w:rFonts w:ascii="Times New Roman" w:hAnsi="Times New Roman"/>
          <w:lang w:eastAsia="cs-CZ"/>
        </w:rPr>
      </w:pPr>
      <w:r w:rsidRPr="0012245E">
        <w:rPr>
          <w:rFonts w:ascii="Times New Roman" w:hAnsi="Times New Roman"/>
          <w:lang w:eastAsia="cs-CZ"/>
        </w:rPr>
        <w:t>je obsiahnutá v judikatúre Súdneho dvora Európskej únie:</w:t>
      </w:r>
    </w:p>
    <w:p w:rsidR="00525984" w:rsidRPr="0012245E" w:rsidP="00525984">
      <w:pPr>
        <w:numPr>
          <w:numId w:val="14"/>
        </w:numPr>
        <w:bidi w:val="0"/>
        <w:spacing w:after="120"/>
        <w:jc w:val="both"/>
        <w:rPr>
          <w:rFonts w:ascii="Times New Roman" w:hAnsi="Times New Roman"/>
          <w:color w:val="000000"/>
        </w:rPr>
      </w:pPr>
      <w:r w:rsidRPr="0012245E">
        <w:rPr>
          <w:rFonts w:ascii="Times New Roman" w:hAnsi="Times New Roman"/>
          <w:color w:val="000000"/>
        </w:rPr>
        <w:t xml:space="preserve">rozhodnutie Súdneho dvora vo veci C - 28/95, </w:t>
      </w:r>
      <w:r w:rsidRPr="0012245E">
        <w:rPr>
          <w:rFonts w:ascii="Times New Roman" w:hAnsi="Times New Roman"/>
          <w:bCs/>
          <w:color w:val="000000"/>
        </w:rPr>
        <w:t>A.Leur-Bloem v. Inspecteur der Belastingdienst/Ondernemingen Amsterdam 2</w:t>
      </w:r>
      <w:r w:rsidRPr="0012245E">
        <w:rPr>
          <w:rFonts w:ascii="Times New Roman" w:hAnsi="Times New Roman"/>
          <w:color w:val="000000"/>
        </w:rPr>
        <w:t>, rok 1997,</w:t>
      </w:r>
    </w:p>
    <w:p w:rsidR="00525984" w:rsidRPr="0012245E" w:rsidP="00525984">
      <w:pPr>
        <w:numPr>
          <w:numId w:val="15"/>
        </w:numPr>
        <w:bidi w:val="0"/>
        <w:spacing w:after="120"/>
        <w:jc w:val="both"/>
        <w:rPr>
          <w:rFonts w:ascii="Times New Roman" w:hAnsi="Times New Roman"/>
          <w:color w:val="000000"/>
        </w:rPr>
      </w:pPr>
      <w:r w:rsidRPr="0012245E">
        <w:rPr>
          <w:rFonts w:ascii="Times New Roman" w:hAnsi="Times New Roman"/>
          <w:color w:val="000000"/>
        </w:rPr>
        <w:t xml:space="preserve">rozhodnutie Súdneho dvora vo veci C - 43/2000, Andersen og Jensen ApS v. Skatteministeriet, rok 2002, </w:t>
      </w:r>
    </w:p>
    <w:p w:rsidR="00525984" w:rsidRPr="0012245E" w:rsidP="00525984">
      <w:pPr>
        <w:numPr>
          <w:numId w:val="16"/>
        </w:numPr>
        <w:bidi w:val="0"/>
        <w:spacing w:after="120"/>
        <w:jc w:val="both"/>
        <w:rPr>
          <w:rFonts w:ascii="Times New Roman" w:hAnsi="Times New Roman"/>
          <w:color w:val="000000"/>
        </w:rPr>
      </w:pPr>
      <w:r w:rsidRPr="0012245E">
        <w:rPr>
          <w:rFonts w:ascii="Times New Roman" w:hAnsi="Times New Roman"/>
          <w:color w:val="000000"/>
        </w:rPr>
        <w:t>rozhodnutie Súdneho dvora vo veci C - 522/04, Európska komisia v. Belgické kráľovstvo, rok  2007,</w:t>
      </w:r>
    </w:p>
    <w:p w:rsidR="00525984" w:rsidRPr="0012245E" w:rsidP="00525984">
      <w:pPr>
        <w:numPr>
          <w:numId w:val="17"/>
        </w:numPr>
        <w:bidi w:val="0"/>
        <w:spacing w:after="120"/>
        <w:jc w:val="both"/>
        <w:rPr>
          <w:rFonts w:ascii="Times New Roman" w:hAnsi="Times New Roman"/>
          <w:color w:val="000000"/>
          <w:lang w:val="cs-CZ"/>
        </w:rPr>
      </w:pPr>
      <w:r w:rsidRPr="0012245E">
        <w:rPr>
          <w:rFonts w:ascii="Times New Roman" w:hAnsi="Times New Roman"/>
          <w:color w:val="000000"/>
        </w:rPr>
        <w:t xml:space="preserve">rozhodnutie Súdneho dvora vo veci C - 294/99, Athinaïki Zythopoiia AE </w:t>
      </w:r>
      <w:r w:rsidRPr="0012245E">
        <w:rPr>
          <w:rFonts w:ascii="Times New Roman" w:hAnsi="Times New Roman"/>
          <w:color w:val="000000"/>
        </w:rPr>
        <w:t>v. Elliniko Dimosio, rok  2001</w:t>
      </w:r>
      <w:r w:rsidRPr="0012245E">
        <w:rPr>
          <w:rFonts w:ascii="Times New Roman" w:hAnsi="Times New Roman"/>
          <w:color w:val="000000"/>
          <w:lang w:val="cs-CZ"/>
        </w:rPr>
        <w:t>.</w:t>
      </w:r>
    </w:p>
    <w:p w:rsidR="00525984" w:rsidRPr="0012245E" w:rsidP="00525984">
      <w:pPr>
        <w:bidi w:val="0"/>
        <w:ind w:left="425"/>
        <w:rPr>
          <w:rFonts w:ascii="Times New Roman" w:hAnsi="Times New Roman"/>
          <w:lang w:eastAsia="cs-CZ"/>
        </w:rPr>
      </w:pPr>
    </w:p>
    <w:p w:rsidR="00525984" w:rsidRPr="0012245E" w:rsidP="00525984">
      <w:pPr>
        <w:numPr>
          <w:numId w:val="10"/>
        </w:numPr>
        <w:bidi w:val="0"/>
        <w:spacing w:after="120"/>
        <w:jc w:val="both"/>
        <w:rPr>
          <w:rFonts w:ascii="Times New Roman" w:hAnsi="Times New Roman"/>
          <w:b/>
          <w:bCs/>
        </w:rPr>
      </w:pPr>
      <w:r w:rsidRPr="0012245E">
        <w:rPr>
          <w:rFonts w:ascii="Times New Roman" w:hAnsi="Times New Roman"/>
          <w:b/>
          <w:bCs/>
        </w:rPr>
        <w:t>Záväzky Slovenskej republiky vo vzťahu k Európskej únii:</w:t>
      </w:r>
    </w:p>
    <w:p w:rsidR="00525984" w:rsidRPr="0012245E" w:rsidP="00525984">
      <w:pPr>
        <w:numPr>
          <w:numId w:val="18"/>
        </w:numPr>
        <w:tabs>
          <w:tab w:val="left" w:pos="425"/>
          <w:tab w:val="clear" w:pos="720"/>
        </w:tabs>
        <w:bidi w:val="0"/>
        <w:spacing w:after="120"/>
        <w:ind w:left="425" w:hanging="425"/>
        <w:jc w:val="both"/>
        <w:rPr>
          <w:rFonts w:ascii="Times New Roman" w:hAnsi="Times New Roman"/>
          <w:lang w:eastAsia="cs-CZ"/>
        </w:rPr>
      </w:pPr>
      <w:r w:rsidRPr="0012245E">
        <w:rPr>
          <w:rFonts w:ascii="Times New Roman" w:hAnsi="Times New Roman"/>
          <w:lang w:eastAsia="cs-CZ"/>
        </w:rPr>
        <w:t xml:space="preserve">Lehota na prebratie smernice </w:t>
      </w:r>
      <w:r w:rsidRPr="0012245E">
        <w:rPr>
          <w:rFonts w:ascii="Times New Roman" w:hAnsi="Times New Roman"/>
        </w:rPr>
        <w:t>alebo lehota na implementáciu nariadenia alebo rozhodnutia</w:t>
      </w:r>
      <w:r w:rsidRPr="0012245E">
        <w:rPr>
          <w:rFonts w:ascii="Times New Roman" w:hAnsi="Times New Roman"/>
          <w:bCs/>
        </w:rPr>
        <w:t>: bezpredmetné</w:t>
      </w:r>
    </w:p>
    <w:p w:rsidR="00525984" w:rsidRPr="0012245E" w:rsidP="00525984">
      <w:pPr>
        <w:numPr>
          <w:numId w:val="18"/>
        </w:numPr>
        <w:tabs>
          <w:tab w:val="left" w:pos="425"/>
          <w:tab w:val="clear" w:pos="720"/>
        </w:tabs>
        <w:bidi w:val="0"/>
        <w:spacing w:after="120"/>
        <w:ind w:left="425" w:hanging="425"/>
        <w:jc w:val="both"/>
        <w:rPr>
          <w:rFonts w:ascii="Times New Roman" w:hAnsi="Times New Roman"/>
          <w:lang w:eastAsia="cs-CZ"/>
        </w:rPr>
      </w:pPr>
      <w:r w:rsidRPr="0012245E">
        <w:rPr>
          <w:rFonts w:ascii="Times New Roman" w:hAnsi="Times New Roman"/>
          <w:bCs/>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r w:rsidRPr="0012245E">
        <w:rPr>
          <w:rFonts w:ascii="Times New Roman" w:hAnsi="Times New Roman"/>
          <w:lang w:eastAsia="cs-CZ"/>
        </w:rPr>
        <w:t>.</w:t>
      </w:r>
    </w:p>
    <w:p w:rsidR="00525984" w:rsidRPr="0012245E" w:rsidP="00525984">
      <w:pPr>
        <w:numPr>
          <w:numId w:val="18"/>
        </w:numPr>
        <w:tabs>
          <w:tab w:val="left" w:pos="425"/>
          <w:tab w:val="clear" w:pos="720"/>
        </w:tabs>
        <w:bidi w:val="0"/>
        <w:spacing w:after="120"/>
        <w:ind w:left="425" w:hanging="425"/>
        <w:jc w:val="both"/>
        <w:rPr>
          <w:rFonts w:ascii="Times New Roman" w:hAnsi="Times New Roman"/>
          <w:lang w:eastAsia="cs-CZ"/>
        </w:rPr>
      </w:pPr>
      <w:r w:rsidRPr="0012245E">
        <w:rPr>
          <w:rFonts w:ascii="Times New Roman" w:hAnsi="Times New Roman"/>
          <w:lang w:eastAsia="cs-CZ"/>
        </w:rPr>
        <w:t>Proti SR nebolo začaté konanie o porušení Zmluvy o fungovaní Európskej únie podľa čl. 258 až 260 Zmluvy o fungovaní Európskej únie.</w:t>
      </w:r>
    </w:p>
    <w:p w:rsidR="00525984" w:rsidRPr="0012245E" w:rsidP="00525984">
      <w:pPr>
        <w:numPr>
          <w:numId w:val="18"/>
        </w:numPr>
        <w:tabs>
          <w:tab w:val="left" w:pos="425"/>
          <w:tab w:val="clear" w:pos="720"/>
        </w:tabs>
        <w:bidi w:val="0"/>
        <w:ind w:left="425" w:hanging="425"/>
        <w:jc w:val="both"/>
        <w:rPr>
          <w:rFonts w:ascii="Times New Roman" w:hAnsi="Times New Roman"/>
          <w:lang w:eastAsia="cs-CZ"/>
        </w:rPr>
      </w:pPr>
      <w:r w:rsidRPr="0012245E">
        <w:rPr>
          <w:rFonts w:ascii="Times New Roman" w:hAnsi="Times New Roman"/>
          <w:lang w:eastAsia="cs-CZ"/>
        </w:rPr>
        <w:t>Bezpredmetné.</w:t>
      </w:r>
    </w:p>
    <w:p w:rsidR="00525984" w:rsidRPr="0012245E" w:rsidP="00525984">
      <w:pPr>
        <w:tabs>
          <w:tab w:val="left" w:pos="425"/>
        </w:tabs>
        <w:bidi w:val="0"/>
        <w:ind w:left="425"/>
        <w:jc w:val="both"/>
        <w:rPr>
          <w:rFonts w:ascii="Times New Roman" w:hAnsi="Times New Roman"/>
          <w:lang w:eastAsia="cs-CZ"/>
        </w:rPr>
      </w:pPr>
    </w:p>
    <w:p w:rsidR="00525984" w:rsidRPr="0012245E" w:rsidP="00525984">
      <w:pPr>
        <w:numPr>
          <w:numId w:val="10"/>
        </w:numPr>
        <w:bidi w:val="0"/>
        <w:spacing w:after="120"/>
        <w:jc w:val="both"/>
        <w:rPr>
          <w:rFonts w:ascii="Times New Roman" w:hAnsi="Times New Roman"/>
          <w:b/>
          <w:bCs/>
        </w:rPr>
      </w:pPr>
      <w:r w:rsidRPr="0012245E">
        <w:rPr>
          <w:rFonts w:ascii="Times New Roman" w:hAnsi="Times New Roman"/>
          <w:b/>
          <w:bCs/>
        </w:rPr>
        <w:t>Stupeň zlučiteľnosti návrhu zákona s právom Európskej únie:</w:t>
      </w:r>
    </w:p>
    <w:p w:rsidR="00525984" w:rsidRPr="0012245E" w:rsidP="00525984">
      <w:pPr>
        <w:bidi w:val="0"/>
        <w:spacing w:after="120"/>
        <w:ind w:left="425" w:hanging="425"/>
        <w:jc w:val="both"/>
        <w:rPr>
          <w:rFonts w:ascii="Times New Roman" w:hAnsi="Times New Roman"/>
        </w:rPr>
      </w:pPr>
      <w:r w:rsidRPr="0012245E">
        <w:rPr>
          <w:rFonts w:ascii="Times New Roman" w:hAnsi="Times New Roman"/>
        </w:rPr>
        <w:tab/>
        <w:t>Úplný.</w:t>
      </w:r>
    </w:p>
    <w:p w:rsidR="00525984" w:rsidRPr="0012245E" w:rsidP="00525984">
      <w:pPr>
        <w:numPr>
          <w:numId w:val="10"/>
        </w:numPr>
        <w:bidi w:val="0"/>
        <w:spacing w:after="120"/>
        <w:jc w:val="both"/>
        <w:rPr>
          <w:rFonts w:ascii="Times New Roman" w:hAnsi="Times New Roman"/>
          <w:b/>
          <w:bCs/>
        </w:rPr>
      </w:pPr>
      <w:r w:rsidRPr="0012245E">
        <w:rPr>
          <w:rFonts w:ascii="Times New Roman" w:hAnsi="Times New Roman"/>
          <w:b/>
          <w:bCs/>
        </w:rPr>
        <w:t xml:space="preserve">Gestor a spolupracujúce rezorty: </w:t>
      </w:r>
    </w:p>
    <w:p w:rsidR="00525984" w:rsidRPr="0012245E" w:rsidP="00525984">
      <w:pPr>
        <w:bidi w:val="0"/>
        <w:spacing w:after="120"/>
        <w:ind w:left="360"/>
        <w:jc w:val="both"/>
        <w:rPr>
          <w:rFonts w:ascii="Times New Roman" w:hAnsi="Times New Roman"/>
          <w:b/>
          <w:bCs/>
        </w:rPr>
      </w:pPr>
      <w:r w:rsidRPr="0012245E">
        <w:rPr>
          <w:rFonts w:ascii="Times New Roman" w:hAnsi="Times New Roman"/>
        </w:rPr>
        <w:t xml:space="preserve"> Ministerstvo financií Slovenskej republiky.</w:t>
      </w:r>
    </w:p>
    <w:p w:rsidR="00525984" w:rsidRPr="0012245E" w:rsidP="00525984">
      <w:pPr>
        <w:bidi w:val="0"/>
        <w:jc w:val="both"/>
        <w:rPr>
          <w:rFonts w:ascii="Times New Roman" w:hAnsi="Times New Roman"/>
        </w:rPr>
      </w:pPr>
    </w:p>
    <w:p w:rsidR="005F586B" w:rsidRPr="0012245E" w:rsidP="00525984">
      <w:pPr>
        <w:bidi w:val="0"/>
        <w:jc w:val="both"/>
        <w:rPr>
          <w:rFonts w:ascii="Times New Roman" w:hAnsi="Times New Roman"/>
        </w:rPr>
      </w:pPr>
    </w:p>
    <w:p w:rsidR="005F586B"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167EAA" w:rsidP="00525984">
      <w:pPr>
        <w:bidi w:val="0"/>
        <w:jc w:val="both"/>
        <w:rPr>
          <w:rFonts w:ascii="Times New Roman" w:hAnsi="Times New Roman"/>
        </w:rPr>
      </w:pPr>
    </w:p>
    <w:p w:rsidR="006E0690" w:rsidRPr="0012245E" w:rsidP="00210E92">
      <w:pPr>
        <w:shd w:val="clear" w:color="auto" w:fill="FFFFFF"/>
        <w:bidi w:val="0"/>
        <w:rPr>
          <w:rFonts w:ascii="Times New Roman" w:hAnsi="Times New Roman"/>
          <w:b/>
          <w:u w:val="single"/>
        </w:rPr>
      </w:pPr>
      <w:r w:rsidRPr="0012245E">
        <w:rPr>
          <w:rFonts w:ascii="Times New Roman" w:hAnsi="Times New Roman"/>
          <w:b/>
          <w:u w:val="single"/>
        </w:rPr>
        <w:t xml:space="preserve">Osobitná časť </w:t>
      </w:r>
    </w:p>
    <w:p w:rsidR="006E0690" w:rsidRPr="0012245E" w:rsidP="00210E92">
      <w:pPr>
        <w:shd w:val="clear" w:color="auto" w:fill="FFFFFF"/>
        <w:bidi w:val="0"/>
        <w:rPr>
          <w:rFonts w:ascii="Times New Roman" w:hAnsi="Times New Roman"/>
        </w:rPr>
      </w:pPr>
    </w:p>
    <w:p w:rsidR="00EB4961" w:rsidRPr="0012245E" w:rsidP="00210E92">
      <w:pPr>
        <w:shd w:val="clear" w:color="auto" w:fill="FFFFFF"/>
        <w:bidi w:val="0"/>
        <w:rPr>
          <w:rFonts w:ascii="Times New Roman" w:hAnsi="Times New Roman"/>
          <w:b/>
        </w:rPr>
      </w:pPr>
      <w:r w:rsidRPr="0012245E">
        <w:rPr>
          <w:rFonts w:ascii="Times New Roman" w:hAnsi="Times New Roman"/>
          <w:b/>
        </w:rPr>
        <w:t>K Čl. I</w:t>
      </w:r>
    </w:p>
    <w:p w:rsidR="00F5256F" w:rsidRPr="0012245E" w:rsidP="00210E92">
      <w:pPr>
        <w:shd w:val="clear" w:color="auto" w:fill="FFFFFF"/>
        <w:bidi w:val="0"/>
        <w:rPr>
          <w:rFonts w:ascii="Times New Roman" w:hAnsi="Times New Roman"/>
          <w:b/>
        </w:rPr>
      </w:pPr>
    </w:p>
    <w:p w:rsidR="00620E17" w:rsidRPr="0012245E" w:rsidP="00210E92">
      <w:pPr>
        <w:shd w:val="clear" w:color="auto" w:fill="FFFFFF"/>
        <w:bidi w:val="0"/>
        <w:rPr>
          <w:rFonts w:ascii="Times New Roman" w:hAnsi="Times New Roman"/>
          <w:b/>
        </w:rPr>
      </w:pPr>
      <w:r w:rsidRPr="0012245E" w:rsidR="00DE244B">
        <w:rPr>
          <w:rFonts w:ascii="Times New Roman" w:hAnsi="Times New Roman"/>
          <w:b/>
        </w:rPr>
        <w:t>K bod</w:t>
      </w:r>
      <w:r w:rsidRPr="0012245E" w:rsidR="00E65036">
        <w:rPr>
          <w:rFonts w:ascii="Times New Roman" w:hAnsi="Times New Roman"/>
          <w:b/>
        </w:rPr>
        <w:t>om</w:t>
      </w:r>
      <w:r w:rsidRPr="0012245E" w:rsidR="00DE244B">
        <w:rPr>
          <w:rFonts w:ascii="Times New Roman" w:hAnsi="Times New Roman"/>
          <w:b/>
        </w:rPr>
        <w:t xml:space="preserve"> 1</w:t>
      </w:r>
      <w:r w:rsidRPr="0012245E" w:rsidR="00E65036">
        <w:rPr>
          <w:rFonts w:ascii="Times New Roman" w:hAnsi="Times New Roman"/>
          <w:b/>
        </w:rPr>
        <w:t xml:space="preserve">, </w:t>
      </w:r>
      <w:r w:rsidRPr="0012245E" w:rsidR="002B3869">
        <w:rPr>
          <w:rFonts w:ascii="Times New Roman" w:hAnsi="Times New Roman"/>
          <w:b/>
        </w:rPr>
        <w:t>8</w:t>
      </w:r>
      <w:r w:rsidRPr="0012245E" w:rsidR="00E65036">
        <w:rPr>
          <w:rFonts w:ascii="Times New Roman" w:hAnsi="Times New Roman"/>
          <w:b/>
        </w:rPr>
        <w:t xml:space="preserve">, </w:t>
      </w:r>
      <w:r w:rsidRPr="0012245E" w:rsidR="002B3869">
        <w:rPr>
          <w:rFonts w:ascii="Times New Roman" w:hAnsi="Times New Roman"/>
          <w:b/>
        </w:rPr>
        <w:t>9</w:t>
      </w:r>
      <w:r w:rsidRPr="0012245E" w:rsidR="00A406D8">
        <w:rPr>
          <w:rFonts w:ascii="Times New Roman" w:hAnsi="Times New Roman"/>
          <w:b/>
        </w:rPr>
        <w:t xml:space="preserve">, </w:t>
      </w:r>
      <w:r w:rsidRPr="0012245E" w:rsidR="002B3869">
        <w:rPr>
          <w:rFonts w:ascii="Times New Roman" w:hAnsi="Times New Roman"/>
          <w:b/>
        </w:rPr>
        <w:t>11</w:t>
      </w:r>
      <w:r w:rsidRPr="0012245E" w:rsidR="005D453E">
        <w:rPr>
          <w:rFonts w:ascii="Times New Roman" w:hAnsi="Times New Roman"/>
          <w:b/>
        </w:rPr>
        <w:t>,</w:t>
      </w:r>
      <w:r w:rsidRPr="0012245E" w:rsidR="00642C83">
        <w:rPr>
          <w:rFonts w:ascii="Times New Roman" w:hAnsi="Times New Roman"/>
          <w:b/>
        </w:rPr>
        <w:t xml:space="preserve"> 2</w:t>
      </w:r>
      <w:r w:rsidR="0045487E">
        <w:rPr>
          <w:rFonts w:ascii="Times New Roman" w:hAnsi="Times New Roman"/>
          <w:b/>
        </w:rPr>
        <w:t>8</w:t>
      </w:r>
      <w:r w:rsidRPr="0012245E" w:rsidR="005D453E">
        <w:rPr>
          <w:rFonts w:ascii="Times New Roman" w:hAnsi="Times New Roman"/>
          <w:b/>
        </w:rPr>
        <w:t xml:space="preserve"> a </w:t>
      </w:r>
      <w:r w:rsidR="00167EAA">
        <w:rPr>
          <w:rFonts w:ascii="Times New Roman" w:hAnsi="Times New Roman"/>
          <w:b/>
        </w:rPr>
        <w:t>4</w:t>
      </w:r>
      <w:r w:rsidR="0045487E">
        <w:rPr>
          <w:rFonts w:ascii="Times New Roman" w:hAnsi="Times New Roman"/>
          <w:b/>
        </w:rPr>
        <w:t>4</w:t>
      </w:r>
      <w:r w:rsidRPr="0012245E" w:rsidR="005D453E">
        <w:rPr>
          <w:rFonts w:ascii="Times New Roman" w:hAnsi="Times New Roman"/>
          <w:b/>
        </w:rPr>
        <w:t xml:space="preserve"> </w:t>
      </w:r>
      <w:r w:rsidRPr="0012245E" w:rsidR="00DE244B">
        <w:rPr>
          <w:rFonts w:ascii="Times New Roman" w:hAnsi="Times New Roman"/>
          <w:b/>
        </w:rPr>
        <w:t xml:space="preserve">- </w:t>
      </w:r>
      <w:r w:rsidRPr="0012245E">
        <w:rPr>
          <w:rFonts w:ascii="Times New Roman" w:hAnsi="Times New Roman"/>
          <w:b/>
        </w:rPr>
        <w:t xml:space="preserve">§ </w:t>
      </w:r>
      <w:r w:rsidRPr="0012245E" w:rsidR="0043120B">
        <w:rPr>
          <w:rFonts w:ascii="Times New Roman" w:hAnsi="Times New Roman"/>
          <w:b/>
        </w:rPr>
        <w:t>2 písm. c), i), m), § 9 ods. 5, § 17 ods. 1 písm. a), ods. 8</w:t>
      </w:r>
      <w:r w:rsidRPr="0012245E" w:rsidR="00FD0A34">
        <w:rPr>
          <w:rFonts w:ascii="Times New Roman" w:hAnsi="Times New Roman"/>
          <w:b/>
        </w:rPr>
        <w:t xml:space="preserve"> písm. a)</w:t>
      </w:r>
      <w:r w:rsidRPr="0012245E" w:rsidR="0043120B">
        <w:rPr>
          <w:rFonts w:ascii="Times New Roman" w:hAnsi="Times New Roman"/>
          <w:b/>
        </w:rPr>
        <w:t>, ods. 12, § 19 ods. 3 písm. h)</w:t>
      </w:r>
      <w:r w:rsidRPr="0012245E" w:rsidR="005D453E">
        <w:rPr>
          <w:rFonts w:ascii="Times New Roman" w:hAnsi="Times New Roman"/>
          <w:b/>
        </w:rPr>
        <w:t xml:space="preserve"> a k)</w:t>
      </w:r>
      <w:r w:rsidRPr="0012245E" w:rsidR="0043120B">
        <w:rPr>
          <w:rFonts w:ascii="Times New Roman" w:hAnsi="Times New Roman"/>
          <w:b/>
        </w:rPr>
        <w:t xml:space="preserve">, § 22 ods. 1, </w:t>
      </w:r>
      <w:r w:rsidRPr="0012245E" w:rsidR="00FD0A34">
        <w:rPr>
          <w:rFonts w:ascii="Times New Roman" w:hAnsi="Times New Roman"/>
          <w:b/>
        </w:rPr>
        <w:t xml:space="preserve">ods. 4, ods. 11, ods. 12, </w:t>
      </w:r>
      <w:r w:rsidRPr="0012245E" w:rsidR="0043120B">
        <w:rPr>
          <w:rFonts w:ascii="Times New Roman" w:hAnsi="Times New Roman"/>
          <w:b/>
        </w:rPr>
        <w:t xml:space="preserve">§ 24 ods. 1, § 26 ods. 9, § 6 ods. </w:t>
      </w:r>
      <w:r w:rsidRPr="0012245E" w:rsidR="00A406D8">
        <w:rPr>
          <w:rFonts w:ascii="Times New Roman" w:hAnsi="Times New Roman"/>
          <w:b/>
        </w:rPr>
        <w:t>10 a</w:t>
      </w:r>
      <w:r w:rsidRPr="0012245E" w:rsidR="0043120B">
        <w:rPr>
          <w:rFonts w:ascii="Times New Roman" w:hAnsi="Times New Roman"/>
          <w:b/>
        </w:rPr>
        <w:t>11, § 6 ods. 14 a 15, § 17 ods. 3 písm. h) a § 51a ods. 1, 2, 3 a 7</w:t>
      </w:r>
    </w:p>
    <w:p w:rsidR="009878B0" w:rsidRPr="0012245E" w:rsidP="00210E92">
      <w:pPr>
        <w:shd w:val="clear" w:color="auto" w:fill="FFFFFF"/>
        <w:bidi w:val="0"/>
        <w:jc w:val="both"/>
        <w:rPr>
          <w:rFonts w:ascii="Times New Roman" w:hAnsi="Times New Roman"/>
        </w:rPr>
      </w:pPr>
      <w:r w:rsidRPr="0012245E">
        <w:rPr>
          <w:rFonts w:ascii="Times New Roman" w:hAnsi="Times New Roman"/>
        </w:rPr>
        <w:t>Navrhovaná úprava je jedným z nástrojov na zatraktívnenie podnikateľského prostredia, zníženie administratívnej náročnosti a zjednodušenie určenia daňovej povinnosti predovšetkým pre podnikateľov.</w:t>
      </w:r>
    </w:p>
    <w:p w:rsidR="009878B0" w:rsidRPr="0012245E" w:rsidP="00210E92">
      <w:pPr>
        <w:shd w:val="clear" w:color="auto" w:fill="FFFFFF"/>
        <w:bidi w:val="0"/>
        <w:jc w:val="both"/>
        <w:rPr>
          <w:rFonts w:ascii="Times New Roman" w:hAnsi="Times New Roman"/>
        </w:rPr>
      </w:pPr>
      <w:r w:rsidRPr="0012245E">
        <w:rPr>
          <w:rFonts w:ascii="Times New Roman" w:hAnsi="Times New Roman"/>
        </w:rPr>
        <w:t>V súčasnosti je možné pre daňovník</w:t>
      </w:r>
      <w:r w:rsidRPr="0012245E" w:rsidR="005529FE">
        <w:rPr>
          <w:rFonts w:ascii="Times New Roman" w:hAnsi="Times New Roman"/>
        </w:rPr>
        <w:t>ov</w:t>
      </w:r>
      <w:r w:rsidRPr="0012245E">
        <w:rPr>
          <w:rFonts w:ascii="Times New Roman" w:hAnsi="Times New Roman"/>
        </w:rPr>
        <w:t xml:space="preserve"> s príjmami z podnikania a z inej samostatnej zárobkovej činnosti viesť zjednodušenú formu uplatňovania preukázateľných výdavkov formou daňovej evidencie</w:t>
      </w:r>
      <w:r w:rsidR="001F1378">
        <w:rPr>
          <w:rFonts w:ascii="Times New Roman" w:hAnsi="Times New Roman"/>
        </w:rPr>
        <w:t>,</w:t>
      </w:r>
      <w:r w:rsidRPr="0012245E">
        <w:rPr>
          <w:rFonts w:ascii="Times New Roman" w:hAnsi="Times New Roman"/>
        </w:rPr>
        <w:t xml:space="preserve"> len ak títo nemajú zamestnancov a ich príjmy (výnosy) v predchádzajúcom zdaňovacom období nepresiahli 170 000 eur.</w:t>
      </w:r>
    </w:p>
    <w:p w:rsidR="009878B0" w:rsidRPr="0045487E" w:rsidP="00210E92">
      <w:pPr>
        <w:shd w:val="clear" w:color="auto" w:fill="FFFFFF"/>
        <w:bidi w:val="0"/>
        <w:jc w:val="both"/>
        <w:rPr>
          <w:rFonts w:ascii="Times New Roman" w:hAnsi="Times New Roman"/>
        </w:rPr>
      </w:pPr>
      <w:r w:rsidRPr="0012245E">
        <w:rPr>
          <w:rFonts w:ascii="Times New Roman" w:hAnsi="Times New Roman"/>
        </w:rPr>
        <w:t>Tak</w:t>
      </w:r>
      <w:r w:rsidRPr="0012245E" w:rsidR="00EC1DC5">
        <w:rPr>
          <w:rFonts w:ascii="Times New Roman" w:hAnsi="Times New Roman"/>
        </w:rPr>
        <w:t>í</w:t>
      </w:r>
      <w:r w:rsidRPr="0012245E">
        <w:rPr>
          <w:rFonts w:ascii="Times New Roman" w:hAnsi="Times New Roman"/>
        </w:rPr>
        <w:t>to daňovníci nemusia viesť účtovníctvo, či už jednoduché alebo podvojné</w:t>
      </w:r>
      <w:r w:rsidRPr="0012245E" w:rsidR="00D71865">
        <w:rPr>
          <w:rFonts w:ascii="Times New Roman" w:hAnsi="Times New Roman"/>
        </w:rPr>
        <w:t>,</w:t>
      </w:r>
      <w:r w:rsidRPr="0012245E">
        <w:rPr>
          <w:rFonts w:ascii="Times New Roman" w:hAnsi="Times New Roman"/>
        </w:rPr>
        <w:t xml:space="preserve"> ale môžu viesť </w:t>
      </w:r>
      <w:r w:rsidRPr="0045487E">
        <w:rPr>
          <w:rFonts w:ascii="Times New Roman" w:hAnsi="Times New Roman"/>
        </w:rPr>
        <w:t xml:space="preserve">práve daňovú evidenciu o </w:t>
      </w:r>
    </w:p>
    <w:p w:rsidR="009878B0" w:rsidRPr="0045487E" w:rsidP="00210E92">
      <w:pPr>
        <w:shd w:val="clear" w:color="auto" w:fill="FFFFFF"/>
        <w:bidi w:val="0"/>
        <w:jc w:val="both"/>
        <w:rPr>
          <w:rFonts w:ascii="Times New Roman" w:hAnsi="Times New Roman"/>
        </w:rPr>
      </w:pPr>
      <w:r w:rsidRPr="0045487E">
        <w:rPr>
          <w:rFonts w:ascii="Times New Roman" w:hAnsi="Times New Roman"/>
        </w:rPr>
        <w:t>a) príjmoch a daňových výdavkoch v časovom slede vrátane prijatých a vydaných dokladov, ktoré spĺňajú náležitosti účtovných dokladov,</w:t>
      </w:r>
      <w:r w:rsidRPr="0045487E" w:rsidR="004C6FC7">
        <w:rPr>
          <w:rFonts w:ascii="Times New Roman" w:hAnsi="Times New Roman"/>
        </w:rPr>
        <w:t xml:space="preserve"> </w:t>
      </w:r>
    </w:p>
    <w:p w:rsidR="009878B0" w:rsidRPr="0045487E" w:rsidP="00210E92">
      <w:pPr>
        <w:shd w:val="clear" w:color="auto" w:fill="FFFFFF"/>
        <w:bidi w:val="0"/>
        <w:jc w:val="both"/>
        <w:rPr>
          <w:rFonts w:ascii="Times New Roman" w:hAnsi="Times New Roman"/>
        </w:rPr>
      </w:pPr>
      <w:bookmarkStart w:id="1" w:name="f_5273724"/>
      <w:bookmarkEnd w:id="1"/>
      <w:r w:rsidRPr="0045487E">
        <w:rPr>
          <w:rFonts w:ascii="Times New Roman" w:hAnsi="Times New Roman"/>
        </w:rPr>
        <w:t>b) hmotnom majetku a nehmotnom majetku, využívanom v súvislosti s príjmami z podnikania, inej samostatnej zárobkovej činnosti, prenájmu a použitia diela a umeleckého výkonu,</w:t>
      </w:r>
    </w:p>
    <w:p w:rsidR="009878B0" w:rsidRPr="0045487E" w:rsidP="00210E92">
      <w:pPr>
        <w:shd w:val="clear" w:color="auto" w:fill="FFFFFF"/>
        <w:bidi w:val="0"/>
        <w:rPr>
          <w:rFonts w:ascii="Times New Roman" w:hAnsi="Times New Roman"/>
        </w:rPr>
      </w:pPr>
      <w:bookmarkStart w:id="2" w:name="f_5273725"/>
      <w:bookmarkEnd w:id="2"/>
      <w:r w:rsidRPr="0045487E">
        <w:rPr>
          <w:rFonts w:ascii="Times New Roman" w:hAnsi="Times New Roman"/>
        </w:rPr>
        <w:t>c) zásobách, pohľadávkach a záväzkoch.</w:t>
      </w:r>
    </w:p>
    <w:p w:rsidR="009878B0" w:rsidRPr="0045487E" w:rsidP="00210E92">
      <w:pPr>
        <w:shd w:val="clear" w:color="auto" w:fill="FFFFFF"/>
        <w:bidi w:val="0"/>
        <w:jc w:val="both"/>
        <w:rPr>
          <w:rFonts w:ascii="Times New Roman" w:hAnsi="Times New Roman"/>
        </w:rPr>
      </w:pPr>
      <w:r w:rsidRPr="0045487E">
        <w:rPr>
          <w:rFonts w:ascii="Times New Roman" w:hAnsi="Times New Roman"/>
        </w:rPr>
        <w:t>V prípade, ak porušili jednu zo zákonnom stanovených podmienok</w:t>
      </w:r>
      <w:r w:rsidRPr="0045487E" w:rsidR="00C74C86">
        <w:rPr>
          <w:rFonts w:ascii="Times New Roman" w:hAnsi="Times New Roman"/>
        </w:rPr>
        <w:t>,</w:t>
      </w:r>
      <w:r w:rsidRPr="0045487E">
        <w:rPr>
          <w:rFonts w:ascii="Times New Roman" w:hAnsi="Times New Roman"/>
        </w:rPr>
        <w:t xml:space="preserve"> </w:t>
      </w:r>
      <w:r w:rsidRPr="0045487E" w:rsidR="00C74C86">
        <w:rPr>
          <w:rFonts w:ascii="Times New Roman" w:hAnsi="Times New Roman"/>
        </w:rPr>
        <w:t xml:space="preserve">vznikla by im povinnosť </w:t>
      </w:r>
      <w:r w:rsidRPr="0045487E">
        <w:rPr>
          <w:rFonts w:ascii="Times New Roman" w:hAnsi="Times New Roman"/>
        </w:rPr>
        <w:t>v nasledujúcom zdaňovacom období začať viesť účtovníctvo alebo uplatňovať paušálne výdavky.</w:t>
      </w:r>
    </w:p>
    <w:p w:rsidR="009878B0" w:rsidRPr="0045487E" w:rsidP="00210E92">
      <w:pPr>
        <w:shd w:val="clear" w:color="auto" w:fill="FFFFFF"/>
        <w:bidi w:val="0"/>
        <w:jc w:val="both"/>
        <w:rPr>
          <w:rFonts w:ascii="Times New Roman" w:hAnsi="Times New Roman"/>
        </w:rPr>
      </w:pPr>
      <w:r w:rsidRPr="0045487E">
        <w:rPr>
          <w:rFonts w:ascii="Times New Roman" w:hAnsi="Times New Roman"/>
        </w:rPr>
        <w:t>S účinnosťou od 1.1.2014 sa navrhuj</w:t>
      </w:r>
      <w:r w:rsidRPr="0045487E" w:rsidR="005311FC">
        <w:rPr>
          <w:rFonts w:ascii="Times New Roman" w:hAnsi="Times New Roman"/>
        </w:rPr>
        <w:t>e</w:t>
      </w:r>
      <w:r w:rsidRPr="0045487E">
        <w:rPr>
          <w:rFonts w:ascii="Times New Roman" w:hAnsi="Times New Roman"/>
        </w:rPr>
        <w:t xml:space="preserve"> zrušiť uvedené podmienky a uplatňovanie preukázateľne vynaložených výdavkov formou daňovej evidencie budú môcť využiť všetci daňovníci s príjmami z podnikania, z inej samostatnej zárobkovej činnosti a z použitia diela a umeleckého výkonu.</w:t>
      </w:r>
    </w:p>
    <w:p w:rsidR="00F85EBF" w:rsidRPr="0045487E" w:rsidP="00210E92">
      <w:pPr>
        <w:shd w:val="clear" w:color="auto" w:fill="FFFFFF"/>
        <w:bidi w:val="0"/>
        <w:jc w:val="both"/>
        <w:rPr>
          <w:rFonts w:ascii="Times New Roman" w:hAnsi="Times New Roman"/>
        </w:rPr>
      </w:pPr>
      <w:r w:rsidRPr="0045487E" w:rsidR="009878B0">
        <w:rPr>
          <w:rFonts w:ascii="Times New Roman" w:hAnsi="Times New Roman"/>
        </w:rPr>
        <w:t xml:space="preserve">Zároveň sa </w:t>
      </w:r>
    </w:p>
    <w:p w:rsidR="00F85EBF" w:rsidRPr="0045487E" w:rsidP="00F85EBF">
      <w:pPr>
        <w:numPr>
          <w:numId w:val="17"/>
        </w:numPr>
        <w:shd w:val="clear" w:color="auto" w:fill="FFFFFF"/>
        <w:tabs>
          <w:tab w:val="num" w:pos="142"/>
          <w:tab w:val="clear" w:pos="870"/>
        </w:tabs>
        <w:bidi w:val="0"/>
        <w:ind w:left="142" w:hanging="142"/>
        <w:jc w:val="both"/>
        <w:rPr>
          <w:rFonts w:ascii="Times New Roman" w:hAnsi="Times New Roman"/>
        </w:rPr>
      </w:pPr>
      <w:r w:rsidRPr="0045487E" w:rsidR="009878B0">
        <w:rPr>
          <w:rFonts w:ascii="Times New Roman" w:hAnsi="Times New Roman"/>
        </w:rPr>
        <w:t>ruší druhá forma vedenia evidencie preukázateľných výdavkov pre príjmy z prenájmu, ktorá je nahradená práve daňovou evidenci</w:t>
      </w:r>
      <w:r w:rsidRPr="0045487E" w:rsidR="009431D5">
        <w:rPr>
          <w:rFonts w:ascii="Times New Roman" w:hAnsi="Times New Roman"/>
        </w:rPr>
        <w:t>o</w:t>
      </w:r>
      <w:r w:rsidRPr="0045487E" w:rsidR="009878B0">
        <w:rPr>
          <w:rFonts w:ascii="Times New Roman" w:hAnsi="Times New Roman"/>
        </w:rPr>
        <w:t xml:space="preserve">u </w:t>
      </w:r>
      <w:r w:rsidRPr="0045487E">
        <w:rPr>
          <w:rFonts w:ascii="Times New Roman" w:hAnsi="Times New Roman"/>
        </w:rPr>
        <w:t>a</w:t>
      </w:r>
    </w:p>
    <w:p w:rsidR="00F85EBF" w:rsidRPr="0045487E" w:rsidP="00F85EBF">
      <w:pPr>
        <w:numPr>
          <w:numId w:val="17"/>
        </w:numPr>
        <w:shd w:val="clear" w:color="auto" w:fill="FFFFFF"/>
        <w:tabs>
          <w:tab w:val="num" w:pos="142"/>
          <w:tab w:val="clear" w:pos="870"/>
        </w:tabs>
        <w:bidi w:val="0"/>
        <w:ind w:left="142" w:hanging="142"/>
        <w:jc w:val="both"/>
        <w:rPr>
          <w:rFonts w:ascii="Times New Roman" w:hAnsi="Times New Roman"/>
        </w:rPr>
      </w:pPr>
      <w:r w:rsidRPr="0045487E">
        <w:rPr>
          <w:rFonts w:ascii="Times New Roman" w:hAnsi="Times New Roman"/>
        </w:rPr>
        <w:t>zjednocuje sa aj evidencia pre paušálne výdavky s daňovou evidenciou, pričom však v tomto prípade vedú daňovníci takúto evidenciu len v rozsahu preukázateľných príjmov, zásob a pohľadávok.</w:t>
      </w:r>
    </w:p>
    <w:p w:rsidR="009878B0" w:rsidRPr="0045487E" w:rsidP="00F85EBF">
      <w:pPr>
        <w:shd w:val="clear" w:color="auto" w:fill="FFFFFF"/>
        <w:bidi w:val="0"/>
        <w:jc w:val="both"/>
        <w:rPr>
          <w:rFonts w:ascii="Times New Roman" w:hAnsi="Times New Roman"/>
        </w:rPr>
      </w:pPr>
      <w:r w:rsidRPr="0045487E" w:rsidR="00F85EBF">
        <w:rPr>
          <w:rFonts w:ascii="Times New Roman" w:hAnsi="Times New Roman"/>
        </w:rPr>
        <w:t xml:space="preserve">Uvedenou úpravou </w:t>
      </w:r>
      <w:r w:rsidRPr="0045487E">
        <w:rPr>
          <w:rFonts w:ascii="Times New Roman" w:hAnsi="Times New Roman"/>
        </w:rPr>
        <w:t xml:space="preserve">sa </w:t>
      </w:r>
      <w:r w:rsidRPr="0045487E" w:rsidR="00F85EBF">
        <w:rPr>
          <w:rFonts w:ascii="Times New Roman" w:hAnsi="Times New Roman"/>
        </w:rPr>
        <w:t xml:space="preserve">zjednocuje forma evidencií </w:t>
      </w:r>
      <w:r w:rsidRPr="0045487E">
        <w:rPr>
          <w:rFonts w:ascii="Times New Roman" w:hAnsi="Times New Roman"/>
        </w:rPr>
        <w:t>pre všetkých daňovníkov s príjmami podľa § 6 zákona.</w:t>
      </w:r>
    </w:p>
    <w:p w:rsidR="009878B0" w:rsidRPr="0045487E" w:rsidP="00210E92">
      <w:pPr>
        <w:shd w:val="clear" w:color="auto" w:fill="FFFFFF"/>
        <w:bidi w:val="0"/>
        <w:rPr>
          <w:rFonts w:ascii="Times New Roman" w:hAnsi="Times New Roman"/>
        </w:rPr>
      </w:pPr>
      <w:r w:rsidRPr="0045487E">
        <w:rPr>
          <w:rFonts w:ascii="Times New Roman" w:hAnsi="Times New Roman"/>
        </w:rPr>
        <w:t>S účinnosťou od 1.1.2014 si preto daňovníci s príjmami podľa § 6</w:t>
      </w:r>
      <w:r w:rsidRPr="0045487E" w:rsidR="00894931">
        <w:rPr>
          <w:rFonts w:ascii="Times New Roman" w:hAnsi="Times New Roman"/>
        </w:rPr>
        <w:t xml:space="preserve"> zákona, ktorí uplatňujú preukázateľné výdavky</w:t>
      </w:r>
      <w:r w:rsidRPr="0045487E">
        <w:rPr>
          <w:rFonts w:ascii="Times New Roman" w:hAnsi="Times New Roman"/>
        </w:rPr>
        <w:t xml:space="preserve"> budú môcť vybrať, či budú viesť</w:t>
      </w:r>
    </w:p>
    <w:p w:rsidR="009878B0" w:rsidRPr="0045487E" w:rsidP="00F85EBF">
      <w:pPr>
        <w:pStyle w:val="ListParagraph"/>
        <w:numPr>
          <w:numId w:val="4"/>
        </w:numPr>
        <w:shd w:val="clear" w:color="auto" w:fill="FFFFFF"/>
        <w:tabs>
          <w:tab w:val="left" w:pos="142"/>
        </w:tabs>
        <w:bidi w:val="0"/>
        <w:spacing w:after="0" w:line="240" w:lineRule="auto"/>
        <w:ind w:hanging="720"/>
        <w:contextualSpacing w:val="0"/>
        <w:rPr>
          <w:rFonts w:ascii="Times New Roman" w:hAnsi="Times New Roman"/>
          <w:sz w:val="24"/>
          <w:szCs w:val="24"/>
        </w:rPr>
      </w:pPr>
      <w:r w:rsidRPr="0045487E">
        <w:rPr>
          <w:rFonts w:ascii="Times New Roman" w:hAnsi="Times New Roman"/>
          <w:sz w:val="24"/>
          <w:szCs w:val="24"/>
        </w:rPr>
        <w:t>jednoduché účtovníctvo,</w:t>
      </w:r>
    </w:p>
    <w:p w:rsidR="009878B0" w:rsidRPr="0045487E" w:rsidP="00F85EBF">
      <w:pPr>
        <w:pStyle w:val="ListParagraph"/>
        <w:numPr>
          <w:numId w:val="4"/>
        </w:numPr>
        <w:shd w:val="clear" w:color="auto" w:fill="FFFFFF"/>
        <w:tabs>
          <w:tab w:val="left" w:pos="142"/>
        </w:tabs>
        <w:bidi w:val="0"/>
        <w:spacing w:after="0" w:line="240" w:lineRule="auto"/>
        <w:ind w:hanging="720"/>
        <w:contextualSpacing w:val="0"/>
        <w:rPr>
          <w:rFonts w:ascii="Times New Roman" w:hAnsi="Times New Roman"/>
          <w:sz w:val="24"/>
          <w:szCs w:val="24"/>
        </w:rPr>
      </w:pPr>
      <w:r w:rsidRPr="0045487E">
        <w:rPr>
          <w:rFonts w:ascii="Times New Roman" w:hAnsi="Times New Roman"/>
          <w:sz w:val="24"/>
          <w:szCs w:val="24"/>
        </w:rPr>
        <w:t>podvojné účtovníctvo</w:t>
      </w:r>
      <w:r w:rsidRPr="0045487E" w:rsidR="00894931">
        <w:rPr>
          <w:rFonts w:ascii="Times New Roman" w:hAnsi="Times New Roman"/>
          <w:sz w:val="24"/>
          <w:szCs w:val="24"/>
        </w:rPr>
        <w:t xml:space="preserve"> alebo</w:t>
      </w:r>
    </w:p>
    <w:p w:rsidR="009878B0" w:rsidRPr="0045487E" w:rsidP="00F85EBF">
      <w:pPr>
        <w:pStyle w:val="ListParagraph"/>
        <w:numPr>
          <w:numId w:val="4"/>
        </w:numPr>
        <w:shd w:val="clear" w:color="auto" w:fill="FFFFFF"/>
        <w:tabs>
          <w:tab w:val="left" w:pos="142"/>
        </w:tabs>
        <w:bidi w:val="0"/>
        <w:spacing w:after="0" w:line="240" w:lineRule="auto"/>
        <w:ind w:hanging="720"/>
        <w:contextualSpacing w:val="0"/>
        <w:rPr>
          <w:rFonts w:ascii="Times New Roman" w:hAnsi="Times New Roman"/>
          <w:sz w:val="24"/>
          <w:szCs w:val="24"/>
        </w:rPr>
      </w:pPr>
      <w:r w:rsidRPr="0045487E">
        <w:rPr>
          <w:rFonts w:ascii="Times New Roman" w:hAnsi="Times New Roman"/>
          <w:sz w:val="24"/>
          <w:szCs w:val="24"/>
        </w:rPr>
        <w:t>daňovú evidenciu</w:t>
      </w:r>
      <w:r w:rsidRPr="0045487E" w:rsidR="00894931">
        <w:rPr>
          <w:rFonts w:ascii="Times New Roman" w:hAnsi="Times New Roman"/>
          <w:sz w:val="24"/>
          <w:szCs w:val="24"/>
        </w:rPr>
        <w:t>.</w:t>
      </w:r>
      <w:r w:rsidRPr="0045487E">
        <w:rPr>
          <w:rFonts w:ascii="Times New Roman" w:hAnsi="Times New Roman"/>
          <w:sz w:val="24"/>
          <w:szCs w:val="24"/>
        </w:rPr>
        <w:t xml:space="preserve"> </w:t>
      </w:r>
    </w:p>
    <w:p w:rsidR="0043120B" w:rsidRPr="0045487E" w:rsidP="00210E92">
      <w:pPr>
        <w:shd w:val="clear" w:color="auto" w:fill="FFFFFF"/>
        <w:bidi w:val="0"/>
        <w:rPr>
          <w:rFonts w:ascii="Times New Roman" w:hAnsi="Times New Roman"/>
          <w:b/>
        </w:rPr>
      </w:pPr>
    </w:p>
    <w:p w:rsidR="00746D2A"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Pr="0045487E" w:rsidR="00DE244B">
        <w:rPr>
          <w:rFonts w:ascii="Times New Roman" w:hAnsi="Times New Roman"/>
          <w:b/>
        </w:rPr>
        <w:t>2</w:t>
      </w:r>
      <w:r w:rsidRPr="0045487E">
        <w:rPr>
          <w:rFonts w:ascii="Times New Roman" w:hAnsi="Times New Roman"/>
          <w:b/>
        </w:rPr>
        <w:t xml:space="preserve"> - § </w:t>
      </w:r>
      <w:r w:rsidRPr="0045487E" w:rsidR="0043120B">
        <w:rPr>
          <w:rFonts w:ascii="Times New Roman" w:hAnsi="Times New Roman"/>
          <w:b/>
        </w:rPr>
        <w:t>2 písm. p)</w:t>
      </w:r>
    </w:p>
    <w:p w:rsidR="009714CA" w:rsidRPr="0045487E" w:rsidP="009714CA">
      <w:pPr>
        <w:shd w:val="clear" w:color="auto" w:fill="FFFFFF"/>
        <w:bidi w:val="0"/>
        <w:jc w:val="both"/>
        <w:rPr>
          <w:rFonts w:ascii="Times New Roman" w:hAnsi="Times New Roman"/>
        </w:rPr>
      </w:pPr>
      <w:r w:rsidRPr="0045487E">
        <w:rPr>
          <w:rFonts w:ascii="Times New Roman" w:hAnsi="Times New Roman"/>
        </w:rPr>
        <w:t>Na základe uvedenej legislatívnej zmeny sa za „iné prepojenie“ považuje aj obchodný vzťah, ak bol vytvorený predovšetkým (a nie výlučne</w:t>
      </w:r>
      <w:r w:rsidR="008D3FAF">
        <w:rPr>
          <w:rFonts w:ascii="Times New Roman" w:hAnsi="Times New Roman"/>
        </w:rPr>
        <w:t xml:space="preserve"> len</w:t>
      </w:r>
      <w:r w:rsidRPr="0045487E">
        <w:rPr>
          <w:rFonts w:ascii="Times New Roman" w:hAnsi="Times New Roman"/>
        </w:rPr>
        <w:t xml:space="preserve">) za účelom neželaného zníženia základu dane alebo zvýšenia daňovej straty. Úpravou ustanovenia sa zabezpečí právna istota tak pre správcov dane z pohľadu uplatnenia v praxi, ako aj pre daňovníkov, nakoľko je jednoznačne vymedzené, že aj obchodný vzťah, ktorého hlavným zámerom je zníženie základu dane alebo zvýšenie daňovej straty v rozpore so zákonom, sa považuje za vzťah závislých osôb. Cieľom navrhovanej úpravy nie je zahrnúť pod iné prepojenie štandardný obchodný vzťah, do ktorého daňovníci vstupujú v rámci svojej bežnej podnikateľskej činnosti.  </w:t>
      </w:r>
    </w:p>
    <w:p w:rsidR="009714CA" w:rsidRPr="0045487E" w:rsidP="009714CA">
      <w:pPr>
        <w:shd w:val="clear" w:color="auto" w:fill="FFFFFF"/>
        <w:bidi w:val="0"/>
        <w:jc w:val="both"/>
        <w:rPr>
          <w:rFonts w:ascii="Arial Narrow" w:hAnsi="Arial Narrow"/>
          <w:b/>
          <w:sz w:val="22"/>
          <w:szCs w:val="22"/>
        </w:rPr>
      </w:pPr>
      <w:r w:rsidRPr="0045487E">
        <w:rPr>
          <w:rFonts w:ascii="Arial Narrow" w:hAnsi="Arial Narrow"/>
          <w:b/>
          <w:sz w:val="22"/>
          <w:szCs w:val="22"/>
        </w:rPr>
        <w:t xml:space="preserve"> </w:t>
      </w:r>
    </w:p>
    <w:p w:rsidR="00746D2A" w:rsidRPr="0045487E" w:rsidP="000356A4">
      <w:pPr>
        <w:shd w:val="clear" w:color="auto" w:fill="FFFFFF"/>
        <w:bidi w:val="0"/>
        <w:jc w:val="both"/>
        <w:rPr>
          <w:rFonts w:ascii="Times New Roman" w:hAnsi="Times New Roman"/>
          <w:b/>
        </w:rPr>
      </w:pPr>
      <w:r w:rsidRPr="0045487E" w:rsidR="0043120B">
        <w:rPr>
          <w:rFonts w:ascii="Times New Roman" w:hAnsi="Times New Roman"/>
          <w:b/>
        </w:rPr>
        <w:t xml:space="preserve"> </w:t>
      </w:r>
      <w:r w:rsidRPr="0045487E">
        <w:rPr>
          <w:rFonts w:ascii="Times New Roman" w:hAnsi="Times New Roman"/>
          <w:b/>
        </w:rPr>
        <w:t xml:space="preserve">K bodu </w:t>
      </w:r>
      <w:r w:rsidRPr="0045487E" w:rsidR="00DE244B">
        <w:rPr>
          <w:rFonts w:ascii="Times New Roman" w:hAnsi="Times New Roman"/>
          <w:b/>
        </w:rPr>
        <w:t>3</w:t>
      </w:r>
      <w:r w:rsidRPr="0045487E">
        <w:rPr>
          <w:rFonts w:ascii="Times New Roman" w:hAnsi="Times New Roman"/>
          <w:b/>
        </w:rPr>
        <w:t xml:space="preserve"> - § </w:t>
      </w:r>
      <w:r w:rsidRPr="0045487E" w:rsidR="0043120B">
        <w:rPr>
          <w:rFonts w:ascii="Times New Roman" w:hAnsi="Times New Roman"/>
          <w:b/>
        </w:rPr>
        <w:t>2 písm. r)</w:t>
      </w:r>
    </w:p>
    <w:p w:rsidR="002425CD" w:rsidRPr="0045487E" w:rsidP="00210E92">
      <w:pPr>
        <w:shd w:val="clear" w:color="auto" w:fill="FFFFFF"/>
        <w:bidi w:val="0"/>
        <w:jc w:val="both"/>
        <w:rPr>
          <w:rFonts w:ascii="Times New Roman" w:hAnsi="Times New Roman"/>
        </w:rPr>
      </w:pPr>
      <w:r w:rsidRPr="0045487E">
        <w:rPr>
          <w:rFonts w:ascii="Times New Roman" w:hAnsi="Times New Roman"/>
        </w:rPr>
        <w:t>Na základe skúseností z praxe sa v ustanovení rozširuje vymedzenie pojmu „</w:t>
      </w:r>
      <w:r w:rsidRPr="0045487E" w:rsidR="00666382">
        <w:rPr>
          <w:rFonts w:ascii="Times New Roman" w:hAnsi="Times New Roman"/>
        </w:rPr>
        <w:t xml:space="preserve">zahraničná </w:t>
      </w:r>
      <w:r w:rsidRPr="0045487E">
        <w:rPr>
          <w:rFonts w:ascii="Times New Roman" w:hAnsi="Times New Roman"/>
        </w:rPr>
        <w:t xml:space="preserve">závislá osoba“ o ďalšie konkrétne prípady; napr. stále prevádzkarne daňovníkov, ktorí sú prepojení podľa písmena n) – uvedené zahŕňa vzájomný vzťah stálych prevádzkarní (umiestnených buď na území Slovenskej republiky, alebo v zahraničí) prepojených daňovníkov (pričom môže ísť o daňovníkov s neobmedzenou alebo aj obmedzenou daňovou povinnosťou na území Slovenskej republiky), alebo aj vzťahy stálej prevádzkarne daňovníka s iným daňovníkom, ktorý je prepojený s týmto daňovníkom.     </w:t>
      </w:r>
    </w:p>
    <w:p w:rsidR="0043120B" w:rsidRPr="0045487E" w:rsidP="00210E92">
      <w:pPr>
        <w:shd w:val="clear" w:color="auto" w:fill="FFFFFF"/>
        <w:bidi w:val="0"/>
        <w:rPr>
          <w:rFonts w:ascii="Times New Roman" w:hAnsi="Times New Roman"/>
          <w:b/>
        </w:rPr>
      </w:pPr>
    </w:p>
    <w:p w:rsidR="009A23BC" w:rsidRPr="0045487E" w:rsidP="00210E92">
      <w:pPr>
        <w:shd w:val="clear" w:color="auto" w:fill="FFFFFF"/>
        <w:bidi w:val="0"/>
        <w:rPr>
          <w:rFonts w:ascii="Times New Roman" w:hAnsi="Times New Roman"/>
          <w:b/>
        </w:rPr>
      </w:pPr>
      <w:r w:rsidRPr="0045487E" w:rsidR="00746D2A">
        <w:rPr>
          <w:rFonts w:ascii="Times New Roman" w:hAnsi="Times New Roman"/>
          <w:b/>
        </w:rPr>
        <w:t xml:space="preserve">K bodu </w:t>
      </w:r>
      <w:r w:rsidRPr="0045487E" w:rsidR="00DE244B">
        <w:rPr>
          <w:rFonts w:ascii="Times New Roman" w:hAnsi="Times New Roman"/>
          <w:b/>
        </w:rPr>
        <w:t>4</w:t>
      </w:r>
      <w:r w:rsidRPr="0045487E">
        <w:rPr>
          <w:rFonts w:ascii="Times New Roman" w:hAnsi="Times New Roman"/>
          <w:b/>
        </w:rPr>
        <w:t xml:space="preserve"> - § </w:t>
      </w:r>
      <w:r w:rsidRPr="0045487E" w:rsidR="002425CD">
        <w:rPr>
          <w:rFonts w:ascii="Times New Roman" w:hAnsi="Times New Roman"/>
          <w:b/>
        </w:rPr>
        <w:t>2 písm. x)</w:t>
      </w:r>
    </w:p>
    <w:p w:rsidR="009714CA" w:rsidRPr="0045487E" w:rsidP="009714CA">
      <w:pPr>
        <w:shd w:val="clear" w:color="auto" w:fill="FFFFFF"/>
        <w:bidi w:val="0"/>
        <w:jc w:val="both"/>
        <w:rPr>
          <w:rFonts w:ascii="Times New Roman" w:hAnsi="Times New Roman"/>
        </w:rPr>
      </w:pPr>
      <w:r w:rsidRPr="0045487E">
        <w:rPr>
          <w:rFonts w:ascii="Times New Roman" w:hAnsi="Times New Roman"/>
        </w:rPr>
        <w:t>Zavádza sa definícia daňovníka, voči ktorému sa uplatňuje zvýšená sadzba zrážkovej dane, resp. sadzba zabezpečenej dane. Ide o fyzickú osobu, ktorá má trvalý pobyt alebo právnickú osobu, ktorá má sídlo v štáte, s ktorým Slovenská republika nemá uzavretú platnú a účinnú medzinárodnú zmluvu obsahujúcu klauzulu o výmene informácií na daňové účely. V zmysle osobitného predpisu, ktorý upravuje pobyt cudzincov, štátny príslušník tretej krajiny s priznaným postavením osoby s dlhodobým pobytom</w:t>
      </w:r>
      <w:r w:rsidR="008D3FAF">
        <w:rPr>
          <w:rFonts w:ascii="Times New Roman" w:hAnsi="Times New Roman"/>
        </w:rPr>
        <w:t xml:space="preserve"> v</w:t>
      </w:r>
      <w:r w:rsidRPr="0045487E">
        <w:rPr>
          <w:rFonts w:ascii="Times New Roman" w:hAnsi="Times New Roman"/>
        </w:rPr>
        <w:t xml:space="preserve"> Európskej úni</w:t>
      </w:r>
      <w:r w:rsidR="008D3FAF">
        <w:rPr>
          <w:rFonts w:ascii="Times New Roman" w:hAnsi="Times New Roman"/>
        </w:rPr>
        <w:t>i</w:t>
      </w:r>
      <w:r w:rsidRPr="0045487E">
        <w:rPr>
          <w:rFonts w:ascii="Times New Roman" w:hAnsi="Times New Roman"/>
        </w:rPr>
        <w:t xml:space="preserve"> sa považuje za fyzickú osobu, ktorá má trvalý pobyt na území SR, a preto sa nepovažuje za daňovníka nezmluvného štátu. Na platby plynúce daňovníkom vymedzeným v tomto ustanovení bude slovenský platiteľ dane uplatňovať zvýšenú sadzbu zrážkovej dane, resp. zvýšenú sadzbu zabezpečenej dane a rovnako bude povinný tieto úhrady oznamovať správcovi dane na tlačive, ktorého vzor bude zverejnený na webovom sídle Finančného riaditeľstva SR.    </w:t>
      </w:r>
    </w:p>
    <w:p w:rsidR="002425CD" w:rsidRPr="0045487E" w:rsidP="00210E92">
      <w:pPr>
        <w:shd w:val="clear" w:color="auto" w:fill="FFFFFF"/>
        <w:bidi w:val="0"/>
        <w:jc w:val="both"/>
        <w:rPr>
          <w:rFonts w:ascii="Times New Roman" w:hAnsi="Times New Roman"/>
        </w:rPr>
      </w:pPr>
    </w:p>
    <w:p w:rsidR="009A23BC" w:rsidRPr="0045487E" w:rsidP="00210E92">
      <w:pPr>
        <w:shd w:val="clear" w:color="auto" w:fill="FFFFFF"/>
        <w:bidi w:val="0"/>
        <w:rPr>
          <w:rFonts w:ascii="Times New Roman" w:hAnsi="Times New Roman"/>
          <w:b/>
        </w:rPr>
      </w:pPr>
      <w:r w:rsidRPr="0045487E" w:rsidR="00746D2A">
        <w:rPr>
          <w:rFonts w:ascii="Times New Roman" w:hAnsi="Times New Roman"/>
          <w:b/>
        </w:rPr>
        <w:t xml:space="preserve">K bodu </w:t>
      </w:r>
      <w:r w:rsidRPr="0045487E" w:rsidR="00DE244B">
        <w:rPr>
          <w:rFonts w:ascii="Times New Roman" w:hAnsi="Times New Roman"/>
          <w:b/>
        </w:rPr>
        <w:t>5</w:t>
      </w:r>
      <w:r w:rsidRPr="0045487E">
        <w:rPr>
          <w:rFonts w:ascii="Times New Roman" w:hAnsi="Times New Roman"/>
          <w:b/>
        </w:rPr>
        <w:t xml:space="preserve"> - § </w:t>
      </w:r>
      <w:r w:rsidRPr="0045487E" w:rsidR="002425CD">
        <w:rPr>
          <w:rFonts w:ascii="Times New Roman" w:hAnsi="Times New Roman"/>
          <w:b/>
        </w:rPr>
        <w:t>5 ods. 3 písm. a)</w:t>
      </w:r>
    </w:p>
    <w:p w:rsidR="00B97EA8" w:rsidRPr="0045487E" w:rsidP="00210E92">
      <w:pPr>
        <w:shd w:val="clear" w:color="auto" w:fill="FFFFFF"/>
        <w:bidi w:val="0"/>
        <w:jc w:val="both"/>
        <w:rPr>
          <w:rFonts w:ascii="Times New Roman" w:hAnsi="Times New Roman"/>
        </w:rPr>
      </w:pPr>
      <w:r w:rsidRPr="0045487E">
        <w:rPr>
          <w:rFonts w:ascii="Times New Roman" w:hAnsi="Times New Roman"/>
        </w:rPr>
        <w:t>Zámerom úpravy je v súlade s</w:t>
      </w:r>
      <w:r w:rsidRPr="0045487E" w:rsidR="00DA60C8">
        <w:rPr>
          <w:rFonts w:ascii="Times New Roman" w:hAnsi="Times New Roman"/>
        </w:rPr>
        <w:t xml:space="preserve"> úlohou B. 15 </w:t>
      </w:r>
      <w:r w:rsidRPr="0045487E">
        <w:rPr>
          <w:rFonts w:ascii="Times New Roman" w:hAnsi="Times New Roman"/>
        </w:rPr>
        <w:t>uznesen</w:t>
      </w:r>
      <w:r w:rsidRPr="0045487E" w:rsidR="00DA60C8">
        <w:rPr>
          <w:rFonts w:ascii="Times New Roman" w:hAnsi="Times New Roman"/>
        </w:rPr>
        <w:t>ia</w:t>
      </w:r>
      <w:r w:rsidRPr="0045487E">
        <w:rPr>
          <w:rFonts w:ascii="Times New Roman" w:hAnsi="Times New Roman"/>
        </w:rPr>
        <w:t xml:space="preserve"> vlády SR č. 153/2013 pri výpočte výšky zdaniteľného príjmu zamestnanca v prípade používania služobného motorového vozidla na súkromné účely zohľadniť opotrebenie tohto motorového vozidla. Na základe uvedenej úlohy sa navrhuje  pri vyčíslení nepeňažného príjmu plynúceho z používania motorového vozidla zamestnávateľa na súkromné účely vychádzať zo vstupnej ceny tohto motorového vozidla, pričom nepeňažný príjem </w:t>
      </w:r>
      <w:r w:rsidRPr="0045487E" w:rsidR="0084524A">
        <w:rPr>
          <w:rFonts w:ascii="Times New Roman" w:hAnsi="Times New Roman"/>
        </w:rPr>
        <w:t xml:space="preserve">sa bude zamestnancovi zdaňovať počas 8 rokov </w:t>
      </w:r>
      <w:r w:rsidRPr="0045487E" w:rsidR="00735B83">
        <w:rPr>
          <w:rFonts w:ascii="Times New Roman" w:hAnsi="Times New Roman"/>
        </w:rPr>
        <w:t>od zaradenia vozidla do užívania</w:t>
      </w:r>
      <w:r w:rsidRPr="0045487E" w:rsidR="0084524A">
        <w:rPr>
          <w:rFonts w:ascii="Times New Roman" w:hAnsi="Times New Roman"/>
        </w:rPr>
        <w:t xml:space="preserve"> a</w:t>
      </w:r>
      <w:r w:rsidRPr="0045487E" w:rsidR="00FE48BB">
        <w:rPr>
          <w:rFonts w:ascii="Times New Roman" w:hAnsi="Times New Roman"/>
        </w:rPr>
        <w:t xml:space="preserve"> </w:t>
      </w:r>
      <w:r w:rsidRPr="0045487E">
        <w:rPr>
          <w:rFonts w:ascii="Times New Roman" w:hAnsi="Times New Roman"/>
        </w:rPr>
        <w:t>je :</w:t>
      </w:r>
    </w:p>
    <w:p w:rsidR="00FE48BB" w:rsidRPr="0045487E" w:rsidP="00210E92">
      <w:pPr>
        <w:shd w:val="clear" w:color="auto" w:fill="FFFFFF"/>
        <w:bidi w:val="0"/>
        <w:jc w:val="both"/>
        <w:rPr>
          <w:rFonts w:ascii="Times New Roman" w:hAnsi="Times New Roman"/>
        </w:rPr>
      </w:pPr>
      <w:r w:rsidRPr="0045487E" w:rsidR="00B97EA8">
        <w:rPr>
          <w:rFonts w:ascii="Times New Roman" w:hAnsi="Times New Roman"/>
        </w:rPr>
        <w:t xml:space="preserve">- v  roku </w:t>
      </w:r>
      <w:r w:rsidRPr="0045487E" w:rsidR="0084524A">
        <w:rPr>
          <w:rFonts w:ascii="Times New Roman" w:hAnsi="Times New Roman"/>
        </w:rPr>
        <w:t xml:space="preserve">zaradenia do užívania </w:t>
      </w:r>
      <w:r w:rsidRPr="0045487E">
        <w:rPr>
          <w:rFonts w:ascii="Times New Roman" w:hAnsi="Times New Roman"/>
        </w:rPr>
        <w:t>stanovený vo výške 1 % zo vstupnej ceny za každý aj začatý kalendárny mesiac poskytnutia motorového vozidla</w:t>
      </w:r>
      <w:r w:rsidRPr="0045487E" w:rsidR="00735B83">
        <w:rPr>
          <w:rFonts w:ascii="Times New Roman" w:hAnsi="Times New Roman"/>
        </w:rPr>
        <w:t xml:space="preserve"> zamestnávateľa</w:t>
      </w:r>
      <w:r w:rsidRPr="0045487E" w:rsidR="0084524A">
        <w:rPr>
          <w:rFonts w:ascii="Times New Roman" w:hAnsi="Times New Roman"/>
        </w:rPr>
        <w:t xml:space="preserve"> aj</w:t>
      </w:r>
      <w:r w:rsidRPr="0045487E">
        <w:rPr>
          <w:rFonts w:ascii="Times New Roman" w:hAnsi="Times New Roman"/>
        </w:rPr>
        <w:t xml:space="preserve"> na súkromné účely,</w:t>
      </w:r>
    </w:p>
    <w:p w:rsidR="00735B83" w:rsidRPr="0045487E" w:rsidP="00735B83">
      <w:pPr>
        <w:shd w:val="clear" w:color="auto" w:fill="FFFFFF"/>
        <w:bidi w:val="0"/>
        <w:jc w:val="both"/>
        <w:rPr>
          <w:rFonts w:ascii="Times New Roman" w:hAnsi="Times New Roman"/>
        </w:rPr>
      </w:pPr>
      <w:r w:rsidRPr="0045487E" w:rsidR="00FE48BB">
        <w:rPr>
          <w:rFonts w:ascii="Times New Roman" w:hAnsi="Times New Roman"/>
        </w:rPr>
        <w:t>- v</w:t>
      </w:r>
      <w:r w:rsidRPr="0045487E" w:rsidR="0084524A">
        <w:rPr>
          <w:rFonts w:ascii="Times New Roman" w:hAnsi="Times New Roman"/>
        </w:rPr>
        <w:t> </w:t>
      </w:r>
      <w:r w:rsidRPr="0045487E" w:rsidR="00FE48BB">
        <w:rPr>
          <w:rFonts w:ascii="Times New Roman" w:hAnsi="Times New Roman"/>
        </w:rPr>
        <w:t>ďalších</w:t>
      </w:r>
      <w:r w:rsidRPr="0045487E" w:rsidR="0084524A">
        <w:rPr>
          <w:rFonts w:ascii="Times New Roman" w:hAnsi="Times New Roman"/>
        </w:rPr>
        <w:t xml:space="preserve"> siedmych</w:t>
      </w:r>
      <w:r w:rsidRPr="0045487E" w:rsidR="00FE48BB">
        <w:rPr>
          <w:rFonts w:ascii="Times New Roman" w:hAnsi="Times New Roman"/>
        </w:rPr>
        <w:t xml:space="preserve"> rokoch stanovený vo výške 1 % zo vstupnej ceny zníženej každoročne o 12,5 % za každý aj začatý kalendárny mesiac poskytnutia motorového vozidla</w:t>
      </w:r>
      <w:r w:rsidRPr="0045487E">
        <w:rPr>
          <w:rFonts w:ascii="Times New Roman" w:hAnsi="Times New Roman"/>
        </w:rPr>
        <w:t xml:space="preserve"> zamestnávateľa aj</w:t>
      </w:r>
      <w:r w:rsidRPr="0045487E" w:rsidR="00FE48BB">
        <w:rPr>
          <w:rFonts w:ascii="Times New Roman" w:hAnsi="Times New Roman"/>
        </w:rPr>
        <w:t xml:space="preserve"> na súkromné účely. </w:t>
      </w:r>
      <w:r w:rsidRPr="0045487E">
        <w:rPr>
          <w:rFonts w:ascii="Times New Roman" w:hAnsi="Times New Roman"/>
        </w:rPr>
        <w:t xml:space="preserve">Ak bude na vozidle v týchto rokoch vykonané technické zhodnotenie, jeho vstupná cena sa o hodnotu technického zhodnotenia zvýši a následne sa táto suma zníži každoročne o 12,5 %.  </w:t>
      </w:r>
    </w:p>
    <w:p w:rsidR="002425CD" w:rsidRPr="0045487E" w:rsidP="00210E92">
      <w:pPr>
        <w:shd w:val="clear" w:color="auto" w:fill="FFFFFF"/>
        <w:bidi w:val="0"/>
        <w:jc w:val="both"/>
        <w:rPr>
          <w:rFonts w:ascii="Times New Roman" w:hAnsi="Times New Roman"/>
        </w:rPr>
      </w:pPr>
      <w:r w:rsidRPr="0045487E" w:rsidR="00FE48BB">
        <w:rPr>
          <w:rFonts w:ascii="Times New Roman" w:hAnsi="Times New Roman"/>
        </w:rPr>
        <w:t xml:space="preserve"> </w:t>
      </w:r>
      <w:r w:rsidRPr="0045487E" w:rsidR="00B97EA8">
        <w:rPr>
          <w:rFonts w:ascii="Times New Roman" w:hAnsi="Times New Roman"/>
        </w:rPr>
        <w:t xml:space="preserve"> </w:t>
      </w:r>
    </w:p>
    <w:p w:rsidR="009A23BC" w:rsidRPr="0045487E" w:rsidP="00210E92">
      <w:pPr>
        <w:shd w:val="clear" w:color="auto" w:fill="FFFFFF"/>
        <w:bidi w:val="0"/>
        <w:rPr>
          <w:rFonts w:ascii="Times New Roman" w:hAnsi="Times New Roman"/>
          <w:b/>
        </w:rPr>
      </w:pPr>
      <w:r w:rsidRPr="0045487E" w:rsidR="00746D2A">
        <w:rPr>
          <w:rFonts w:ascii="Times New Roman" w:hAnsi="Times New Roman"/>
          <w:b/>
        </w:rPr>
        <w:t xml:space="preserve">K bodu </w:t>
      </w:r>
      <w:r w:rsidRPr="0045487E" w:rsidR="00DE244B">
        <w:rPr>
          <w:rFonts w:ascii="Times New Roman" w:hAnsi="Times New Roman"/>
          <w:b/>
        </w:rPr>
        <w:t>6</w:t>
      </w:r>
      <w:r w:rsidRPr="0045487E">
        <w:rPr>
          <w:rFonts w:ascii="Times New Roman" w:hAnsi="Times New Roman"/>
          <w:b/>
        </w:rPr>
        <w:t xml:space="preserve"> - § </w:t>
      </w:r>
      <w:r w:rsidRPr="0045487E" w:rsidR="00A1322E">
        <w:rPr>
          <w:rFonts w:ascii="Times New Roman" w:hAnsi="Times New Roman"/>
          <w:b/>
        </w:rPr>
        <w:t>5 ods. 4</w:t>
      </w:r>
    </w:p>
    <w:p w:rsidR="00A1322E" w:rsidRPr="0045487E" w:rsidP="00210E92">
      <w:pPr>
        <w:shd w:val="clear" w:color="auto" w:fill="FFFFFF"/>
        <w:bidi w:val="0"/>
        <w:jc w:val="both"/>
        <w:rPr>
          <w:rFonts w:ascii="Times New Roman" w:hAnsi="Times New Roman"/>
        </w:rPr>
      </w:pPr>
      <w:r w:rsidRPr="0045487E">
        <w:rPr>
          <w:rFonts w:ascii="Times New Roman" w:hAnsi="Times New Roman"/>
        </w:rPr>
        <w:t xml:space="preserve">Ide o spresnenie vykonané v oblasti medzinárodného prenájmu pracovnej sily v nadväznosti na koncept „ekonomického“ (skutočného) zamestnávateľa. Doplnenie je v súlade s už v súčasnosti uplatňovaným prístupom k „ekonomickému“ zamestnávateľovi </w:t>
      </w:r>
      <w:r w:rsidRPr="0045487E" w:rsidR="00735B83">
        <w:rPr>
          <w:rFonts w:ascii="Times New Roman" w:hAnsi="Times New Roman"/>
        </w:rPr>
        <w:t>na</w:t>
      </w:r>
      <w:r w:rsidRPr="0045487E">
        <w:rPr>
          <w:rFonts w:ascii="Times New Roman" w:hAnsi="Times New Roman"/>
        </w:rPr>
        <w:t xml:space="preserve"> účely uplatňovania zmlúv o zamedzen</w:t>
      </w:r>
      <w:r w:rsidRPr="0045487E" w:rsidR="00735B83">
        <w:rPr>
          <w:rFonts w:ascii="Times New Roman" w:hAnsi="Times New Roman"/>
        </w:rPr>
        <w:t>í</w:t>
      </w:r>
      <w:r w:rsidRPr="0045487E">
        <w:rPr>
          <w:rFonts w:ascii="Times New Roman" w:hAnsi="Times New Roman"/>
        </w:rPr>
        <w:t xml:space="preserve"> dvojitého zdanenia</w:t>
      </w:r>
      <w:r w:rsidRPr="0045487E" w:rsidR="002857DB">
        <w:rPr>
          <w:rFonts w:ascii="Times New Roman" w:hAnsi="Times New Roman"/>
        </w:rPr>
        <w:t xml:space="preserve"> a vzťahuje sa najmä na prípady zahraničných zamestnancov, ktorí na území Slovenskej republiky zastávajú </w:t>
      </w:r>
      <w:r w:rsidRPr="0045487E" w:rsidR="00D74165">
        <w:rPr>
          <w:rFonts w:ascii="Times New Roman" w:hAnsi="Times New Roman"/>
        </w:rPr>
        <w:t xml:space="preserve">vedúce a </w:t>
      </w:r>
      <w:r w:rsidRPr="0045487E" w:rsidR="002857DB">
        <w:rPr>
          <w:rFonts w:ascii="Times New Roman" w:hAnsi="Times New Roman"/>
        </w:rPr>
        <w:t>manažérske pozície, t.j. nie je možné jednoznačne povedať, že vykonávajú prácu na základe pokynov a príkazov zamestnávateľa.</w:t>
      </w:r>
    </w:p>
    <w:p w:rsidR="00A1322E" w:rsidRPr="0045487E" w:rsidP="00210E92">
      <w:pPr>
        <w:shd w:val="clear" w:color="auto" w:fill="FFFFFF"/>
        <w:bidi w:val="0"/>
        <w:rPr>
          <w:rFonts w:ascii="Times New Roman" w:hAnsi="Times New Roman"/>
        </w:rPr>
      </w:pPr>
    </w:p>
    <w:p w:rsidR="0043579A" w:rsidRPr="0045487E" w:rsidP="00210E92">
      <w:pPr>
        <w:shd w:val="clear" w:color="auto" w:fill="FFFFFF"/>
        <w:bidi w:val="0"/>
        <w:rPr>
          <w:rFonts w:ascii="Times New Roman" w:hAnsi="Times New Roman"/>
          <w:b/>
        </w:rPr>
      </w:pPr>
      <w:r w:rsidRPr="0045487E" w:rsidR="00CC09EB">
        <w:rPr>
          <w:rFonts w:ascii="Times New Roman" w:hAnsi="Times New Roman"/>
          <w:b/>
        </w:rPr>
        <w:t xml:space="preserve">K bodu </w:t>
      </w:r>
      <w:r w:rsidRPr="0045487E" w:rsidR="002B3869">
        <w:rPr>
          <w:rFonts w:ascii="Times New Roman" w:hAnsi="Times New Roman"/>
          <w:b/>
        </w:rPr>
        <w:t>7</w:t>
      </w:r>
      <w:r w:rsidRPr="0045487E" w:rsidR="00CC09EB">
        <w:rPr>
          <w:rFonts w:ascii="Times New Roman" w:hAnsi="Times New Roman"/>
          <w:b/>
        </w:rPr>
        <w:t xml:space="preserve">- § </w:t>
      </w:r>
      <w:r w:rsidRPr="0045487E" w:rsidR="00A1322E">
        <w:rPr>
          <w:rFonts w:ascii="Times New Roman" w:hAnsi="Times New Roman"/>
          <w:b/>
        </w:rPr>
        <w:t>6 ods. 9</w:t>
      </w:r>
    </w:p>
    <w:p w:rsidR="00A1322E" w:rsidRPr="0045487E" w:rsidP="00210E92">
      <w:pPr>
        <w:shd w:val="clear" w:color="auto" w:fill="FFFFFF"/>
        <w:bidi w:val="0"/>
        <w:jc w:val="both"/>
        <w:rPr>
          <w:rFonts w:ascii="Times New Roman" w:hAnsi="Times New Roman"/>
        </w:rPr>
      </w:pPr>
      <w:r w:rsidRPr="0045487E">
        <w:rPr>
          <w:rFonts w:ascii="Times New Roman" w:hAnsi="Times New Roman"/>
        </w:rPr>
        <w:t xml:space="preserve">Navrhované znenie </w:t>
      </w:r>
      <w:r w:rsidR="001F1378">
        <w:rPr>
          <w:rFonts w:ascii="Times New Roman" w:hAnsi="Times New Roman"/>
        </w:rPr>
        <w:t>s</w:t>
      </w:r>
      <w:r w:rsidRPr="0045487E">
        <w:rPr>
          <w:rFonts w:ascii="Times New Roman" w:hAnsi="Times New Roman"/>
        </w:rPr>
        <w:t>presňuje možnosť spoločníka verejnej obchodnej spoločnosti a komplementára komanditnej spoločnosti odpočítať si od príjmov/základu dane pripadajúceho na tohto daňovníka, výdavky na cestovné náhrady a stravné podľa § 19 ods. 2 písm. e) a p) zákona.</w:t>
      </w:r>
    </w:p>
    <w:p w:rsidR="00A1322E" w:rsidRPr="0045487E" w:rsidP="00210E92">
      <w:pPr>
        <w:shd w:val="clear" w:color="auto" w:fill="FFFFFF"/>
        <w:bidi w:val="0"/>
        <w:jc w:val="both"/>
        <w:rPr>
          <w:rFonts w:ascii="Times New Roman" w:hAnsi="Times New Roman"/>
        </w:rPr>
      </w:pPr>
      <w:r w:rsidRPr="0045487E">
        <w:rPr>
          <w:rFonts w:ascii="Times New Roman" w:hAnsi="Times New Roman"/>
        </w:rPr>
        <w:t>Práve v nadväznosti na špecifické znenie § 6 ods. 9 zákona, ktoré uprav</w:t>
      </w:r>
      <w:r w:rsidR="001F1378">
        <w:rPr>
          <w:rFonts w:ascii="Times New Roman" w:hAnsi="Times New Roman"/>
        </w:rPr>
        <w:t>uje</w:t>
      </w:r>
      <w:r w:rsidRPr="0045487E">
        <w:rPr>
          <w:rFonts w:ascii="Times New Roman" w:hAnsi="Times New Roman"/>
        </w:rPr>
        <w:t xml:space="preserve"> výpočet základu dane spoločníka verejnej obchodnej spoločnosti a komplementára komanditnej spoločnosti vznika</w:t>
      </w:r>
      <w:r w:rsidR="001F1378">
        <w:rPr>
          <w:rFonts w:ascii="Times New Roman" w:hAnsi="Times New Roman"/>
        </w:rPr>
        <w:t>jú</w:t>
      </w:r>
      <w:r w:rsidRPr="0045487E">
        <w:rPr>
          <w:rFonts w:ascii="Times New Roman" w:hAnsi="Times New Roman"/>
        </w:rPr>
        <w:t xml:space="preserve"> v praxi aplikačné problémy v súvislosti s možnosťou odpočítania výdavkov uvedených v § 19 ods. 2 písm. e) a p) zákona, aj keď nárok na tieto výdavky ma</w:t>
      </w:r>
      <w:r w:rsidR="001F1378">
        <w:rPr>
          <w:rFonts w:ascii="Times New Roman" w:hAnsi="Times New Roman"/>
        </w:rPr>
        <w:t>jú</w:t>
      </w:r>
      <w:r w:rsidRPr="0045487E">
        <w:rPr>
          <w:rFonts w:ascii="Times New Roman" w:hAnsi="Times New Roman"/>
        </w:rPr>
        <w:t xml:space="preserve"> všetci daňovníci dosahujúci príjmy podľa § 6 ods. 1 a 2, t.j. aj spoločníci v.o.s. alebo komplementári k.s.</w:t>
      </w:r>
    </w:p>
    <w:p w:rsidR="009878B0" w:rsidRPr="0045487E" w:rsidP="00210E92">
      <w:pPr>
        <w:shd w:val="clear" w:color="auto" w:fill="FFFFFF"/>
        <w:bidi w:val="0"/>
        <w:jc w:val="both"/>
        <w:rPr>
          <w:rFonts w:ascii="Times New Roman" w:hAnsi="Times New Roman"/>
        </w:rPr>
      </w:pPr>
    </w:p>
    <w:p w:rsidR="009878B0" w:rsidRPr="0045487E" w:rsidP="00210E92">
      <w:pPr>
        <w:shd w:val="clear" w:color="auto" w:fill="FFFFFF"/>
        <w:bidi w:val="0"/>
        <w:rPr>
          <w:rFonts w:ascii="Times New Roman" w:hAnsi="Times New Roman"/>
          <w:b/>
        </w:rPr>
      </w:pPr>
      <w:r w:rsidRPr="0045487E">
        <w:rPr>
          <w:rFonts w:ascii="Times New Roman" w:hAnsi="Times New Roman"/>
          <w:b/>
        </w:rPr>
        <w:t>K bodu 1</w:t>
      </w:r>
      <w:r w:rsidRPr="0045487E" w:rsidR="002B3869">
        <w:rPr>
          <w:rFonts w:ascii="Times New Roman" w:hAnsi="Times New Roman"/>
          <w:b/>
        </w:rPr>
        <w:t>0</w:t>
      </w:r>
      <w:r w:rsidRPr="0045487E">
        <w:rPr>
          <w:rFonts w:ascii="Times New Roman" w:hAnsi="Times New Roman"/>
          <w:b/>
        </w:rPr>
        <w:t xml:space="preserve"> - § 6 ods.</w:t>
      </w:r>
      <w:r w:rsidRPr="0045487E" w:rsidR="004F6503">
        <w:rPr>
          <w:rFonts w:ascii="Times New Roman" w:hAnsi="Times New Roman"/>
          <w:b/>
        </w:rPr>
        <w:t xml:space="preserve"> </w:t>
      </w:r>
      <w:r w:rsidRPr="0045487E">
        <w:rPr>
          <w:rFonts w:ascii="Times New Roman" w:hAnsi="Times New Roman"/>
          <w:b/>
        </w:rPr>
        <w:t>13</w:t>
      </w:r>
    </w:p>
    <w:p w:rsidR="009878B0" w:rsidRPr="0045487E" w:rsidP="00210E92">
      <w:pPr>
        <w:shd w:val="clear" w:color="auto" w:fill="FFFFFF"/>
        <w:bidi w:val="0"/>
        <w:jc w:val="both"/>
        <w:rPr>
          <w:rFonts w:ascii="Times New Roman" w:hAnsi="Times New Roman"/>
        </w:rPr>
      </w:pPr>
      <w:r w:rsidRPr="0045487E">
        <w:rPr>
          <w:rFonts w:ascii="Times New Roman" w:hAnsi="Times New Roman"/>
        </w:rPr>
        <w:t>Navrhovanou úpravou sa zabezpečí, aby aj daňovník dosahujúci príjmy z použitia diela a umeleckého výkonu uvedené v § 6 ods. 4 zákona, mohol viesť účtovníctvo v súlade s účtovnými predpismi, a to napriek skutočnosti, že sa v súlade so zákonom o účtovníctve nestane účtovnou jednotkou rovnako ako daňovník dosahujúci príjmy z prenájmu.</w:t>
      </w:r>
    </w:p>
    <w:p w:rsidR="000356A4" w:rsidRPr="0045487E" w:rsidP="00210E92">
      <w:pPr>
        <w:shd w:val="clear" w:color="auto" w:fill="FFFFFF"/>
        <w:bidi w:val="0"/>
        <w:jc w:val="both"/>
        <w:rPr>
          <w:rFonts w:ascii="Times New Roman" w:hAnsi="Times New Roman"/>
        </w:rPr>
      </w:pPr>
    </w:p>
    <w:p w:rsidR="000356A4" w:rsidRPr="0045487E" w:rsidP="00210E92">
      <w:pPr>
        <w:shd w:val="clear" w:color="auto" w:fill="FFFFFF"/>
        <w:bidi w:val="0"/>
        <w:jc w:val="both"/>
        <w:rPr>
          <w:rFonts w:ascii="Times New Roman" w:hAnsi="Times New Roman"/>
          <w:b/>
        </w:rPr>
      </w:pPr>
      <w:r w:rsidRPr="0045487E">
        <w:rPr>
          <w:rFonts w:ascii="Times New Roman" w:hAnsi="Times New Roman"/>
          <w:b/>
        </w:rPr>
        <w:t>K</w:t>
      </w:r>
      <w:r w:rsidRPr="0045487E" w:rsidR="00167EAA">
        <w:rPr>
          <w:rFonts w:ascii="Times New Roman" w:hAnsi="Times New Roman"/>
          <w:b/>
        </w:rPr>
        <w:t> </w:t>
      </w:r>
      <w:r w:rsidRPr="0045487E">
        <w:rPr>
          <w:rFonts w:ascii="Times New Roman" w:hAnsi="Times New Roman"/>
          <w:b/>
        </w:rPr>
        <w:t>bod</w:t>
      </w:r>
      <w:r w:rsidRPr="0045487E" w:rsidR="00167EAA">
        <w:rPr>
          <w:rFonts w:ascii="Times New Roman" w:hAnsi="Times New Roman"/>
          <w:b/>
        </w:rPr>
        <w:t>om 12, 14 a</w:t>
      </w:r>
      <w:r w:rsidRPr="0045487E">
        <w:rPr>
          <w:rFonts w:ascii="Times New Roman" w:hAnsi="Times New Roman"/>
          <w:b/>
        </w:rPr>
        <w:t xml:space="preserve"> </w:t>
      </w:r>
      <w:r w:rsidRPr="0045487E" w:rsidR="00167EAA">
        <w:rPr>
          <w:rFonts w:ascii="Times New Roman" w:hAnsi="Times New Roman"/>
          <w:b/>
        </w:rPr>
        <w:t>7</w:t>
      </w:r>
      <w:r w:rsidR="001F1378">
        <w:rPr>
          <w:rFonts w:ascii="Times New Roman" w:hAnsi="Times New Roman"/>
          <w:b/>
        </w:rPr>
        <w:t>4</w:t>
      </w:r>
      <w:r w:rsidRPr="0045487E">
        <w:rPr>
          <w:rFonts w:ascii="Times New Roman" w:hAnsi="Times New Roman"/>
          <w:b/>
        </w:rPr>
        <w:t xml:space="preserve"> - § 7 ods. 1 písm. a) a h), a § 43 ods. 3 písm. a)</w:t>
      </w:r>
    </w:p>
    <w:p w:rsidR="00A1322E" w:rsidRPr="0045487E" w:rsidP="000356A4">
      <w:pPr>
        <w:shd w:val="clear" w:color="auto" w:fill="FFFFFF"/>
        <w:bidi w:val="0"/>
        <w:jc w:val="both"/>
        <w:rPr>
          <w:rStyle w:val="PlaceholderText"/>
          <w:color w:val="auto"/>
        </w:rPr>
      </w:pPr>
      <w:r w:rsidRPr="0045487E" w:rsidR="000356A4">
        <w:rPr>
          <w:rStyle w:val="PlaceholderText"/>
          <w:color w:val="auto"/>
        </w:rPr>
        <w:t>Navrhovaná úprava obsahuje zdaňovanie výnosov z hypotekárnych záložných listov u fyzických osôb daňou vyberanou zrážkou, bez možnosti uplatnenia výdavkov.</w:t>
      </w:r>
    </w:p>
    <w:p w:rsidR="00167EAA" w:rsidRPr="0045487E" w:rsidP="000356A4">
      <w:pPr>
        <w:shd w:val="clear" w:color="auto" w:fill="FFFFFF"/>
        <w:bidi w:val="0"/>
        <w:jc w:val="both"/>
        <w:rPr>
          <w:rStyle w:val="PlaceholderText"/>
          <w:color w:val="auto"/>
        </w:rPr>
      </w:pPr>
    </w:p>
    <w:p w:rsidR="00167EAA" w:rsidRPr="0045487E" w:rsidP="000356A4">
      <w:pPr>
        <w:shd w:val="clear" w:color="auto" w:fill="FFFFFF"/>
        <w:bidi w:val="0"/>
        <w:jc w:val="both"/>
        <w:rPr>
          <w:rStyle w:val="PlaceholderText"/>
          <w:b/>
          <w:color w:val="auto"/>
        </w:rPr>
      </w:pPr>
      <w:r w:rsidRPr="0045487E">
        <w:rPr>
          <w:rStyle w:val="PlaceholderText"/>
          <w:b/>
          <w:color w:val="auto"/>
        </w:rPr>
        <w:t>K bodu 13 - § 7 ods. 1 písm. b)</w:t>
      </w:r>
    </w:p>
    <w:p w:rsidR="00167EAA" w:rsidRPr="0045487E" w:rsidP="00167EAA">
      <w:pPr>
        <w:bidi w:val="0"/>
        <w:jc w:val="both"/>
        <w:rPr>
          <w:rFonts w:ascii="Times New Roman" w:hAnsi="Times New Roman"/>
        </w:rPr>
      </w:pPr>
      <w:r w:rsidRPr="0045487E">
        <w:rPr>
          <w:rFonts w:ascii="Times New Roman" w:hAnsi="Times New Roman"/>
        </w:rPr>
        <w:t>Navrhovanou úpravou sa ustanovenie spresňuje v tom smere, že akékoľvek úroky, výhry alebo iné výnosy plynúce nie len na vkladných knižkách ale aj na vkladovom účte, účte stavebného sporiteľa alebo bežnom účte s výnimkou úrokov uvedených v § 6 ods. 5 písm. b) zákona (úroky plynúce z prostriedkov na bežnom účte využívanom v súvislosti s podnikaním) budú príjmami z kapitálového majetku, ktoré ak plynú zo zdrojov na území Slovenskej republiky budú vysporiadané daňou vyberanou zrážkou platiteľom dane.</w:t>
      </w:r>
    </w:p>
    <w:p w:rsidR="00167EAA" w:rsidRPr="0045487E" w:rsidP="000356A4">
      <w:pPr>
        <w:shd w:val="clear" w:color="auto" w:fill="FFFFFF"/>
        <w:bidi w:val="0"/>
        <w:jc w:val="both"/>
        <w:rPr>
          <w:rStyle w:val="PlaceholderText"/>
          <w:color w:val="auto"/>
        </w:rPr>
      </w:pPr>
    </w:p>
    <w:p w:rsidR="000356A4" w:rsidRPr="0045487E" w:rsidP="00210E92">
      <w:pPr>
        <w:shd w:val="clear" w:color="auto" w:fill="FFFFFF"/>
        <w:bidi w:val="0"/>
        <w:rPr>
          <w:rStyle w:val="PlaceholderText"/>
          <w:color w:val="auto"/>
        </w:rPr>
      </w:pPr>
      <w:r w:rsidRPr="0045487E" w:rsidR="00167EAA">
        <w:rPr>
          <w:rFonts w:ascii="Times New Roman" w:hAnsi="Times New Roman"/>
          <w:b/>
        </w:rPr>
        <w:t>K bodu 15 - § 7 ods. 4</w:t>
      </w:r>
    </w:p>
    <w:p w:rsidR="00167EAA" w:rsidRPr="0045487E" w:rsidP="00167EAA">
      <w:pPr>
        <w:bidi w:val="0"/>
        <w:jc w:val="both"/>
        <w:rPr>
          <w:rFonts w:ascii="Times New Roman" w:hAnsi="Times New Roman"/>
        </w:rPr>
      </w:pPr>
      <w:r w:rsidRPr="0045487E">
        <w:rPr>
          <w:rFonts w:ascii="Times New Roman" w:hAnsi="Times New Roman"/>
        </w:rPr>
        <w:t>V navrhovanej úprave sa ustanovenie len legislatívno-technicky spresňuje z dôvodu právnej istoty daňovníka, pričom ani v súčasnosti sa nedovoľujú pri príjmoch uvádzaných v § 7 ods. 1 písm. a) a b) a h) zákona uplatňovať výdavky.</w:t>
      </w:r>
    </w:p>
    <w:p w:rsidR="000356A4" w:rsidRPr="0045487E" w:rsidP="00210E92">
      <w:pPr>
        <w:shd w:val="clear" w:color="auto" w:fill="FFFFFF"/>
        <w:bidi w:val="0"/>
        <w:rPr>
          <w:rStyle w:val="PlaceholderText"/>
          <w:color w:val="auto"/>
        </w:rPr>
      </w:pPr>
    </w:p>
    <w:p w:rsidR="00CC09EB" w:rsidRPr="0045487E" w:rsidP="00210E92">
      <w:pPr>
        <w:shd w:val="clear" w:color="auto" w:fill="FFFFFF"/>
        <w:bidi w:val="0"/>
        <w:jc w:val="both"/>
        <w:rPr>
          <w:rFonts w:ascii="Times New Roman" w:hAnsi="Times New Roman"/>
        </w:rPr>
      </w:pPr>
      <w:r w:rsidRPr="0045487E" w:rsidR="00762A31">
        <w:rPr>
          <w:rStyle w:val="PlaceholderText"/>
          <w:b/>
          <w:color w:val="auto"/>
        </w:rPr>
        <w:t xml:space="preserve">K bodu </w:t>
      </w:r>
      <w:r w:rsidRPr="0045487E" w:rsidR="0040303F">
        <w:rPr>
          <w:rStyle w:val="PlaceholderText"/>
          <w:b/>
          <w:color w:val="auto"/>
        </w:rPr>
        <w:t>1</w:t>
      </w:r>
      <w:r w:rsidRPr="0045487E" w:rsidR="00167EAA">
        <w:rPr>
          <w:rStyle w:val="PlaceholderText"/>
          <w:b/>
          <w:color w:val="auto"/>
        </w:rPr>
        <w:t>6</w:t>
      </w:r>
      <w:r w:rsidRPr="0045487E" w:rsidR="00762A31">
        <w:rPr>
          <w:rStyle w:val="PlaceholderText"/>
          <w:b/>
          <w:color w:val="auto"/>
        </w:rPr>
        <w:t xml:space="preserve"> </w:t>
      </w:r>
      <w:r w:rsidRPr="0045487E">
        <w:rPr>
          <w:rStyle w:val="PlaceholderText"/>
          <w:b/>
          <w:color w:val="auto"/>
        </w:rPr>
        <w:t xml:space="preserve">- § </w:t>
      </w:r>
      <w:r w:rsidRPr="0045487E" w:rsidR="00A1322E">
        <w:rPr>
          <w:rStyle w:val="PlaceholderText"/>
          <w:b/>
          <w:color w:val="auto"/>
        </w:rPr>
        <w:t>7 ods.</w:t>
      </w:r>
      <w:r w:rsidRPr="0045487E" w:rsidR="004F6503">
        <w:rPr>
          <w:rStyle w:val="PlaceholderText"/>
          <w:b/>
          <w:color w:val="auto"/>
        </w:rPr>
        <w:t xml:space="preserve"> </w:t>
      </w:r>
      <w:r w:rsidRPr="0045487E" w:rsidR="00DA60C8">
        <w:rPr>
          <w:rStyle w:val="PlaceholderText"/>
          <w:b/>
          <w:color w:val="auto"/>
        </w:rPr>
        <w:t>8</w:t>
      </w:r>
    </w:p>
    <w:p w:rsidR="009714CA" w:rsidRPr="0045487E" w:rsidP="009714CA">
      <w:pPr>
        <w:shd w:val="clear" w:color="auto" w:fill="FFFFFF"/>
        <w:bidi w:val="0"/>
        <w:jc w:val="both"/>
        <w:rPr>
          <w:rFonts w:ascii="Times New Roman" w:hAnsi="Times New Roman"/>
        </w:rPr>
      </w:pPr>
      <w:r w:rsidRPr="0045487E" w:rsidR="00735B83">
        <w:rPr>
          <w:rFonts w:ascii="Times New Roman" w:hAnsi="Times New Roman"/>
        </w:rPr>
        <w:t>Z</w:t>
      </w:r>
      <w:r w:rsidRPr="0045487E">
        <w:rPr>
          <w:rFonts w:ascii="Times New Roman" w:hAnsi="Times New Roman"/>
        </w:rPr>
        <w:t>rovnoprávňuje</w:t>
      </w:r>
      <w:r w:rsidRPr="0045487E" w:rsidR="00735B83">
        <w:rPr>
          <w:rFonts w:ascii="Times New Roman" w:hAnsi="Times New Roman"/>
        </w:rPr>
        <w:t xml:space="preserve"> sa</w:t>
      </w:r>
      <w:r w:rsidRPr="0045487E">
        <w:rPr>
          <w:rFonts w:ascii="Times New Roman" w:hAnsi="Times New Roman"/>
        </w:rPr>
        <w:t xml:space="preserve"> možnosť uplatnenia výdavku pri dávkach z doplnkového dôchodkového sporenia a plnenia z poistenia pre prípad dožitia určitého veku, ktoré plynú daňovníkovi zo zdrojov v zahraničí s takto plynúcimi príjmami zo zdrojov na území Slovenskej republiky, z ktorých sa zráža daň, pričom základom dane pre daň vyberanú zrážkou sú uvedené príjmy znížené o takéto výdavky podľa § 43 ods. 5 písm. a) zákona. V súlade s § 7 ods. 3 zákona sú uvedené príjmy plynúce zo zdrojov v zahraničí, príjmami zahŕ</w:t>
      </w:r>
      <w:r w:rsidR="008D3FAF">
        <w:rPr>
          <w:rFonts w:ascii="Times New Roman" w:hAnsi="Times New Roman"/>
        </w:rPr>
        <w:t>novanými</w:t>
      </w:r>
      <w:r w:rsidRPr="0045487E">
        <w:rPr>
          <w:rFonts w:ascii="Times New Roman" w:hAnsi="Times New Roman"/>
        </w:rPr>
        <w:t xml:space="preserve"> do čiastkového základu dane z príjmov z kapitálového majetku podľa § 7 zákona, zdaňovanými prostredníctvom daňového priznania po uplatnení výdavkov uvedených v navrhovanom znení ustanovenia § 7 ods. 8 zákona.</w:t>
      </w:r>
    </w:p>
    <w:p w:rsidR="00A1322E" w:rsidRPr="0045487E" w:rsidP="00210E92">
      <w:pPr>
        <w:shd w:val="clear" w:color="auto" w:fill="FFFFFF"/>
        <w:bidi w:val="0"/>
        <w:jc w:val="both"/>
        <w:rPr>
          <w:rFonts w:ascii="Times New Roman" w:hAnsi="Times New Roman"/>
        </w:rPr>
      </w:pPr>
    </w:p>
    <w:p w:rsidR="000356A4" w:rsidRPr="0045487E" w:rsidP="00210E92">
      <w:pPr>
        <w:shd w:val="clear" w:color="auto" w:fill="FFFFFF"/>
        <w:bidi w:val="0"/>
        <w:jc w:val="both"/>
        <w:rPr>
          <w:rFonts w:ascii="Times New Roman" w:hAnsi="Times New Roman"/>
          <w:b/>
        </w:rPr>
      </w:pPr>
      <w:r w:rsidRPr="0045487E">
        <w:rPr>
          <w:rFonts w:ascii="Times New Roman" w:hAnsi="Times New Roman"/>
          <w:b/>
        </w:rPr>
        <w:t>K bod</w:t>
      </w:r>
      <w:r w:rsidRPr="0045487E" w:rsidR="00167EAA">
        <w:rPr>
          <w:rFonts w:ascii="Times New Roman" w:hAnsi="Times New Roman"/>
          <w:b/>
        </w:rPr>
        <w:t>om</w:t>
      </w:r>
      <w:r w:rsidRPr="0045487E">
        <w:rPr>
          <w:rFonts w:ascii="Times New Roman" w:hAnsi="Times New Roman"/>
          <w:b/>
        </w:rPr>
        <w:t xml:space="preserve"> </w:t>
      </w:r>
      <w:r w:rsidRPr="0045487E" w:rsidR="00167EAA">
        <w:rPr>
          <w:rFonts w:ascii="Times New Roman" w:hAnsi="Times New Roman"/>
          <w:b/>
        </w:rPr>
        <w:t>17, 18 a 7</w:t>
      </w:r>
      <w:r w:rsidR="001F1378">
        <w:rPr>
          <w:rFonts w:ascii="Times New Roman" w:hAnsi="Times New Roman"/>
          <w:b/>
        </w:rPr>
        <w:t>5</w:t>
      </w:r>
      <w:r w:rsidRPr="0045487E">
        <w:rPr>
          <w:rFonts w:ascii="Times New Roman" w:hAnsi="Times New Roman"/>
          <w:b/>
        </w:rPr>
        <w:t xml:space="preserve"> - § 8 ods. 1 písm. m),</w:t>
      </w:r>
      <w:r w:rsidRPr="0045487E" w:rsidR="00E918F7">
        <w:rPr>
          <w:rFonts w:ascii="Times New Roman" w:hAnsi="Times New Roman"/>
          <w:b/>
        </w:rPr>
        <w:t xml:space="preserve"> § 8 ods. 10</w:t>
      </w:r>
      <w:r w:rsidRPr="0045487E">
        <w:rPr>
          <w:rFonts w:ascii="Times New Roman" w:hAnsi="Times New Roman"/>
          <w:b/>
        </w:rPr>
        <w:t xml:space="preserve">  a § 43 ods. 3 písm. m)</w:t>
      </w:r>
    </w:p>
    <w:p w:rsidR="000356A4" w:rsidRPr="0045487E" w:rsidP="00210E92">
      <w:pPr>
        <w:shd w:val="clear" w:color="auto" w:fill="FFFFFF"/>
        <w:bidi w:val="0"/>
        <w:jc w:val="both"/>
        <w:rPr>
          <w:rFonts w:ascii="Times New Roman" w:hAnsi="Times New Roman"/>
        </w:rPr>
      </w:pPr>
      <w:r w:rsidRPr="0045487E" w:rsidR="00E918F7">
        <w:rPr>
          <w:rFonts w:ascii="Times New Roman" w:hAnsi="Times New Roman"/>
        </w:rPr>
        <w:t>Kompenzačné platby vyplácané podľa zákona č. 250/2012 Z.z. o regulácii v sieťových odvetviach sú u vyplácajúcich subjektov uznaným daňovým výdavkom, po ich zaplatení, pričom vyplácajúci subjekt je povinný na tieto platby uplatniť daň vyberanú zrážkou, ktorá je definitívne vysporiadaná a prijímajúci subjekt tento príjem už nezahr</w:t>
      </w:r>
      <w:r w:rsidR="00C721C7">
        <w:rPr>
          <w:rFonts w:ascii="Times New Roman" w:hAnsi="Times New Roman"/>
        </w:rPr>
        <w:t>n</w:t>
      </w:r>
      <w:r w:rsidRPr="0045487E" w:rsidR="00E918F7">
        <w:rPr>
          <w:rFonts w:ascii="Times New Roman" w:hAnsi="Times New Roman"/>
        </w:rPr>
        <w:t xml:space="preserve">uje do základu dane z príjmov. </w:t>
      </w:r>
    </w:p>
    <w:p w:rsidR="00CC09EB" w:rsidRPr="0045487E" w:rsidP="00210E92">
      <w:pPr>
        <w:shd w:val="clear" w:color="auto" w:fill="FFFFFF"/>
        <w:bidi w:val="0"/>
        <w:jc w:val="both"/>
        <w:rPr>
          <w:rFonts w:ascii="Times New Roman" w:hAnsi="Times New Roman"/>
        </w:rPr>
      </w:pPr>
    </w:p>
    <w:p w:rsidR="00746D2A" w:rsidRPr="0045487E" w:rsidP="00210E92">
      <w:pPr>
        <w:shd w:val="clear" w:color="auto" w:fill="FFFFFF"/>
        <w:bidi w:val="0"/>
        <w:rPr>
          <w:rFonts w:ascii="Times New Roman" w:hAnsi="Times New Roman"/>
          <w:b/>
        </w:rPr>
      </w:pPr>
      <w:r w:rsidRPr="0045487E">
        <w:rPr>
          <w:rFonts w:ascii="Times New Roman" w:hAnsi="Times New Roman"/>
          <w:b/>
        </w:rPr>
        <w:t>K bodu 1</w:t>
      </w:r>
      <w:r w:rsidRPr="0045487E" w:rsidR="00167EAA">
        <w:rPr>
          <w:rFonts w:ascii="Times New Roman" w:hAnsi="Times New Roman"/>
          <w:b/>
        </w:rPr>
        <w:t>9</w:t>
      </w:r>
      <w:r w:rsidRPr="0045487E">
        <w:rPr>
          <w:rFonts w:ascii="Times New Roman" w:hAnsi="Times New Roman"/>
          <w:b/>
        </w:rPr>
        <w:t xml:space="preserve"> - § </w:t>
      </w:r>
      <w:r w:rsidRPr="0045487E" w:rsidR="00A1322E">
        <w:rPr>
          <w:rFonts w:ascii="Times New Roman" w:hAnsi="Times New Roman"/>
          <w:b/>
        </w:rPr>
        <w:t>9 ods. 2 písm. m)</w:t>
      </w:r>
    </w:p>
    <w:p w:rsidR="00A1322E" w:rsidRPr="0045487E" w:rsidP="00210E92">
      <w:pPr>
        <w:pStyle w:val="ListParagraph"/>
        <w:shd w:val="clear" w:color="auto" w:fill="FFFFFF"/>
        <w:bidi w:val="0"/>
        <w:spacing w:after="0" w:line="240" w:lineRule="auto"/>
        <w:ind w:left="0"/>
        <w:jc w:val="both"/>
        <w:rPr>
          <w:rFonts w:ascii="Times New Roman" w:hAnsi="Times New Roman"/>
          <w:sz w:val="24"/>
          <w:szCs w:val="24"/>
        </w:rPr>
      </w:pPr>
      <w:r w:rsidRPr="0045487E" w:rsidR="00675E05">
        <w:rPr>
          <w:rFonts w:ascii="Times New Roman" w:hAnsi="Times New Roman"/>
          <w:sz w:val="24"/>
          <w:szCs w:val="24"/>
        </w:rPr>
        <w:t>U</w:t>
      </w:r>
      <w:r w:rsidRPr="0045487E">
        <w:rPr>
          <w:rFonts w:ascii="Times New Roman" w:hAnsi="Times New Roman"/>
          <w:sz w:val="24"/>
          <w:szCs w:val="24"/>
        </w:rPr>
        <w:t xml:space="preserve">pravuje </w:t>
      </w:r>
      <w:r w:rsidRPr="0045487E" w:rsidR="00675E05">
        <w:rPr>
          <w:rFonts w:ascii="Times New Roman" w:hAnsi="Times New Roman"/>
          <w:sz w:val="24"/>
          <w:szCs w:val="24"/>
        </w:rPr>
        <w:t xml:space="preserve">sa </w:t>
      </w:r>
      <w:r w:rsidRPr="0045487E">
        <w:rPr>
          <w:rFonts w:ascii="Times New Roman" w:hAnsi="Times New Roman"/>
          <w:sz w:val="24"/>
          <w:szCs w:val="24"/>
        </w:rPr>
        <w:t>zdanenie cien a výhier v hodnote vyššej ako 350 eur, podľa ktorého sa zdaňuje len sum</w:t>
      </w:r>
      <w:r w:rsidRPr="0045487E" w:rsidR="00675E05">
        <w:rPr>
          <w:rFonts w:ascii="Times New Roman" w:hAnsi="Times New Roman"/>
          <w:sz w:val="24"/>
          <w:szCs w:val="24"/>
        </w:rPr>
        <w:t>a</w:t>
      </w:r>
      <w:r w:rsidRPr="0045487E">
        <w:rPr>
          <w:rFonts w:ascii="Times New Roman" w:hAnsi="Times New Roman"/>
          <w:sz w:val="24"/>
          <w:szCs w:val="24"/>
        </w:rPr>
        <w:t>, ktorá prevyšuje 350 eur, t.j. hranicu</w:t>
      </w:r>
      <w:r w:rsidRPr="0045487E" w:rsidR="00675E05">
        <w:rPr>
          <w:rFonts w:ascii="Times New Roman" w:hAnsi="Times New Roman"/>
          <w:sz w:val="24"/>
          <w:szCs w:val="24"/>
        </w:rPr>
        <w:t>,</w:t>
      </w:r>
      <w:r w:rsidRPr="0045487E">
        <w:rPr>
          <w:rFonts w:ascii="Times New Roman" w:hAnsi="Times New Roman"/>
          <w:sz w:val="24"/>
          <w:szCs w:val="24"/>
        </w:rPr>
        <w:t xml:space="preserve"> od ktorej už nie je cena alebo výhra oslobodená od dane.</w:t>
      </w:r>
    </w:p>
    <w:p w:rsidR="00A1322E" w:rsidRPr="0045487E" w:rsidP="00210E92">
      <w:pPr>
        <w:shd w:val="clear" w:color="auto" w:fill="FFFFFF"/>
        <w:bidi w:val="0"/>
        <w:rPr>
          <w:rFonts w:ascii="Times New Roman" w:hAnsi="Times New Roman"/>
        </w:rPr>
      </w:pPr>
    </w:p>
    <w:p w:rsidR="00A1322E" w:rsidRPr="0045487E" w:rsidP="00210E92">
      <w:pPr>
        <w:shd w:val="clear" w:color="auto" w:fill="FFFFFF"/>
        <w:bidi w:val="0"/>
        <w:rPr>
          <w:rFonts w:ascii="Times New Roman" w:hAnsi="Times New Roman"/>
          <w:b/>
        </w:rPr>
      </w:pPr>
      <w:r w:rsidRPr="0045487E" w:rsidR="00CC09EB">
        <w:rPr>
          <w:rFonts w:ascii="Times New Roman" w:hAnsi="Times New Roman"/>
          <w:b/>
        </w:rPr>
        <w:t>K bod</w:t>
      </w:r>
      <w:r w:rsidRPr="0045487E">
        <w:rPr>
          <w:rFonts w:ascii="Times New Roman" w:hAnsi="Times New Roman"/>
          <w:b/>
        </w:rPr>
        <w:t>u</w:t>
      </w:r>
      <w:r w:rsidRPr="0045487E" w:rsidR="00CC09EB">
        <w:rPr>
          <w:rFonts w:ascii="Times New Roman" w:hAnsi="Times New Roman"/>
          <w:b/>
        </w:rPr>
        <w:t xml:space="preserve"> </w:t>
      </w:r>
      <w:r w:rsidRPr="0045487E" w:rsidR="00167EAA">
        <w:rPr>
          <w:rFonts w:ascii="Times New Roman" w:hAnsi="Times New Roman"/>
          <w:b/>
        </w:rPr>
        <w:t>20</w:t>
      </w:r>
      <w:r w:rsidRPr="0045487E">
        <w:rPr>
          <w:rFonts w:ascii="Times New Roman" w:hAnsi="Times New Roman"/>
          <w:b/>
        </w:rPr>
        <w:t xml:space="preserve"> - § 16 ods. 1 písm. c)</w:t>
      </w:r>
    </w:p>
    <w:p w:rsidR="00A1322E" w:rsidRPr="0045487E" w:rsidP="00210E92">
      <w:pPr>
        <w:shd w:val="clear" w:color="auto" w:fill="FFFFFF"/>
        <w:bidi w:val="0"/>
        <w:jc w:val="both"/>
        <w:rPr>
          <w:rFonts w:ascii="Times New Roman" w:hAnsi="Times New Roman"/>
        </w:rPr>
      </w:pPr>
      <w:r w:rsidRPr="0045487E" w:rsidR="004321B9">
        <w:rPr>
          <w:rFonts w:ascii="Times New Roman" w:hAnsi="Times New Roman"/>
        </w:rPr>
        <w:t xml:space="preserve">Predmetom dane </w:t>
      </w:r>
      <w:r w:rsidRPr="0045487E">
        <w:rPr>
          <w:rFonts w:ascii="Times New Roman" w:hAnsi="Times New Roman"/>
        </w:rPr>
        <w:t>daňovníka s obmedzenou daňovou povinnosťou</w:t>
      </w:r>
      <w:r w:rsidRPr="0045487E" w:rsidR="004321B9">
        <w:rPr>
          <w:rFonts w:ascii="Times New Roman" w:hAnsi="Times New Roman"/>
        </w:rPr>
        <w:t xml:space="preserve"> sú príjmy </w:t>
      </w:r>
      <w:r w:rsidRPr="0045487E">
        <w:rPr>
          <w:rFonts w:ascii="Times New Roman" w:hAnsi="Times New Roman"/>
        </w:rPr>
        <w:t>plynúc</w:t>
      </w:r>
      <w:r w:rsidRPr="0045487E" w:rsidR="004321B9">
        <w:rPr>
          <w:rFonts w:ascii="Times New Roman" w:hAnsi="Times New Roman"/>
        </w:rPr>
        <w:t>e</w:t>
      </w:r>
      <w:r w:rsidRPr="0045487E">
        <w:rPr>
          <w:rFonts w:ascii="Times New Roman" w:hAnsi="Times New Roman"/>
        </w:rPr>
        <w:t xml:space="preserve"> zo zdrojov na území Slovenskej republiky za poskytovanie služieb, aj v takom prípade, ak tieto neboli poskytnuté na našom území.</w:t>
      </w:r>
      <w:r w:rsidRPr="0045487E" w:rsidR="001C4D51">
        <w:rPr>
          <w:rFonts w:ascii="Times New Roman" w:hAnsi="Times New Roman"/>
        </w:rPr>
        <w:t xml:space="preserve"> V praxi je predmetné ustanovenie uplatniteľné výlučne voči daňovníkom zo štátov, s ktorými nemá Slovenská republika uzavretú zmluvu o zamedzení dvojitého zdanenia. V ostatných prípadoch sa dodržiava medzinárodne uznávaný princíp – právo na zdaňovanie príjmov zo služieb má štát, kde je služba vykonávaná (v súlade so zmluvami o zamedzení dvojitého zdanenia).</w:t>
      </w:r>
    </w:p>
    <w:p w:rsidR="00A1322E" w:rsidRPr="0045487E" w:rsidP="00210E92">
      <w:pPr>
        <w:shd w:val="clear" w:color="auto" w:fill="FFFFFF"/>
        <w:bidi w:val="0"/>
        <w:rPr>
          <w:rFonts w:ascii="Times New Roman" w:hAnsi="Times New Roman"/>
          <w:b/>
        </w:rPr>
      </w:pPr>
    </w:p>
    <w:p w:rsidR="00A1322E"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Pr="0045487E" w:rsidR="00167EAA">
        <w:rPr>
          <w:rFonts w:ascii="Times New Roman" w:hAnsi="Times New Roman"/>
          <w:b/>
        </w:rPr>
        <w:t>2</w:t>
      </w:r>
      <w:r w:rsidR="001F1378">
        <w:rPr>
          <w:rFonts w:ascii="Times New Roman" w:hAnsi="Times New Roman"/>
          <w:b/>
        </w:rPr>
        <w:t>1</w:t>
      </w:r>
      <w:r w:rsidRPr="0045487E">
        <w:rPr>
          <w:rFonts w:ascii="Times New Roman" w:hAnsi="Times New Roman"/>
          <w:b/>
        </w:rPr>
        <w:t xml:space="preserve"> - § 16 ods. 1 písm. e)</w:t>
      </w:r>
      <w:r w:rsidRPr="0045487E" w:rsidR="00DA3FDF">
        <w:rPr>
          <w:rFonts w:ascii="Times New Roman" w:hAnsi="Times New Roman"/>
          <w:b/>
        </w:rPr>
        <w:t xml:space="preserve"> piaty bod</w:t>
      </w:r>
    </w:p>
    <w:p w:rsidR="00AA6D10" w:rsidRPr="0045487E" w:rsidP="00AA6D10">
      <w:pPr>
        <w:shd w:val="clear" w:color="auto" w:fill="FFFFFF"/>
        <w:bidi w:val="0"/>
        <w:jc w:val="both"/>
        <w:rPr>
          <w:rFonts w:ascii="Times New Roman" w:hAnsi="Times New Roman"/>
        </w:rPr>
      </w:pPr>
      <w:r w:rsidRPr="0045487E">
        <w:rPr>
          <w:rFonts w:ascii="Times New Roman" w:hAnsi="Times New Roman"/>
        </w:rPr>
        <w:t>Príjmy z prevodu účasti alebo podielu na obchodnej spoločnosti alebo členského práva v družstve so sídlom na území Slovenskej republiky sa presúvajú do nového písmena g) v § 16 ods</w:t>
      </w:r>
      <w:r w:rsidR="00C721C7">
        <w:rPr>
          <w:rFonts w:ascii="Times New Roman" w:hAnsi="Times New Roman"/>
        </w:rPr>
        <w:t>.</w:t>
      </w:r>
      <w:r w:rsidRPr="0045487E">
        <w:rPr>
          <w:rFonts w:ascii="Times New Roman" w:hAnsi="Times New Roman"/>
        </w:rPr>
        <w:t xml:space="preserve"> 1 zákona. </w:t>
      </w:r>
    </w:p>
    <w:p w:rsidR="00AA6D10" w:rsidRPr="0045487E" w:rsidP="00AA6D10">
      <w:pPr>
        <w:shd w:val="clear" w:color="auto" w:fill="FFFFFF"/>
        <w:bidi w:val="0"/>
        <w:jc w:val="both"/>
        <w:rPr>
          <w:rFonts w:ascii="Times New Roman" w:hAnsi="Times New Roman"/>
        </w:rPr>
      </w:pPr>
      <w:r w:rsidRPr="0045487E">
        <w:rPr>
          <w:rFonts w:ascii="Times New Roman" w:hAnsi="Times New Roman"/>
        </w:rPr>
        <w:t>Zároveň sa za príjem zo zdroja na území Slovenskej republiky nepovažuje príjem plynúci daňovníkovi s obmedzenou daňovou povinnosťou z prevodu štátnych dlhopisov a štátnych pokladničných poukážok.</w:t>
      </w:r>
    </w:p>
    <w:p w:rsidR="004F5C63" w:rsidRPr="0045487E" w:rsidP="00210E92">
      <w:pPr>
        <w:shd w:val="clear" w:color="auto" w:fill="FFFFFF"/>
        <w:bidi w:val="0"/>
        <w:rPr>
          <w:rFonts w:ascii="Times New Roman" w:hAnsi="Times New Roman"/>
          <w:b/>
        </w:rPr>
      </w:pPr>
    </w:p>
    <w:p w:rsidR="00E27753"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Pr="0045487E" w:rsidR="00167EAA">
        <w:rPr>
          <w:rFonts w:ascii="Times New Roman" w:hAnsi="Times New Roman"/>
          <w:b/>
        </w:rPr>
        <w:t>2</w:t>
      </w:r>
      <w:r w:rsidR="001F1378">
        <w:rPr>
          <w:rFonts w:ascii="Times New Roman" w:hAnsi="Times New Roman"/>
          <w:b/>
        </w:rPr>
        <w:t>2</w:t>
      </w:r>
      <w:r w:rsidR="00C721C7">
        <w:rPr>
          <w:rFonts w:ascii="Times New Roman" w:hAnsi="Times New Roman"/>
          <w:b/>
        </w:rPr>
        <w:t xml:space="preserve"> </w:t>
      </w:r>
      <w:r w:rsidRPr="0045487E">
        <w:rPr>
          <w:rFonts w:ascii="Times New Roman" w:hAnsi="Times New Roman"/>
          <w:b/>
        </w:rPr>
        <w:t>- § 16 ods. 1 písm. g) a</w:t>
      </w:r>
      <w:r w:rsidRPr="0045487E" w:rsidR="00AA6D10">
        <w:rPr>
          <w:rFonts w:ascii="Times New Roman" w:hAnsi="Times New Roman"/>
          <w:b/>
        </w:rPr>
        <w:t>ž</w:t>
      </w:r>
      <w:r w:rsidRPr="0045487E">
        <w:rPr>
          <w:rFonts w:ascii="Times New Roman" w:hAnsi="Times New Roman"/>
          <w:b/>
        </w:rPr>
        <w:t> </w:t>
      </w:r>
      <w:r w:rsidRPr="0045487E" w:rsidR="00AA6D10">
        <w:rPr>
          <w:rFonts w:ascii="Times New Roman" w:hAnsi="Times New Roman"/>
          <w:b/>
        </w:rPr>
        <w:t>i</w:t>
      </w:r>
      <w:r w:rsidRPr="0045487E">
        <w:rPr>
          <w:rFonts w:ascii="Times New Roman" w:hAnsi="Times New Roman"/>
          <w:b/>
        </w:rPr>
        <w:t xml:space="preserve">) </w:t>
      </w:r>
    </w:p>
    <w:p w:rsidR="00AA6D10" w:rsidRPr="0045487E" w:rsidP="00AA6D10">
      <w:pPr>
        <w:shd w:val="clear" w:color="auto" w:fill="FFFFFF"/>
        <w:bidi w:val="0"/>
        <w:jc w:val="both"/>
        <w:rPr>
          <w:rFonts w:ascii="Times New Roman" w:hAnsi="Times New Roman"/>
        </w:rPr>
      </w:pPr>
      <w:r w:rsidRPr="0045487E">
        <w:rPr>
          <w:rFonts w:ascii="Times New Roman" w:hAnsi="Times New Roman"/>
        </w:rPr>
        <w:t xml:space="preserve">Za príjem zo zdroja na území Slovenskej republiky podľa písmena g) sa považuje príjem daňovníka s obmedzenou daňovou povinnosťou plynúci z prevodu účasti alebo podielu na obchodnej spoločnosti alebo členského práva v družstve so sídlom na území Slovenskej republiky, a to aj v prípade, ak úhrada plynie od iného daňovníka s obmedzenou daňovou povinnosťou (nielen od daňovníka s neobmedzenou daňovou povinnosťou v Slovenskej republike). </w:t>
      </w:r>
    </w:p>
    <w:p w:rsidR="00AA6D10" w:rsidRPr="0045487E" w:rsidP="00AA6D10">
      <w:pPr>
        <w:shd w:val="clear" w:color="auto" w:fill="FFFFFF"/>
        <w:bidi w:val="0"/>
        <w:jc w:val="both"/>
        <w:rPr>
          <w:rFonts w:ascii="Times New Roman" w:hAnsi="Times New Roman"/>
        </w:rPr>
      </w:pPr>
      <w:r w:rsidRPr="0045487E">
        <w:rPr>
          <w:rFonts w:ascii="Times New Roman" w:hAnsi="Times New Roman"/>
        </w:rPr>
        <w:t>Doplnenie písmena h) implementuje špeciálne pravidlo vymedzené v článku 13 odsek 4 Modelovej daňovej zmluvy OECD o príjmoch a o majetku a vo viacerých bilaterálnych zmluvách o zamedzení dvojitého zdanenia uzavretých Slovenskou republikou. Slovenská republika má právo na zdanenie príjmov z prevodu podielov na spoločnosti alebo členského práva v družstve bez ohľadu na ich sídlo, ak spoločnosť alebo družstvo vlastní nehnuteľnosť na území Slovenskej republiky, ktorej účtovná hodnota podľa účtovnej závierky zostavenej za účtovné obdobie predchádzajúce účtovnému obdobiu, v ktorom došlo k prevodu, je viac ako 50 % hodnoty vlastného imania tejto spoločnosti alebo tohto družstva.</w:t>
      </w:r>
    </w:p>
    <w:p w:rsidR="00AA6D10" w:rsidRPr="0045487E" w:rsidP="00AA6D10">
      <w:pPr>
        <w:shd w:val="clear" w:color="auto" w:fill="FFFFFF"/>
        <w:bidi w:val="0"/>
        <w:jc w:val="both"/>
        <w:rPr>
          <w:rFonts w:ascii="Times New Roman" w:hAnsi="Times New Roman"/>
        </w:rPr>
      </w:pPr>
      <w:r w:rsidRPr="0045487E">
        <w:rPr>
          <w:rFonts w:ascii="Times New Roman" w:hAnsi="Times New Roman"/>
        </w:rPr>
        <w:t xml:space="preserve">Za účelom spresnenia súčasnej situácie sa dopĺňa nové písmeno i), ktoré explicitne vymedzuje, že aj rozdiel medzi vyššou hodnotou nepeňažného vkladu započítaného na vklad spoločníka a hodnotou vkladaného majetku do základného imania obchodnej spoločnosti alebo družstva so sídlom na území Slovenskej republiky je považovaný za príjem daňovníka s obmedzenou daňovou povinnosťou zo zdrojov na území Slovenskej republiky. </w:t>
      </w:r>
    </w:p>
    <w:p w:rsidR="00E27753" w:rsidRPr="0045487E" w:rsidP="00210E92">
      <w:pPr>
        <w:shd w:val="clear" w:color="auto" w:fill="FFFFFF"/>
        <w:bidi w:val="0"/>
        <w:rPr>
          <w:rFonts w:ascii="Times New Roman" w:hAnsi="Times New Roman"/>
          <w:b/>
        </w:rPr>
      </w:pPr>
    </w:p>
    <w:p w:rsidR="00A1322E" w:rsidRPr="0045487E" w:rsidP="00210E92">
      <w:pPr>
        <w:shd w:val="clear" w:color="auto" w:fill="FFFFFF"/>
        <w:bidi w:val="0"/>
        <w:rPr>
          <w:rFonts w:ascii="Times New Roman" w:hAnsi="Times New Roman"/>
          <w:b/>
        </w:rPr>
      </w:pPr>
      <w:r w:rsidRPr="0045487E" w:rsidR="00CC09EB">
        <w:rPr>
          <w:rFonts w:ascii="Times New Roman" w:hAnsi="Times New Roman"/>
          <w:b/>
        </w:rPr>
        <w:t xml:space="preserve">K bodu </w:t>
      </w:r>
      <w:r w:rsidRPr="0045487E" w:rsidR="00167EAA">
        <w:rPr>
          <w:rFonts w:ascii="Times New Roman" w:hAnsi="Times New Roman"/>
          <w:b/>
        </w:rPr>
        <w:t>2</w:t>
      </w:r>
      <w:r w:rsidR="001F1378">
        <w:rPr>
          <w:rFonts w:ascii="Times New Roman" w:hAnsi="Times New Roman"/>
          <w:b/>
        </w:rPr>
        <w:t>3</w:t>
      </w:r>
      <w:r w:rsidRPr="0045487E" w:rsidR="00A76A1F">
        <w:rPr>
          <w:rFonts w:ascii="Times New Roman" w:hAnsi="Times New Roman"/>
          <w:b/>
        </w:rPr>
        <w:t xml:space="preserve"> - §</w:t>
      </w:r>
      <w:r w:rsidRPr="0045487E">
        <w:rPr>
          <w:rFonts w:ascii="Times New Roman" w:hAnsi="Times New Roman"/>
          <w:b/>
        </w:rPr>
        <w:t xml:space="preserve"> 16 ods. 2</w:t>
      </w:r>
    </w:p>
    <w:p w:rsidR="00DA748B" w:rsidRPr="0045487E" w:rsidP="00210E92">
      <w:pPr>
        <w:shd w:val="clear" w:color="auto" w:fill="FFFFFF"/>
        <w:bidi w:val="0"/>
        <w:jc w:val="both"/>
        <w:rPr>
          <w:rFonts w:ascii="Times New Roman" w:hAnsi="Times New Roman"/>
        </w:rPr>
      </w:pPr>
      <w:r w:rsidRPr="0045487E">
        <w:rPr>
          <w:rFonts w:ascii="Times New Roman" w:hAnsi="Times New Roman"/>
        </w:rPr>
        <w:t xml:space="preserve">Rozšírenie definície stálej prevádzkarne o koncept tzv. službovej stálej prevádzkarne, ktorý je vymedzený tiež vo viacerých zmluvách o zamedzení dvojitého zdanenia uzavretých Slovenskou republikou. Koncept tzv. službovej stálej prevádzkarne (rovnako ako koncept tzv. agentskej stálej prevádzkarne) predstavuje alternatívne ustanovenie vymedzujúce vznik stálej prevádzkarne, ktoré sa uplatňuje bez ohľadu na predchádzajúce ustanovenia zákona, t.j. bez ohľadu na existenciu trvalého miesta daňovníka na výkon činností. Podľa </w:t>
      </w:r>
      <w:r w:rsidRPr="0045487E" w:rsidR="00246D0F">
        <w:rPr>
          <w:rFonts w:ascii="Times New Roman" w:hAnsi="Times New Roman"/>
        </w:rPr>
        <w:t>tohto</w:t>
      </w:r>
      <w:r w:rsidRPr="0045487E">
        <w:rPr>
          <w:rFonts w:ascii="Times New Roman" w:hAnsi="Times New Roman"/>
        </w:rPr>
        <w:t xml:space="preserve"> </w:t>
      </w:r>
      <w:r w:rsidRPr="0045487E" w:rsidR="00246D0F">
        <w:rPr>
          <w:rFonts w:ascii="Times New Roman" w:hAnsi="Times New Roman"/>
        </w:rPr>
        <w:t>návrhu</w:t>
      </w:r>
      <w:r w:rsidRPr="0045487E">
        <w:rPr>
          <w:rFonts w:ascii="Times New Roman" w:hAnsi="Times New Roman"/>
        </w:rPr>
        <w:t>, aj činnosti pri poskytovaní služieb vykonávané na viacerých miestach v rámci územia Slovenskej republiky môžu založiť stálu prevádzkareň daňovníka, ak sú vykonávané počas vymedzeného časového obdobia.</w:t>
      </w:r>
    </w:p>
    <w:p w:rsidR="0040303F" w:rsidRPr="0045487E" w:rsidP="00210E92">
      <w:pPr>
        <w:shd w:val="clear" w:color="auto" w:fill="FFFFFF"/>
        <w:bidi w:val="0"/>
        <w:rPr>
          <w:rFonts w:ascii="Times New Roman" w:hAnsi="Times New Roman"/>
        </w:rPr>
      </w:pPr>
      <w:r w:rsidRPr="0045487E" w:rsidR="00A76A1F">
        <w:rPr>
          <w:rFonts w:ascii="Times New Roman" w:hAnsi="Times New Roman"/>
          <w:b/>
        </w:rPr>
        <w:t xml:space="preserve"> </w:t>
      </w:r>
    </w:p>
    <w:p w:rsidR="00DA748B" w:rsidRPr="0045487E" w:rsidP="00210E92">
      <w:pPr>
        <w:shd w:val="clear" w:color="auto" w:fill="FFFFFF"/>
        <w:bidi w:val="0"/>
        <w:jc w:val="both"/>
        <w:rPr>
          <w:rFonts w:ascii="Times New Roman" w:hAnsi="Times New Roman"/>
          <w:b/>
        </w:rPr>
      </w:pPr>
      <w:r w:rsidRPr="0045487E" w:rsidR="0040303F">
        <w:rPr>
          <w:rFonts w:ascii="Times New Roman" w:hAnsi="Times New Roman"/>
          <w:b/>
        </w:rPr>
        <w:t xml:space="preserve">K bodu </w:t>
      </w:r>
      <w:r w:rsidRPr="0045487E" w:rsidR="00167EAA">
        <w:rPr>
          <w:rFonts w:ascii="Times New Roman" w:hAnsi="Times New Roman"/>
          <w:b/>
        </w:rPr>
        <w:t>2</w:t>
      </w:r>
      <w:r w:rsidR="001F1378">
        <w:rPr>
          <w:rFonts w:ascii="Times New Roman" w:hAnsi="Times New Roman"/>
          <w:b/>
        </w:rPr>
        <w:t>4</w:t>
      </w:r>
      <w:r w:rsidRPr="0045487E" w:rsidR="0040303F">
        <w:rPr>
          <w:rFonts w:ascii="Times New Roman" w:hAnsi="Times New Roman"/>
          <w:b/>
        </w:rPr>
        <w:t xml:space="preserve"> - §</w:t>
      </w:r>
      <w:r w:rsidRPr="0045487E">
        <w:rPr>
          <w:rFonts w:ascii="Times New Roman" w:hAnsi="Times New Roman"/>
          <w:b/>
        </w:rPr>
        <w:t xml:space="preserve"> 17 ods. 1 písm. c)</w:t>
      </w:r>
    </w:p>
    <w:p w:rsidR="00DA748B" w:rsidRPr="0045487E" w:rsidP="00210E92">
      <w:pPr>
        <w:shd w:val="clear" w:color="auto" w:fill="FFFFFF"/>
        <w:bidi w:val="0"/>
        <w:jc w:val="both"/>
        <w:rPr>
          <w:rFonts w:ascii="Times New Roman" w:hAnsi="Times New Roman"/>
          <w:b/>
        </w:rPr>
      </w:pPr>
      <w:r w:rsidRPr="0045487E">
        <w:rPr>
          <w:rFonts w:ascii="Times New Roman" w:hAnsi="Times New Roman"/>
        </w:rPr>
        <w:t>Legislatívno</w:t>
      </w:r>
      <w:r w:rsidRPr="0045487E" w:rsidR="009431D5">
        <w:rPr>
          <w:rFonts w:ascii="Times New Roman" w:hAnsi="Times New Roman"/>
        </w:rPr>
        <w:t xml:space="preserve"> </w:t>
      </w:r>
      <w:r w:rsidRPr="0045487E">
        <w:rPr>
          <w:rFonts w:ascii="Times New Roman" w:hAnsi="Times New Roman"/>
        </w:rPr>
        <w:t>-</w:t>
      </w:r>
      <w:r w:rsidRPr="0045487E" w:rsidR="009431D5">
        <w:rPr>
          <w:rFonts w:ascii="Times New Roman" w:hAnsi="Times New Roman"/>
        </w:rPr>
        <w:t xml:space="preserve"> </w:t>
      </w:r>
      <w:r w:rsidRPr="0045487E">
        <w:rPr>
          <w:rFonts w:ascii="Times New Roman" w:hAnsi="Times New Roman"/>
        </w:rPr>
        <w:t>technická úprava</w:t>
      </w:r>
      <w:r w:rsidRPr="0045487E" w:rsidR="008A0B0B">
        <w:rPr>
          <w:rFonts w:ascii="Times New Roman" w:hAnsi="Times New Roman"/>
        </w:rPr>
        <w:t>, ktorou sa vypúšťa zavedenie skratky pre Ministerstvo financií Slovenskej republiky, nakoľko táto skratka sa zaviedla už v § 2 písm. x) zákona</w:t>
      </w:r>
      <w:r w:rsidRPr="0045487E">
        <w:rPr>
          <w:rFonts w:ascii="Times New Roman" w:hAnsi="Times New Roman"/>
        </w:rPr>
        <w:t>.</w:t>
      </w:r>
    </w:p>
    <w:p w:rsidR="00496E2E" w:rsidRPr="0045487E" w:rsidP="00210E92">
      <w:pPr>
        <w:shd w:val="clear" w:color="auto" w:fill="FFFFFF"/>
        <w:bidi w:val="0"/>
        <w:jc w:val="both"/>
        <w:rPr>
          <w:rFonts w:ascii="Times New Roman" w:hAnsi="Times New Roman"/>
          <w:b/>
        </w:rPr>
      </w:pPr>
      <w:r w:rsidRPr="0045487E" w:rsidR="0040303F">
        <w:rPr>
          <w:rFonts w:ascii="Times New Roman" w:hAnsi="Times New Roman"/>
          <w:b/>
        </w:rPr>
        <w:t xml:space="preserve"> </w:t>
      </w:r>
    </w:p>
    <w:p w:rsidR="009714CA" w:rsidRPr="0045487E" w:rsidP="00210E92">
      <w:pPr>
        <w:shd w:val="clear" w:color="auto" w:fill="FFFFFF"/>
        <w:autoSpaceDE w:val="0"/>
        <w:autoSpaceDN w:val="0"/>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25</w:t>
      </w:r>
      <w:r w:rsidRPr="0045487E">
        <w:rPr>
          <w:rFonts w:ascii="Times New Roman" w:hAnsi="Times New Roman"/>
          <w:b/>
        </w:rPr>
        <w:t xml:space="preserve"> - § 17 ods. 1 písm. e)</w:t>
      </w:r>
    </w:p>
    <w:p w:rsidR="00AA6D10" w:rsidRPr="0045487E" w:rsidP="00AA6D10">
      <w:pPr>
        <w:shd w:val="clear" w:color="auto" w:fill="FFFFFF"/>
        <w:autoSpaceDE w:val="0"/>
        <w:autoSpaceDN w:val="0"/>
        <w:bidi w:val="0"/>
        <w:jc w:val="both"/>
        <w:rPr>
          <w:rFonts w:ascii="Times New Roman" w:hAnsi="Times New Roman"/>
        </w:rPr>
      </w:pPr>
      <w:r w:rsidRPr="0045487E">
        <w:rPr>
          <w:rFonts w:ascii="Times New Roman" w:hAnsi="Times New Roman"/>
        </w:rPr>
        <w:t xml:space="preserve">Navrhovanou úpravou dochádza k spresneniu povinnosti daňovníka s obmedzenou daňovou povinnosťou (právnickej osoby), ktorý má stálu prevádzkareň alebo viacero stálych prevádzkarní na území Slovenskej republiky, avšak nie je účtovnou jednotkou podľa zákona o účtovníctve, aby pri vyčíslení základu dane vychádzal z výsledku hospodárenia v súlade s opatrením Ministerstva financií SR vyhláseným podľa zákona o účtovníctve.    </w:t>
      </w:r>
    </w:p>
    <w:p w:rsidR="009714CA" w:rsidRPr="0045487E" w:rsidP="00210E92">
      <w:pPr>
        <w:shd w:val="clear" w:color="auto" w:fill="FFFFFF"/>
        <w:autoSpaceDE w:val="0"/>
        <w:autoSpaceDN w:val="0"/>
        <w:bidi w:val="0"/>
        <w:jc w:val="both"/>
        <w:rPr>
          <w:rFonts w:ascii="Times New Roman" w:hAnsi="Times New Roman"/>
        </w:rPr>
      </w:pPr>
      <w:r w:rsidRPr="0045487E">
        <w:rPr>
          <w:rFonts w:ascii="Times New Roman" w:hAnsi="Times New Roman"/>
        </w:rPr>
        <w:t xml:space="preserve">    </w:t>
      </w:r>
    </w:p>
    <w:p w:rsidR="00A406D8" w:rsidRPr="0045487E" w:rsidP="00210E92">
      <w:pPr>
        <w:shd w:val="clear" w:color="auto" w:fill="FFFFFF"/>
        <w:autoSpaceDE w:val="0"/>
        <w:autoSpaceDN w:val="0"/>
        <w:bidi w:val="0"/>
        <w:jc w:val="both"/>
        <w:rPr>
          <w:rFonts w:ascii="Times New Roman" w:hAnsi="Times New Roman"/>
          <w:b/>
        </w:rPr>
      </w:pPr>
      <w:r w:rsidRPr="0045487E">
        <w:rPr>
          <w:rFonts w:ascii="Times New Roman" w:hAnsi="Times New Roman"/>
          <w:b/>
        </w:rPr>
        <w:t>K bod</w:t>
      </w:r>
      <w:r w:rsidRPr="0045487E" w:rsidR="00167EAA">
        <w:rPr>
          <w:rFonts w:ascii="Times New Roman" w:hAnsi="Times New Roman"/>
          <w:b/>
        </w:rPr>
        <w:t>om</w:t>
      </w:r>
      <w:r w:rsidRPr="0045487E">
        <w:rPr>
          <w:rFonts w:ascii="Times New Roman" w:hAnsi="Times New Roman"/>
          <w:b/>
        </w:rPr>
        <w:t xml:space="preserve"> 2</w:t>
      </w:r>
      <w:r w:rsidR="001F1378">
        <w:rPr>
          <w:rFonts w:ascii="Times New Roman" w:hAnsi="Times New Roman"/>
          <w:b/>
        </w:rPr>
        <w:t>6</w:t>
      </w:r>
      <w:r w:rsidRPr="0045487E" w:rsidR="00167EAA">
        <w:rPr>
          <w:rFonts w:ascii="Times New Roman" w:hAnsi="Times New Roman"/>
          <w:b/>
        </w:rPr>
        <w:t xml:space="preserve"> a 2</w:t>
      </w:r>
      <w:r w:rsidR="001F1378">
        <w:rPr>
          <w:rFonts w:ascii="Times New Roman" w:hAnsi="Times New Roman"/>
          <w:b/>
        </w:rPr>
        <w:t>7</w:t>
      </w:r>
      <w:r w:rsidRPr="0045487E">
        <w:rPr>
          <w:rFonts w:ascii="Times New Roman" w:hAnsi="Times New Roman"/>
          <w:b/>
        </w:rPr>
        <w:t xml:space="preserve"> - § 17 ods. 2 písm. </w:t>
      </w:r>
      <w:r w:rsidRPr="0045487E" w:rsidR="00E918F7">
        <w:rPr>
          <w:rFonts w:ascii="Times New Roman" w:hAnsi="Times New Roman"/>
          <w:b/>
        </w:rPr>
        <w:t>b) a c)</w:t>
      </w:r>
    </w:p>
    <w:p w:rsidR="00E918F7" w:rsidRPr="0045487E" w:rsidP="00210E92">
      <w:pPr>
        <w:shd w:val="clear" w:color="auto" w:fill="FFFFFF"/>
        <w:autoSpaceDE w:val="0"/>
        <w:autoSpaceDN w:val="0"/>
        <w:bidi w:val="0"/>
        <w:jc w:val="both"/>
        <w:rPr>
          <w:rFonts w:ascii="Times New Roman" w:hAnsi="Times New Roman"/>
        </w:rPr>
      </w:pPr>
      <w:r w:rsidRPr="0045487E" w:rsidR="00C53D95">
        <w:rPr>
          <w:rFonts w:ascii="Times New Roman" w:hAnsi="Times New Roman"/>
        </w:rPr>
        <w:t>Ide o spresnenie úpravy výsledku hospodárenia pri zisťovaní základ</w:t>
      </w:r>
      <w:r w:rsidR="008D3FAF">
        <w:rPr>
          <w:rFonts w:ascii="Times New Roman" w:hAnsi="Times New Roman"/>
        </w:rPr>
        <w:t>u</w:t>
      </w:r>
      <w:r w:rsidRPr="0045487E" w:rsidR="00C53D95">
        <w:rPr>
          <w:rFonts w:ascii="Times New Roman" w:hAnsi="Times New Roman"/>
        </w:rPr>
        <w:t xml:space="preserve"> dane o také položky, ktoré</w:t>
      </w:r>
      <w:r w:rsidRPr="0045487E">
        <w:rPr>
          <w:rFonts w:ascii="Times New Roman" w:hAnsi="Times New Roman"/>
        </w:rPr>
        <w:t>:</w:t>
      </w:r>
    </w:p>
    <w:p w:rsidR="00E918F7" w:rsidRPr="0045487E" w:rsidP="00A577B3">
      <w:pPr>
        <w:numPr>
          <w:ilvl w:val="1"/>
          <w:numId w:val="10"/>
        </w:numPr>
        <w:shd w:val="clear" w:color="auto" w:fill="FFFFFF"/>
        <w:autoSpaceDE w:val="0"/>
        <w:autoSpaceDN w:val="0"/>
        <w:bidi w:val="0"/>
        <w:ind w:left="284" w:hanging="284"/>
        <w:jc w:val="both"/>
        <w:rPr>
          <w:rFonts w:ascii="Times New Roman" w:hAnsi="Times New Roman"/>
        </w:rPr>
      </w:pPr>
      <w:r w:rsidRPr="0045487E">
        <w:rPr>
          <w:rFonts w:ascii="Times New Roman" w:hAnsi="Times New Roman"/>
        </w:rPr>
        <w:t>nie sú súčasťou výsledku hospodárenia, ale sa zahrnujú do základu dane (napr. zmluvné sankcie, ktoré boli zaúčtované vo výsledku hospodárenia v predchádzajúcich rokoch</w:t>
      </w:r>
      <w:r w:rsidR="008D3FAF">
        <w:rPr>
          <w:rFonts w:ascii="Times New Roman" w:hAnsi="Times New Roman"/>
        </w:rPr>
        <w:t>,</w:t>
      </w:r>
      <w:r w:rsidRPr="0045487E">
        <w:rPr>
          <w:rFonts w:ascii="Times New Roman" w:hAnsi="Times New Roman"/>
        </w:rPr>
        <w:t xml:space="preserve"> ale uhradené alebo prijaté boli v príslušnom zdaňovacom období</w:t>
      </w:r>
    </w:p>
    <w:p w:rsidR="002B3869" w:rsidRPr="008D3FAF" w:rsidP="00210E92">
      <w:pPr>
        <w:numPr>
          <w:ilvl w:val="1"/>
          <w:numId w:val="10"/>
        </w:numPr>
        <w:shd w:val="clear" w:color="auto" w:fill="FFFFFF"/>
        <w:autoSpaceDE w:val="0"/>
        <w:autoSpaceDN w:val="0"/>
        <w:bidi w:val="0"/>
        <w:ind w:left="284" w:hanging="284"/>
        <w:jc w:val="both"/>
        <w:rPr>
          <w:rFonts w:ascii="Times New Roman" w:hAnsi="Times New Roman"/>
          <w:b/>
        </w:rPr>
      </w:pPr>
      <w:r w:rsidRPr="0045487E" w:rsidR="00C53D95">
        <w:rPr>
          <w:rFonts w:ascii="Times New Roman" w:hAnsi="Times New Roman"/>
        </w:rPr>
        <w:t>sú súčasťou výsledku hospodárenia</w:t>
      </w:r>
      <w:r w:rsidRPr="0045487E" w:rsidR="00EE0CFF">
        <w:rPr>
          <w:rFonts w:ascii="Times New Roman" w:hAnsi="Times New Roman"/>
        </w:rPr>
        <w:t xml:space="preserve">, ale sa nezahrnujú do základu dane </w:t>
      </w:r>
      <w:r w:rsidR="008D3FAF">
        <w:rPr>
          <w:rFonts w:ascii="Times New Roman" w:hAnsi="Times New Roman"/>
        </w:rPr>
        <w:t>(</w:t>
      </w:r>
      <w:r w:rsidRPr="0045487E" w:rsidR="00EE0CFF">
        <w:rPr>
          <w:rFonts w:ascii="Times New Roman" w:hAnsi="Times New Roman"/>
        </w:rPr>
        <w:t xml:space="preserve">napr. </w:t>
      </w:r>
      <w:r w:rsidR="008D3FAF">
        <w:rPr>
          <w:rFonts w:ascii="Times New Roman" w:hAnsi="Times New Roman"/>
        </w:rPr>
        <w:t xml:space="preserve">zmluvné sankcie, ktoré boli zaúčtované vo výsledku hospodárenia alebo neboli zaplatené alebo prijaté a ďalej </w:t>
      </w:r>
      <w:r w:rsidRPr="0045487E" w:rsidR="00C53D95">
        <w:rPr>
          <w:rFonts w:ascii="Times New Roman" w:hAnsi="Times New Roman"/>
        </w:rPr>
        <w:t>rezerv</w:t>
      </w:r>
      <w:r w:rsidRPr="0045487E" w:rsidR="00EE0CFF">
        <w:rPr>
          <w:rFonts w:ascii="Times New Roman" w:hAnsi="Times New Roman"/>
        </w:rPr>
        <w:t>y</w:t>
      </w:r>
      <w:r w:rsidRPr="0045487E" w:rsidR="00C53D95">
        <w:rPr>
          <w:rFonts w:ascii="Times New Roman" w:hAnsi="Times New Roman"/>
        </w:rPr>
        <w:t>, ktoré sa účtujú ako zníženie výnosov</w:t>
      </w:r>
      <w:r w:rsidRPr="0045487E" w:rsidR="00EE0CFF">
        <w:rPr>
          <w:rFonts w:ascii="Times New Roman" w:hAnsi="Times New Roman"/>
        </w:rPr>
        <w:t xml:space="preserve"> </w:t>
      </w:r>
      <w:r w:rsidR="008D3FAF">
        <w:rPr>
          <w:rFonts w:ascii="Times New Roman" w:hAnsi="Times New Roman"/>
        </w:rPr>
        <w:t>-</w:t>
      </w:r>
      <w:r w:rsidRPr="0045487E" w:rsidR="00EE0CFF">
        <w:rPr>
          <w:rFonts w:ascii="Times New Roman" w:hAnsi="Times New Roman"/>
        </w:rPr>
        <w:t xml:space="preserve"> rezervy na bonusy, rabaty, skontá) a nepovažujú sa za daňové rezervy podľa § 20</w:t>
      </w:r>
      <w:r w:rsidRPr="0045487E" w:rsidR="00735B83">
        <w:rPr>
          <w:rFonts w:ascii="Times New Roman" w:hAnsi="Times New Roman"/>
        </w:rPr>
        <w:t xml:space="preserve"> zákona</w:t>
      </w:r>
      <w:r w:rsidRPr="0045487E" w:rsidR="00EE0CFF">
        <w:rPr>
          <w:rFonts w:ascii="Times New Roman" w:hAnsi="Times New Roman"/>
        </w:rPr>
        <w:t xml:space="preserve">. </w:t>
      </w:r>
    </w:p>
    <w:p w:rsidR="008D3FAF" w:rsidRPr="008D3FAF" w:rsidP="008D3FAF">
      <w:pPr>
        <w:shd w:val="clear" w:color="auto" w:fill="FFFFFF"/>
        <w:autoSpaceDE w:val="0"/>
        <w:autoSpaceDN w:val="0"/>
        <w:bidi w:val="0"/>
        <w:ind w:left="284"/>
        <w:jc w:val="both"/>
        <w:rPr>
          <w:rFonts w:ascii="Times New Roman" w:hAnsi="Times New Roman"/>
          <w:b/>
        </w:rPr>
      </w:pPr>
    </w:p>
    <w:p w:rsidR="00DA748B" w:rsidRPr="0045487E" w:rsidP="00210E92">
      <w:pPr>
        <w:shd w:val="clear" w:color="auto" w:fill="FFFFFF"/>
        <w:bidi w:val="0"/>
        <w:rPr>
          <w:rFonts w:ascii="Times New Roman" w:hAnsi="Times New Roman"/>
          <w:b/>
        </w:rPr>
      </w:pPr>
      <w:r w:rsidRPr="0045487E" w:rsidR="00B44BD0">
        <w:rPr>
          <w:rFonts w:ascii="Times New Roman" w:hAnsi="Times New Roman"/>
          <w:b/>
        </w:rPr>
        <w:t xml:space="preserve">K bodu </w:t>
      </w:r>
      <w:r w:rsidR="001F1378">
        <w:rPr>
          <w:rFonts w:ascii="Times New Roman" w:hAnsi="Times New Roman"/>
          <w:b/>
        </w:rPr>
        <w:t>29</w:t>
      </w:r>
      <w:r w:rsidRPr="0045487E" w:rsidR="00B44BD0">
        <w:rPr>
          <w:rFonts w:ascii="Times New Roman" w:hAnsi="Times New Roman"/>
          <w:b/>
        </w:rPr>
        <w:t xml:space="preserve"> - §</w:t>
      </w:r>
      <w:r w:rsidRPr="0045487E">
        <w:rPr>
          <w:rFonts w:ascii="Times New Roman" w:hAnsi="Times New Roman"/>
          <w:b/>
        </w:rPr>
        <w:t xml:space="preserve"> 17 ods. 5</w:t>
      </w:r>
    </w:p>
    <w:p w:rsidR="00DA748B" w:rsidRPr="0045487E" w:rsidP="00210E92">
      <w:pPr>
        <w:shd w:val="clear" w:color="auto" w:fill="FFFFFF"/>
        <w:bidi w:val="0"/>
        <w:jc w:val="both"/>
        <w:rPr>
          <w:rFonts w:ascii="Times New Roman" w:hAnsi="Times New Roman"/>
        </w:rPr>
      </w:pPr>
      <w:r w:rsidRPr="0045487E" w:rsidR="001819D4">
        <w:rPr>
          <w:rFonts w:ascii="Times New Roman" w:hAnsi="Times New Roman"/>
        </w:rPr>
        <w:t>S</w:t>
      </w:r>
      <w:r w:rsidRPr="0045487E">
        <w:rPr>
          <w:rFonts w:ascii="Times New Roman" w:hAnsi="Times New Roman"/>
        </w:rPr>
        <w:t>presnenie súčasného znenia</w:t>
      </w:r>
      <w:r w:rsidRPr="0045487E" w:rsidR="00F7297B">
        <w:rPr>
          <w:rFonts w:ascii="Times New Roman" w:hAnsi="Times New Roman"/>
        </w:rPr>
        <w:t xml:space="preserve"> </w:t>
      </w:r>
      <w:r w:rsidRPr="0045487E" w:rsidR="00246D0F">
        <w:rPr>
          <w:rFonts w:ascii="Times New Roman" w:hAnsi="Times New Roman"/>
        </w:rPr>
        <w:t>tak</w:t>
      </w:r>
      <w:r w:rsidRPr="0045487E" w:rsidR="00F7297B">
        <w:rPr>
          <w:rFonts w:ascii="Times New Roman" w:hAnsi="Times New Roman"/>
        </w:rPr>
        <w:t>, že súčasťou základu dane závislej osoby je nielen rozdiel, ktorý znížil základ dane, ale aj rozdiel, ktorý zvýšil daňovú stratu</w:t>
      </w:r>
      <w:r w:rsidRPr="0045487E">
        <w:rPr>
          <w:rFonts w:ascii="Times New Roman" w:hAnsi="Times New Roman"/>
        </w:rPr>
        <w:t>.</w:t>
      </w:r>
    </w:p>
    <w:p w:rsidR="00B44BD0" w:rsidRPr="0045487E" w:rsidP="00210E92">
      <w:pPr>
        <w:shd w:val="clear" w:color="auto" w:fill="FFFFFF"/>
        <w:bidi w:val="0"/>
        <w:rPr>
          <w:rFonts w:ascii="Times New Roman" w:hAnsi="Times New Roman"/>
          <w:b/>
        </w:rPr>
      </w:pPr>
      <w:r w:rsidRPr="0045487E">
        <w:rPr>
          <w:rFonts w:ascii="Times New Roman" w:hAnsi="Times New Roman"/>
          <w:b/>
        </w:rPr>
        <w:t xml:space="preserve"> </w:t>
      </w:r>
    </w:p>
    <w:p w:rsidR="00CC09EB" w:rsidRPr="0045487E" w:rsidP="00210E92">
      <w:pPr>
        <w:shd w:val="clear" w:color="auto" w:fill="FFFFFF"/>
        <w:bidi w:val="0"/>
        <w:rPr>
          <w:rFonts w:ascii="Times New Roman" w:hAnsi="Times New Roman"/>
          <w:b/>
        </w:rPr>
      </w:pPr>
      <w:r w:rsidRPr="0045487E" w:rsidR="00A76A1F">
        <w:rPr>
          <w:rFonts w:ascii="Times New Roman" w:hAnsi="Times New Roman"/>
          <w:b/>
        </w:rPr>
        <w:t xml:space="preserve">K bodu </w:t>
      </w:r>
      <w:r w:rsidR="001F1378">
        <w:rPr>
          <w:rFonts w:ascii="Times New Roman" w:hAnsi="Times New Roman"/>
          <w:b/>
        </w:rPr>
        <w:t>30</w:t>
      </w:r>
      <w:r w:rsidRPr="0045487E" w:rsidR="00DE244B">
        <w:rPr>
          <w:rFonts w:ascii="Times New Roman" w:hAnsi="Times New Roman"/>
          <w:b/>
        </w:rPr>
        <w:t xml:space="preserve"> </w:t>
      </w:r>
      <w:r w:rsidRPr="0045487E">
        <w:rPr>
          <w:rFonts w:ascii="Times New Roman" w:hAnsi="Times New Roman"/>
          <w:b/>
        </w:rPr>
        <w:t xml:space="preserve"> - § </w:t>
      </w:r>
      <w:r w:rsidRPr="0045487E" w:rsidR="00DA748B">
        <w:rPr>
          <w:rFonts w:ascii="Times New Roman" w:hAnsi="Times New Roman"/>
          <w:b/>
        </w:rPr>
        <w:t>17 ods. 7</w:t>
      </w:r>
    </w:p>
    <w:p w:rsidR="00CC09EB" w:rsidRPr="0045487E" w:rsidP="00210E92">
      <w:pPr>
        <w:shd w:val="clear" w:color="auto" w:fill="FFFFFF"/>
        <w:autoSpaceDE w:val="0"/>
        <w:autoSpaceDN w:val="0"/>
        <w:bidi w:val="0"/>
        <w:jc w:val="both"/>
        <w:rPr>
          <w:rFonts w:ascii="Times New Roman" w:hAnsi="Times New Roman"/>
        </w:rPr>
      </w:pPr>
      <w:r w:rsidRPr="0045487E" w:rsidR="00246D0F">
        <w:rPr>
          <w:rFonts w:ascii="Times New Roman" w:hAnsi="Times New Roman"/>
        </w:rPr>
        <w:t>S</w:t>
      </w:r>
      <w:r w:rsidRPr="0045487E" w:rsidR="00DA748B">
        <w:rPr>
          <w:rFonts w:ascii="Times New Roman" w:hAnsi="Times New Roman"/>
        </w:rPr>
        <w:t xml:space="preserve">presňuje </w:t>
      </w:r>
      <w:r w:rsidRPr="0045487E" w:rsidR="00246D0F">
        <w:rPr>
          <w:rFonts w:ascii="Times New Roman" w:hAnsi="Times New Roman"/>
        </w:rPr>
        <w:t xml:space="preserve">sa </w:t>
      </w:r>
      <w:r w:rsidRPr="0045487E" w:rsidR="00DA748B">
        <w:rPr>
          <w:rFonts w:ascii="Times New Roman" w:hAnsi="Times New Roman"/>
        </w:rPr>
        <w:t>súčasné znenie úpravy základu dane daňovníka s obmedzenou daňovou povinnosťou, ktorý vykonáva činnosť na území Slovenskej republiky prostredníctvom stálej prevádzkarne</w:t>
      </w:r>
      <w:r w:rsidRPr="0045487E" w:rsidR="00C360D6">
        <w:rPr>
          <w:rFonts w:ascii="Times New Roman" w:hAnsi="Times New Roman"/>
        </w:rPr>
        <w:t>, aby bolo zrejmé, že na základe predmetného ustanovenia sa upravuje nielen základ dane, ale aj daňová strata stálej prevádzkarne umiestnenej na území Slovenskej republiky</w:t>
      </w:r>
      <w:r w:rsidRPr="0045487E" w:rsidR="00DA748B">
        <w:rPr>
          <w:rFonts w:ascii="Times New Roman" w:hAnsi="Times New Roman"/>
        </w:rPr>
        <w:t>.</w:t>
      </w:r>
      <w:r w:rsidRPr="0045487E" w:rsidR="00FD5885">
        <w:rPr>
          <w:rFonts w:ascii="Times New Roman" w:hAnsi="Times New Roman"/>
        </w:rPr>
        <w:t xml:space="preserve"> </w:t>
      </w:r>
      <w:r w:rsidRPr="0045487E" w:rsidR="00C9540E">
        <w:rPr>
          <w:rFonts w:ascii="Times New Roman" w:hAnsi="Times New Roman"/>
        </w:rPr>
        <w:t>Spresňuje sa tiež, že základ dane alebo daňová strata stálej prevádzkarne sa zisťuje podľa § 17 až 29 zákona.</w:t>
      </w:r>
    </w:p>
    <w:p w:rsidR="0012245E" w:rsidRPr="0045487E" w:rsidP="00210E92">
      <w:pPr>
        <w:shd w:val="clear" w:color="auto" w:fill="FFFFFF"/>
        <w:autoSpaceDE w:val="0"/>
        <w:autoSpaceDN w:val="0"/>
        <w:bidi w:val="0"/>
        <w:jc w:val="both"/>
        <w:rPr>
          <w:rFonts w:ascii="Times New Roman" w:hAnsi="Times New Roman"/>
          <w:b/>
        </w:rPr>
      </w:pPr>
    </w:p>
    <w:p w:rsidR="00CC09EB"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001F1378">
        <w:rPr>
          <w:rFonts w:ascii="Times New Roman" w:hAnsi="Times New Roman"/>
          <w:b/>
        </w:rPr>
        <w:t>31</w:t>
      </w:r>
      <w:r w:rsidRPr="0045487E">
        <w:rPr>
          <w:rFonts w:ascii="Times New Roman" w:hAnsi="Times New Roman"/>
          <w:b/>
        </w:rPr>
        <w:t xml:space="preserve"> - § </w:t>
      </w:r>
      <w:r w:rsidRPr="0045487E" w:rsidR="00DA748B">
        <w:rPr>
          <w:rFonts w:ascii="Times New Roman" w:hAnsi="Times New Roman"/>
          <w:b/>
        </w:rPr>
        <w:t>17 ods. 17</w:t>
      </w:r>
    </w:p>
    <w:p w:rsidR="00A92E2C" w:rsidRPr="0045487E" w:rsidP="00210E92">
      <w:pPr>
        <w:shd w:val="clear" w:color="auto" w:fill="FFFFFF"/>
        <w:bidi w:val="0"/>
        <w:jc w:val="both"/>
        <w:rPr>
          <w:rFonts w:ascii="Times New Roman" w:hAnsi="Times New Roman"/>
        </w:rPr>
      </w:pPr>
      <w:r w:rsidRPr="0045487E">
        <w:rPr>
          <w:rFonts w:ascii="Times New Roman" w:hAnsi="Times New Roman"/>
        </w:rPr>
        <w:t>Úprava vykonaná za účelom zníženia administratívnej náročnosti daňovníkov. Daňovník už nebude povinný oznamovať správcovi dane začatie a ukončenie nezahrnovania kurzových rozdielov vznikajúcich v účtovníctve z dôvodu nezrealizovaného inkasa pohľadávok alebo neuhradených platieb záväzkov do základu dane. Túto skutočnosť vyznačí v podanom daňovom priznaní za príslušné zdaňovacie obdobie. Za týmto účelom bude vykonaná zmena v tlačive daňového priznania.</w:t>
      </w:r>
    </w:p>
    <w:p w:rsidR="00642C83" w:rsidP="00210E92">
      <w:pPr>
        <w:shd w:val="clear" w:color="auto" w:fill="FFFFFF"/>
        <w:bidi w:val="0"/>
        <w:jc w:val="both"/>
        <w:rPr>
          <w:rFonts w:ascii="Times New Roman" w:hAnsi="Times New Roman"/>
        </w:rPr>
      </w:pPr>
    </w:p>
    <w:p w:rsidR="0011564A" w:rsidRPr="0045487E" w:rsidP="00210E92">
      <w:pPr>
        <w:shd w:val="clear" w:color="auto" w:fill="FFFFFF"/>
        <w:bidi w:val="0"/>
        <w:jc w:val="both"/>
        <w:rPr>
          <w:rFonts w:ascii="Times New Roman" w:hAnsi="Times New Roman"/>
        </w:rPr>
      </w:pPr>
    </w:p>
    <w:p w:rsidR="00642C83"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32</w:t>
      </w:r>
      <w:r w:rsidRPr="0045487E">
        <w:rPr>
          <w:rFonts w:ascii="Times New Roman" w:hAnsi="Times New Roman"/>
          <w:b/>
        </w:rPr>
        <w:t xml:space="preserve"> - § 17 ods. 19 </w:t>
      </w:r>
    </w:p>
    <w:p w:rsidR="00642C83" w:rsidRPr="0045487E" w:rsidP="00210E92">
      <w:pPr>
        <w:shd w:val="clear" w:color="auto" w:fill="FFFFFF"/>
        <w:autoSpaceDE w:val="0"/>
        <w:autoSpaceDN w:val="0"/>
        <w:bidi w:val="0"/>
        <w:jc w:val="both"/>
        <w:rPr>
          <w:rFonts w:ascii="Times New Roman" w:hAnsi="Times New Roman"/>
        </w:rPr>
      </w:pPr>
      <w:r w:rsidRPr="0045487E">
        <w:rPr>
          <w:rFonts w:ascii="Times New Roman" w:hAnsi="Times New Roman"/>
        </w:rPr>
        <w:t xml:space="preserve">V súvislosti s implementáciou smernice 2011/7/EU dňa 18.12.2012 Národná rada SR schválila zákon č. </w:t>
      </w:r>
      <w:hyperlink r:id="rId5" w:tgtFrame="_self" w:history="1">
        <w:r w:rsidRPr="0045487E">
          <w:rPr>
            <w:rFonts w:ascii="Times New Roman" w:hAnsi="Times New Roman"/>
          </w:rPr>
          <w:t>9/2013 Z. z., ktorým sa mení a dopĺňa zákon č. 513/1991 Zb. Obchodný zákonník v znení neskorších predpisov a ktorým sa menia a dopĺňajú niektoré zákony</w:t>
        </w:r>
      </w:hyperlink>
      <w:r w:rsidRPr="0045487E">
        <w:rPr>
          <w:rFonts w:ascii="Times New Roman" w:hAnsi="Times New Roman"/>
        </w:rPr>
        <w:t xml:space="preserve">, účinný od 1. februára 2013, v ktorom je zavedený nový inštitút v § 369c „paušálna náhrada nákladov spojených s uplatnením pohľadávky“ (ďalej len </w:t>
      </w:r>
      <w:r w:rsidRPr="0045487E" w:rsidR="009431D5">
        <w:rPr>
          <w:rFonts w:ascii="Times New Roman" w:hAnsi="Times New Roman"/>
        </w:rPr>
        <w:t>„</w:t>
      </w:r>
      <w:r w:rsidRPr="0045487E">
        <w:rPr>
          <w:rFonts w:ascii="Times New Roman" w:hAnsi="Times New Roman"/>
        </w:rPr>
        <w:t xml:space="preserve">paušálna náhrada“). </w:t>
      </w:r>
    </w:p>
    <w:p w:rsidR="00642C83" w:rsidRPr="0045487E" w:rsidP="00210E92">
      <w:pPr>
        <w:shd w:val="clear" w:color="auto" w:fill="FFFFFF"/>
        <w:autoSpaceDE w:val="0"/>
        <w:autoSpaceDN w:val="0"/>
        <w:bidi w:val="0"/>
        <w:jc w:val="both"/>
        <w:rPr>
          <w:rFonts w:ascii="Times New Roman" w:hAnsi="Times New Roman"/>
        </w:rPr>
      </w:pPr>
      <w:r w:rsidRPr="0045487E">
        <w:rPr>
          <w:rFonts w:ascii="Times New Roman" w:hAnsi="Times New Roman"/>
        </w:rPr>
        <w:t xml:space="preserve">Paušálna náhrada predstavuje náhradu tzv. administratívnych interných monitorovacích nákladov, ktoré vznikajú pri kontrole dodržiavania zmluvných záväzkov a je náhradou za vlastné náklady veriteľa na vymáhanie. Výška paušálnej náhrady bude stanovená nariadením </w:t>
      </w:r>
      <w:r w:rsidR="008D3FAF">
        <w:rPr>
          <w:rFonts w:ascii="Times New Roman" w:hAnsi="Times New Roman"/>
        </w:rPr>
        <w:t>v</w:t>
      </w:r>
      <w:r w:rsidRPr="0045487E">
        <w:rPr>
          <w:rFonts w:ascii="Times New Roman" w:hAnsi="Times New Roman"/>
        </w:rPr>
        <w:t>lády SR v sume 40 eur, bez ohľadu na výšku pohľadávky a dĺžku omeškania.</w:t>
      </w:r>
    </w:p>
    <w:p w:rsidR="00642C83" w:rsidRPr="0045487E" w:rsidP="00210E92">
      <w:pPr>
        <w:shd w:val="clear" w:color="auto" w:fill="FFFFFF"/>
        <w:autoSpaceDE w:val="0"/>
        <w:autoSpaceDN w:val="0"/>
        <w:bidi w:val="0"/>
        <w:jc w:val="both"/>
        <w:rPr>
          <w:rFonts w:ascii="Times New Roman" w:hAnsi="Times New Roman"/>
        </w:rPr>
      </w:pPr>
      <w:r w:rsidRPr="0045487E">
        <w:rPr>
          <w:rFonts w:ascii="Times New Roman" w:hAnsi="Times New Roman"/>
        </w:rPr>
        <w:t>V  tejto súvislosti je potrebné zahrnúť paušálnu náhradu do základu dane z príjmov obdobne ako v prípade zmluvných pokút (§ 544 OZ), poplatkov z omeškania (§ 517 OZ) a úrokov z omeškania (§ 369 ObZ) ustanovených v § 17 ods. 19 cit. zákona, ktoré sa zahrnú do základu dane u veriteľa po prijatí úhrady alebo u dlžníka po ich zaplatení.</w:t>
      </w:r>
    </w:p>
    <w:p w:rsidR="009A6655" w:rsidRPr="0045487E" w:rsidP="00210E92">
      <w:pPr>
        <w:shd w:val="clear" w:color="auto" w:fill="FFFFFF"/>
        <w:autoSpaceDE w:val="0"/>
        <w:autoSpaceDN w:val="0"/>
        <w:bidi w:val="0"/>
        <w:jc w:val="both"/>
        <w:rPr>
          <w:rFonts w:ascii="Times New Roman" w:hAnsi="Times New Roman"/>
        </w:rPr>
      </w:pPr>
      <w:r w:rsidRPr="0045487E">
        <w:rPr>
          <w:rFonts w:ascii="Times New Roman" w:hAnsi="Times New Roman"/>
        </w:rPr>
        <w:t>V nadväznosti na uvedenú úpravu zákona bude do príslušných opatrení MF SR, ktoré upravujú postupy účtovania doplnený spôsob účtovania</w:t>
      </w:r>
      <w:r w:rsidRPr="0045487E" w:rsidR="007353C5">
        <w:rPr>
          <w:rFonts w:ascii="Times New Roman" w:hAnsi="Times New Roman"/>
        </w:rPr>
        <w:t xml:space="preserve"> paušálnej náhrady nákladov a to u dlžníka aj veriteľa (účtovnej jednotky).</w:t>
      </w:r>
    </w:p>
    <w:p w:rsidR="008F31E2" w:rsidRPr="0045487E" w:rsidP="00210E92">
      <w:pPr>
        <w:shd w:val="clear" w:color="auto" w:fill="FFFFFF"/>
        <w:autoSpaceDE w:val="0"/>
        <w:autoSpaceDN w:val="0"/>
        <w:bidi w:val="0"/>
        <w:jc w:val="both"/>
        <w:rPr>
          <w:rFonts w:ascii="Times New Roman" w:hAnsi="Times New Roman"/>
        </w:rPr>
      </w:pPr>
      <w:r w:rsidRPr="0045487E">
        <w:rPr>
          <w:rFonts w:ascii="Times New Roman" w:hAnsi="Times New Roman"/>
        </w:rPr>
        <w:t>Daňovým výdavkom len po zaplatení je taktiež kompenzačná platba vyplácaná podľa zákona č. 250/2012 Z. z. o regulácii v sieťových odvetviach.</w:t>
      </w:r>
    </w:p>
    <w:p w:rsidR="00CC09EB" w:rsidRPr="0045487E" w:rsidP="00210E92">
      <w:pPr>
        <w:shd w:val="clear" w:color="auto" w:fill="FFFFFF"/>
        <w:bidi w:val="0"/>
        <w:rPr>
          <w:rFonts w:ascii="Times New Roman" w:hAnsi="Times New Roman"/>
          <w:b/>
        </w:rPr>
      </w:pPr>
    </w:p>
    <w:p w:rsidR="00CC09EB"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001F1378">
        <w:rPr>
          <w:rFonts w:ascii="Times New Roman" w:hAnsi="Times New Roman"/>
          <w:b/>
        </w:rPr>
        <w:t>33</w:t>
      </w:r>
      <w:r w:rsidRPr="0045487E">
        <w:rPr>
          <w:rFonts w:ascii="Times New Roman" w:hAnsi="Times New Roman"/>
          <w:b/>
        </w:rPr>
        <w:t xml:space="preserve"> - § </w:t>
      </w:r>
      <w:r w:rsidRPr="0045487E" w:rsidR="00DA748B">
        <w:rPr>
          <w:rFonts w:ascii="Times New Roman" w:hAnsi="Times New Roman"/>
          <w:b/>
        </w:rPr>
        <w:t>17 ods. 24</w:t>
      </w:r>
    </w:p>
    <w:p w:rsidR="00DA748B" w:rsidRPr="0045487E" w:rsidP="00210E92">
      <w:pPr>
        <w:shd w:val="clear" w:color="auto" w:fill="FFFFFF"/>
        <w:bidi w:val="0"/>
        <w:ind w:hanging="5"/>
        <w:jc w:val="both"/>
        <w:rPr>
          <w:rFonts w:ascii="Times New Roman" w:hAnsi="Times New Roman"/>
        </w:rPr>
      </w:pPr>
      <w:r w:rsidRPr="0045487E">
        <w:rPr>
          <w:rFonts w:ascii="Times New Roman" w:hAnsi="Times New Roman"/>
        </w:rPr>
        <w:t>Stanovuje sa úprava základu dane vyplývajúca z opätovného zavedenia zrýchleného leasingového odpisovania počas doby trvania nájomnej zmluvy pri porušení podmienok finančného prenájmu a pri kúpe predmetu nájmu pred uplynutím minimálnej doby stanovenej zákonom o dani z príjmov. Pri predčasnom ukončení nájomnej zmluvy z dôvodu insolventnosti nájomcu</w:t>
      </w:r>
      <w:r w:rsidR="005451BE">
        <w:rPr>
          <w:rFonts w:ascii="Times New Roman" w:hAnsi="Times New Roman"/>
        </w:rPr>
        <w:t xml:space="preserve"> (vrátenia predmetu nájmu leasingovej spoločnosti) a</w:t>
      </w:r>
      <w:r w:rsidRPr="0045487E">
        <w:rPr>
          <w:rFonts w:ascii="Times New Roman" w:hAnsi="Times New Roman"/>
        </w:rPr>
        <w:t xml:space="preserve"> </w:t>
      </w:r>
      <w:r w:rsidRPr="0045487E" w:rsidR="005451BE">
        <w:rPr>
          <w:rFonts w:ascii="Times New Roman" w:hAnsi="Times New Roman"/>
        </w:rPr>
        <w:t xml:space="preserve">pri totálnom znehodnotení predmetu nájmu haváriou, krádeži predmetu nájmu </w:t>
      </w:r>
      <w:r w:rsidR="005451BE">
        <w:rPr>
          <w:rFonts w:ascii="Times New Roman" w:hAnsi="Times New Roman"/>
        </w:rPr>
        <w:t>strata z vyradenia predmetu nájmu z používania nie je súčasťou základu dane.</w:t>
      </w:r>
      <w:r w:rsidRPr="0045487E">
        <w:rPr>
          <w:rFonts w:ascii="Times New Roman" w:hAnsi="Times New Roman"/>
        </w:rPr>
        <w:t xml:space="preserve"> </w:t>
      </w:r>
    </w:p>
    <w:p w:rsidR="00DA748B" w:rsidRPr="0045487E" w:rsidP="00210E92">
      <w:pPr>
        <w:shd w:val="clear" w:color="auto" w:fill="FFFFFF"/>
        <w:bidi w:val="0"/>
        <w:ind w:hanging="6"/>
        <w:jc w:val="both"/>
        <w:rPr>
          <w:rFonts w:ascii="Times New Roman" w:hAnsi="Times New Roman"/>
        </w:rPr>
      </w:pPr>
      <w:r w:rsidRPr="0045487E">
        <w:rPr>
          <w:rFonts w:ascii="Times New Roman" w:hAnsi="Times New Roman"/>
        </w:rPr>
        <w:t>V prípade predčasného odkúpenia predmetu nájmu</w:t>
      </w:r>
      <w:r w:rsidRPr="0045487E" w:rsidR="00246D0F">
        <w:rPr>
          <w:rFonts w:ascii="Times New Roman" w:hAnsi="Times New Roman"/>
        </w:rPr>
        <w:t>,</w:t>
      </w:r>
      <w:r w:rsidRPr="0045487E">
        <w:rPr>
          <w:rFonts w:ascii="Times New Roman" w:hAnsi="Times New Roman"/>
        </w:rPr>
        <w:t xml:space="preserve"> je daňovník povinný základ dane zvýšiť o kladný rozdiel medzi uplatnenými leasingovými odpismi a odpismi, ktoré by uplatnil keby bol vlastníkom predmetu nájmu rovnomerným spôsobom odpisovania, pričom daňovník uplatňuje odpisy rovnomerným spôsobom odpisovania ako v ďalších rokoch odpisovania. </w:t>
      </w:r>
    </w:p>
    <w:p w:rsidR="00CC09EB" w:rsidRPr="0045487E" w:rsidP="00210E92">
      <w:pPr>
        <w:shd w:val="clear" w:color="auto" w:fill="FFFFFF"/>
        <w:bidi w:val="0"/>
        <w:rPr>
          <w:rFonts w:ascii="Times New Roman" w:hAnsi="Times New Roman"/>
          <w:b/>
        </w:rPr>
      </w:pPr>
    </w:p>
    <w:p w:rsidR="00CC09EB" w:rsidRPr="0045487E" w:rsidP="00210E92">
      <w:pPr>
        <w:shd w:val="clear" w:color="auto" w:fill="FFFFFF"/>
        <w:bidi w:val="0"/>
        <w:rPr>
          <w:rFonts w:ascii="Times New Roman" w:hAnsi="Times New Roman"/>
          <w:b/>
        </w:rPr>
      </w:pPr>
      <w:r w:rsidRPr="0045487E">
        <w:rPr>
          <w:rFonts w:ascii="Times New Roman" w:hAnsi="Times New Roman"/>
          <w:b/>
        </w:rPr>
        <w:t>K bod</w:t>
      </w:r>
      <w:r w:rsidRPr="0045487E" w:rsidR="00DA748B">
        <w:rPr>
          <w:rFonts w:ascii="Times New Roman" w:hAnsi="Times New Roman"/>
          <w:b/>
        </w:rPr>
        <w:t>om</w:t>
      </w:r>
      <w:r w:rsidRPr="0045487E">
        <w:rPr>
          <w:rFonts w:ascii="Times New Roman" w:hAnsi="Times New Roman"/>
          <w:b/>
        </w:rPr>
        <w:t xml:space="preserve"> </w:t>
      </w:r>
      <w:r w:rsidR="001F1378">
        <w:rPr>
          <w:rFonts w:ascii="Times New Roman" w:hAnsi="Times New Roman"/>
          <w:b/>
        </w:rPr>
        <w:t>34</w:t>
      </w:r>
      <w:r w:rsidRPr="0045487E" w:rsidR="002B3869">
        <w:rPr>
          <w:rFonts w:ascii="Times New Roman" w:hAnsi="Times New Roman"/>
          <w:b/>
        </w:rPr>
        <w:t xml:space="preserve"> </w:t>
      </w:r>
      <w:r w:rsidRPr="0045487E" w:rsidR="005957D4">
        <w:rPr>
          <w:rFonts w:ascii="Times New Roman" w:hAnsi="Times New Roman"/>
          <w:b/>
        </w:rPr>
        <w:t xml:space="preserve">a </w:t>
      </w:r>
      <w:r w:rsidRPr="0045487E" w:rsidR="008F31E2">
        <w:rPr>
          <w:rFonts w:ascii="Times New Roman" w:hAnsi="Times New Roman"/>
          <w:b/>
        </w:rPr>
        <w:t>3</w:t>
      </w:r>
      <w:r w:rsidR="001F1378">
        <w:rPr>
          <w:rFonts w:ascii="Times New Roman" w:hAnsi="Times New Roman"/>
          <w:b/>
        </w:rPr>
        <w:t>6</w:t>
      </w:r>
      <w:r w:rsidRPr="0045487E">
        <w:rPr>
          <w:rFonts w:ascii="Times New Roman" w:hAnsi="Times New Roman"/>
          <w:b/>
        </w:rPr>
        <w:t xml:space="preserve"> - § </w:t>
      </w:r>
      <w:r w:rsidRPr="0045487E" w:rsidR="00DA748B">
        <w:rPr>
          <w:rFonts w:ascii="Times New Roman" w:hAnsi="Times New Roman"/>
          <w:b/>
        </w:rPr>
        <w:t>17 ods.</w:t>
      </w:r>
      <w:r w:rsidRPr="0045487E" w:rsidR="00A406D8">
        <w:rPr>
          <w:rFonts w:ascii="Times New Roman" w:hAnsi="Times New Roman"/>
          <w:b/>
        </w:rPr>
        <w:t xml:space="preserve"> </w:t>
      </w:r>
      <w:r w:rsidRPr="0045487E" w:rsidR="00DA748B">
        <w:rPr>
          <w:rFonts w:ascii="Times New Roman" w:hAnsi="Times New Roman"/>
          <w:b/>
        </w:rPr>
        <w:t xml:space="preserve"> 27</w:t>
      </w:r>
      <w:r w:rsidRPr="0045487E" w:rsidR="00F61A3E">
        <w:rPr>
          <w:rFonts w:ascii="Times New Roman" w:hAnsi="Times New Roman"/>
          <w:b/>
        </w:rPr>
        <w:t xml:space="preserve">, </w:t>
      </w:r>
      <w:r w:rsidRPr="0045487E" w:rsidR="00DA748B">
        <w:rPr>
          <w:rFonts w:ascii="Times New Roman" w:hAnsi="Times New Roman"/>
          <w:b/>
        </w:rPr>
        <w:t>32</w:t>
      </w:r>
      <w:r w:rsidRPr="0045487E" w:rsidR="00F61A3E">
        <w:rPr>
          <w:rFonts w:ascii="Times New Roman" w:hAnsi="Times New Roman"/>
          <w:b/>
        </w:rPr>
        <w:t xml:space="preserve"> a 33</w:t>
      </w:r>
    </w:p>
    <w:p w:rsidR="00DA748B" w:rsidRPr="0045487E" w:rsidP="00210E92">
      <w:pPr>
        <w:shd w:val="clear" w:color="auto" w:fill="FFFFFF"/>
        <w:bidi w:val="0"/>
        <w:ind w:hanging="5"/>
        <w:jc w:val="both"/>
        <w:rPr>
          <w:rFonts w:ascii="Times New Roman" w:hAnsi="Times New Roman"/>
        </w:rPr>
      </w:pPr>
      <w:r w:rsidRPr="0045487E" w:rsidR="00F61A3E">
        <w:rPr>
          <w:rFonts w:ascii="Times New Roman" w:hAnsi="Times New Roman"/>
          <w:b/>
        </w:rPr>
        <w:t>Odsek 27 a 32</w:t>
      </w:r>
      <w:r w:rsidRPr="0045487E" w:rsidR="00F61A3E">
        <w:rPr>
          <w:rFonts w:ascii="Times New Roman" w:hAnsi="Times New Roman"/>
        </w:rPr>
        <w:t xml:space="preserve"> </w:t>
      </w:r>
      <w:r w:rsidRPr="0045487E">
        <w:rPr>
          <w:rFonts w:ascii="Times New Roman" w:hAnsi="Times New Roman"/>
        </w:rPr>
        <w:t xml:space="preserve">Úprava sa navrhuje z dôvodu zjednotenia časového testu na zvýšenie základu dane o neuhradený záväzok alebo jeho časť s časovým testom na daňovú uznateľnosť tvorby opravných položiek u pohľadávok. Daňovník </w:t>
      </w:r>
      <w:r w:rsidRPr="0045487E" w:rsidR="00C140C8">
        <w:rPr>
          <w:rFonts w:ascii="Times New Roman" w:hAnsi="Times New Roman"/>
        </w:rPr>
        <w:t>bude</w:t>
      </w:r>
      <w:r w:rsidRPr="0045487E">
        <w:rPr>
          <w:rFonts w:ascii="Times New Roman" w:hAnsi="Times New Roman"/>
        </w:rPr>
        <w:t xml:space="preserve"> povinný zvýšiť základ dane v nadväznosti na dobu (počet dní), ktorá uplynula od </w:t>
      </w:r>
      <w:r w:rsidRPr="0045487E" w:rsidR="00030E29">
        <w:rPr>
          <w:rFonts w:ascii="Times New Roman" w:hAnsi="Times New Roman"/>
        </w:rPr>
        <w:t xml:space="preserve">lehoty </w:t>
      </w:r>
      <w:r w:rsidRPr="0045487E">
        <w:rPr>
          <w:rFonts w:ascii="Times New Roman" w:hAnsi="Times New Roman"/>
        </w:rPr>
        <w:t>splatnosti neuhradeného záväzku vo výške 20% až 100 %</w:t>
      </w:r>
      <w:r w:rsidRPr="0045487E" w:rsidR="009A6655">
        <w:rPr>
          <w:rFonts w:ascii="Times New Roman" w:hAnsi="Times New Roman"/>
        </w:rPr>
        <w:t xml:space="preserve"> menovitej hodnoty záväzku alebo jeho nesplatenej časti</w:t>
      </w:r>
      <w:r w:rsidRPr="0045487E">
        <w:rPr>
          <w:rFonts w:ascii="Times New Roman" w:hAnsi="Times New Roman"/>
        </w:rPr>
        <w:t>.</w:t>
      </w:r>
      <w:r w:rsidRPr="0045487E" w:rsidR="00C140C8">
        <w:rPr>
          <w:rFonts w:ascii="Times New Roman" w:hAnsi="Times New Roman"/>
        </w:rPr>
        <w:t xml:space="preserve"> Lehotou splatnosti záväzku sa myslí lehota dohodnutá pri vzniku záväzku, ktorú na účely úpravy základu dane nie je možné predĺžiť. </w:t>
      </w:r>
      <w:r w:rsidRPr="0045487E" w:rsidR="00002BE3">
        <w:rPr>
          <w:rFonts w:ascii="Times New Roman" w:hAnsi="Times New Roman"/>
        </w:rPr>
        <w:t>U</w:t>
      </w:r>
      <w:r w:rsidRPr="0045487E" w:rsidR="00D42ED3">
        <w:rPr>
          <w:rFonts w:ascii="Times New Roman" w:hAnsi="Times New Roman"/>
        </w:rPr>
        <w:t>v</w:t>
      </w:r>
      <w:r w:rsidRPr="0045487E" w:rsidR="00002BE3">
        <w:rPr>
          <w:rFonts w:ascii="Times New Roman" w:hAnsi="Times New Roman"/>
        </w:rPr>
        <w:t>edená úprava základu dane sa vykoná aj v prípade,</w:t>
      </w:r>
      <w:r w:rsidRPr="0045487E" w:rsidR="00D42ED3">
        <w:rPr>
          <w:rFonts w:ascii="Times New Roman" w:hAnsi="Times New Roman"/>
        </w:rPr>
        <w:t xml:space="preserve"> že</w:t>
      </w:r>
      <w:r w:rsidRPr="0045487E" w:rsidR="00002BE3">
        <w:rPr>
          <w:rFonts w:ascii="Times New Roman" w:hAnsi="Times New Roman"/>
        </w:rPr>
        <w:t xml:space="preserve"> </w:t>
      </w:r>
      <w:r w:rsidRPr="0045487E" w:rsidR="00D42ED3">
        <w:rPr>
          <w:rFonts w:ascii="Times New Roman" w:hAnsi="Times New Roman"/>
        </w:rPr>
        <w:t>záväzok bol čiastočne uhradený, ale len do výšky nesplaten</w:t>
      </w:r>
      <w:r w:rsidRPr="0045487E" w:rsidR="00C140C8">
        <w:rPr>
          <w:rFonts w:ascii="Times New Roman" w:hAnsi="Times New Roman"/>
        </w:rPr>
        <w:t>ej časti</w:t>
      </w:r>
      <w:r w:rsidRPr="0045487E" w:rsidR="00D42ED3">
        <w:rPr>
          <w:rFonts w:ascii="Times New Roman" w:hAnsi="Times New Roman"/>
        </w:rPr>
        <w:t xml:space="preserve"> záväzku</w:t>
      </w:r>
      <w:r w:rsidRPr="0045487E" w:rsidR="00C140C8">
        <w:rPr>
          <w:rFonts w:ascii="Times New Roman" w:hAnsi="Times New Roman"/>
        </w:rPr>
        <w:t>, t.j. obdobne ako pri tvorbe opravnej položky k pohľadávke, ktorú možno vzájomne započítať so splatnými záväzkami voči dlžníkovi – opravnú položku možno tvoriť do výšky pohľadávky nezapočítanej so záväzkami.</w:t>
      </w:r>
      <w:r w:rsidRPr="0045487E">
        <w:rPr>
          <w:rFonts w:ascii="Times New Roman" w:hAnsi="Times New Roman"/>
        </w:rPr>
        <w:t xml:space="preserve"> Zároveň sa stanovuje spôsob úpravy základu dane (zníženie) v prípade úhrady záväzku</w:t>
      </w:r>
      <w:r w:rsidRPr="0045487E" w:rsidR="009A6655">
        <w:rPr>
          <w:rFonts w:ascii="Times New Roman" w:hAnsi="Times New Roman"/>
        </w:rPr>
        <w:t xml:space="preserve"> po období, v ktorom bol základ dane zvýšený o 100 % menovitej hodnoty záväzku alebo jeho nesplatenej časti</w:t>
      </w:r>
      <w:r w:rsidRPr="0045487E">
        <w:rPr>
          <w:rFonts w:ascii="Times New Roman" w:hAnsi="Times New Roman"/>
        </w:rPr>
        <w:t xml:space="preserve"> a v prípade premlčania alebo zániku záväzku.</w:t>
      </w:r>
      <w:r w:rsidRPr="0045487E" w:rsidR="00002BE3">
        <w:rPr>
          <w:rFonts w:ascii="Times New Roman" w:hAnsi="Times New Roman"/>
        </w:rPr>
        <w:t xml:space="preserve"> </w:t>
      </w:r>
    </w:p>
    <w:p w:rsidR="00F61A3E" w:rsidRPr="0045487E" w:rsidP="00210E92">
      <w:pPr>
        <w:shd w:val="clear" w:color="auto" w:fill="FFFFFF"/>
        <w:bidi w:val="0"/>
        <w:jc w:val="both"/>
        <w:rPr>
          <w:rFonts w:ascii="Times New Roman" w:hAnsi="Times New Roman"/>
        </w:rPr>
      </w:pPr>
      <w:r w:rsidRPr="0045487E">
        <w:rPr>
          <w:rFonts w:ascii="Times New Roman" w:hAnsi="Times New Roman"/>
          <w:b/>
        </w:rPr>
        <w:t xml:space="preserve">Odsek 33 </w:t>
      </w:r>
      <w:r w:rsidRPr="0045487E">
        <w:rPr>
          <w:rFonts w:ascii="Times New Roman" w:hAnsi="Times New Roman"/>
        </w:rPr>
        <w:t xml:space="preserve"> Pri konte pracovného času v prípade menšieho objemu prác za rovnakú odmenu sa časové rozlíšenie mzdových nákladov vrátane poistného, ktoré je povinný platiť zamestnávateľ za zamestnanca zahrnuje do základu dane. V nasledujúcich zdaňovacích obdobia</w:t>
      </w:r>
      <w:r w:rsidR="008902C3">
        <w:rPr>
          <w:rFonts w:ascii="Times New Roman" w:hAnsi="Times New Roman"/>
        </w:rPr>
        <w:t>ch</w:t>
      </w:r>
      <w:r w:rsidRPr="0045487E">
        <w:rPr>
          <w:rFonts w:ascii="Times New Roman" w:hAnsi="Times New Roman"/>
        </w:rPr>
        <w:t>, ak budú neodpracované hodiny odpracované sa zúčtovanie nákladov budúcich období na príslušný nákladový účet do základu dane nezahŕňa.</w:t>
      </w:r>
    </w:p>
    <w:p w:rsidR="00DA748B" w:rsidRPr="0045487E" w:rsidP="00210E92">
      <w:pPr>
        <w:shd w:val="clear" w:color="auto" w:fill="FFFFFF"/>
        <w:bidi w:val="0"/>
        <w:ind w:hanging="5"/>
        <w:jc w:val="both"/>
        <w:rPr>
          <w:rFonts w:ascii="Times New Roman" w:hAnsi="Times New Roman"/>
          <w:b/>
        </w:rPr>
      </w:pPr>
    </w:p>
    <w:p w:rsidR="008F31E2" w:rsidRPr="0045487E" w:rsidP="00210E92">
      <w:pPr>
        <w:shd w:val="clear" w:color="auto" w:fill="FFFFFF"/>
        <w:bidi w:val="0"/>
        <w:ind w:hanging="5"/>
        <w:jc w:val="both"/>
        <w:rPr>
          <w:rFonts w:ascii="Times New Roman" w:hAnsi="Times New Roman"/>
          <w:b/>
        </w:rPr>
      </w:pPr>
      <w:r w:rsidRPr="0045487E">
        <w:rPr>
          <w:rFonts w:ascii="Times New Roman" w:hAnsi="Times New Roman"/>
          <w:b/>
        </w:rPr>
        <w:t>K</w:t>
      </w:r>
      <w:r w:rsidR="001F1378">
        <w:rPr>
          <w:rFonts w:ascii="Times New Roman" w:hAnsi="Times New Roman"/>
          <w:b/>
        </w:rPr>
        <w:t> bodu 35</w:t>
      </w:r>
      <w:r w:rsidRPr="0045487E" w:rsidR="00D317F3">
        <w:rPr>
          <w:rFonts w:ascii="Times New Roman" w:hAnsi="Times New Roman"/>
          <w:b/>
        </w:rPr>
        <w:t xml:space="preserve"> - § 17 ods. 29 </w:t>
      </w:r>
    </w:p>
    <w:p w:rsidR="00D317F3" w:rsidRPr="0045487E" w:rsidP="00210E92">
      <w:pPr>
        <w:shd w:val="clear" w:color="auto" w:fill="FFFFFF"/>
        <w:bidi w:val="0"/>
        <w:ind w:hanging="5"/>
        <w:jc w:val="both"/>
        <w:rPr>
          <w:rFonts w:ascii="Times New Roman" w:hAnsi="Times New Roman"/>
        </w:rPr>
      </w:pPr>
      <w:r w:rsidRPr="0045487E">
        <w:rPr>
          <w:rFonts w:ascii="Times New Roman" w:hAnsi="Times New Roman"/>
        </w:rPr>
        <w:t>Navrhovaná úprava smeruje k zvýšeniu právnej istoty pri uplatňovan</w:t>
      </w:r>
      <w:r w:rsidR="008902C3">
        <w:rPr>
          <w:rFonts w:ascii="Times New Roman" w:hAnsi="Times New Roman"/>
        </w:rPr>
        <w:t>í</w:t>
      </w:r>
      <w:r w:rsidRPr="0045487E">
        <w:rPr>
          <w:rFonts w:ascii="Times New Roman" w:hAnsi="Times New Roman"/>
        </w:rPr>
        <w:t xml:space="preserve"> tohto ustanovenia z hľadiska potreby rešpektovania zániku práva na vyrubenie dane podľa § 69 daňového poriadku. </w:t>
      </w:r>
    </w:p>
    <w:p w:rsidR="00D317F3" w:rsidRPr="0045487E" w:rsidP="00210E92">
      <w:pPr>
        <w:shd w:val="clear" w:color="auto" w:fill="FFFFFF"/>
        <w:bidi w:val="0"/>
        <w:ind w:hanging="5"/>
        <w:jc w:val="both"/>
        <w:rPr>
          <w:rFonts w:ascii="Times New Roman" w:hAnsi="Times New Roman"/>
          <w:b/>
        </w:rPr>
      </w:pPr>
    </w:p>
    <w:p w:rsidR="0043579A" w:rsidRPr="0045487E" w:rsidP="00210E92">
      <w:pPr>
        <w:shd w:val="clear" w:color="auto" w:fill="FFFFFF"/>
        <w:bidi w:val="0"/>
        <w:rPr>
          <w:rFonts w:ascii="Times New Roman" w:hAnsi="Times New Roman"/>
          <w:b/>
        </w:rPr>
      </w:pPr>
      <w:r w:rsidRPr="0045487E" w:rsidR="00B44BD0">
        <w:rPr>
          <w:rFonts w:ascii="Times New Roman" w:hAnsi="Times New Roman"/>
          <w:b/>
        </w:rPr>
        <w:t>K bod</w:t>
      </w:r>
      <w:r w:rsidRPr="0045487E" w:rsidR="00B050CB">
        <w:rPr>
          <w:rFonts w:ascii="Times New Roman" w:hAnsi="Times New Roman"/>
          <w:b/>
        </w:rPr>
        <w:t>u</w:t>
      </w:r>
      <w:r w:rsidRPr="0045487E" w:rsidR="00B44BD0">
        <w:rPr>
          <w:rFonts w:ascii="Times New Roman" w:hAnsi="Times New Roman"/>
          <w:b/>
        </w:rPr>
        <w:t xml:space="preserve"> </w:t>
      </w:r>
      <w:r w:rsidRPr="0045487E" w:rsidR="00DE244B">
        <w:rPr>
          <w:rFonts w:ascii="Times New Roman" w:hAnsi="Times New Roman"/>
          <w:b/>
        </w:rPr>
        <w:t>3</w:t>
      </w:r>
      <w:r w:rsidR="001F1378">
        <w:rPr>
          <w:rFonts w:ascii="Times New Roman" w:hAnsi="Times New Roman"/>
          <w:b/>
        </w:rPr>
        <w:t>7</w:t>
      </w:r>
      <w:r w:rsidRPr="0045487E" w:rsidR="00B050CB">
        <w:rPr>
          <w:rFonts w:ascii="Times New Roman" w:hAnsi="Times New Roman"/>
          <w:b/>
        </w:rPr>
        <w:t xml:space="preserve"> </w:t>
      </w:r>
      <w:r w:rsidRPr="0045487E" w:rsidR="00B44BD0">
        <w:rPr>
          <w:rFonts w:ascii="Times New Roman" w:hAnsi="Times New Roman"/>
          <w:b/>
        </w:rPr>
        <w:t xml:space="preserve">- § </w:t>
      </w:r>
      <w:r w:rsidRPr="0045487E" w:rsidR="000F698D">
        <w:rPr>
          <w:rFonts w:ascii="Times New Roman" w:hAnsi="Times New Roman"/>
          <w:b/>
        </w:rPr>
        <w:t xml:space="preserve">18 ods. 1 prvá </w:t>
      </w:r>
      <w:r w:rsidRPr="0045487E" w:rsidR="00D317F3">
        <w:rPr>
          <w:rFonts w:ascii="Times New Roman" w:hAnsi="Times New Roman"/>
          <w:b/>
        </w:rPr>
        <w:t>veta</w:t>
      </w:r>
    </w:p>
    <w:p w:rsidR="00AA6D10" w:rsidRPr="0045487E" w:rsidP="00AA6D10">
      <w:pPr>
        <w:shd w:val="clear" w:color="auto" w:fill="FFFFFF"/>
        <w:autoSpaceDE w:val="0"/>
        <w:autoSpaceDN w:val="0"/>
        <w:bidi w:val="0"/>
        <w:jc w:val="both"/>
        <w:rPr>
          <w:rFonts w:ascii="Times New Roman" w:hAnsi="Times New Roman"/>
        </w:rPr>
      </w:pPr>
      <w:r w:rsidRPr="0045487E">
        <w:rPr>
          <w:rFonts w:ascii="Times New Roman" w:hAnsi="Times New Roman"/>
        </w:rPr>
        <w:t xml:space="preserve">Zmena vyplýva z aktualizovaného znenia Smernice OECD pre nadnárodné spoločnosti a správu daní vydanú Radou OECD v júli 2010 (ďalej len „Smernica OECD z roku 2010“), ktorým sa mení prístup k výberu metódy transferového oceňovania, a to zo striktnej hierarchie na prístup výberu najlepšej metódy podľa okolností každého jednotlivého prípadu. Podľa Smernice OECD z roku 2010 má voľba metódy pre stanovenie transferových cien vždy za cieľ nachádzať najvhodnejšiu metódu pre konkrétny prípad. Nie každú metódu je vždy vhodné použiť vo všetkých prípadoch, a preto je nevyhnutné vždy postupovať prípad od prípadu a hodnotiť vhodnosť použitej metódy individuálne pre každý konkrétny prípad berúc do úvahy všetky okolnosti a podmienky transakcií.  </w:t>
      </w:r>
    </w:p>
    <w:p w:rsidR="00AA6D10" w:rsidRPr="0045487E" w:rsidP="00AA6D10">
      <w:pPr>
        <w:shd w:val="clear" w:color="auto" w:fill="FFFFFF"/>
        <w:autoSpaceDE w:val="0"/>
        <w:autoSpaceDN w:val="0"/>
        <w:bidi w:val="0"/>
        <w:jc w:val="both"/>
        <w:rPr>
          <w:rFonts w:ascii="Times New Roman" w:hAnsi="Times New Roman"/>
        </w:rPr>
      </w:pPr>
    </w:p>
    <w:p w:rsidR="00C17117" w:rsidRPr="0045487E" w:rsidP="00210E92">
      <w:pPr>
        <w:shd w:val="clear" w:color="auto" w:fill="FFFFFF"/>
        <w:bidi w:val="0"/>
        <w:jc w:val="both"/>
        <w:rPr>
          <w:rFonts w:ascii="Times New Roman" w:hAnsi="Times New Roman"/>
          <w:b/>
        </w:rPr>
      </w:pPr>
      <w:r w:rsidRPr="0045487E" w:rsidR="00DE244B">
        <w:rPr>
          <w:rFonts w:ascii="Times New Roman" w:hAnsi="Times New Roman"/>
          <w:b/>
        </w:rPr>
        <w:t>K bodu 3</w:t>
      </w:r>
      <w:r w:rsidR="001F1378">
        <w:rPr>
          <w:rFonts w:ascii="Times New Roman" w:hAnsi="Times New Roman"/>
          <w:b/>
        </w:rPr>
        <w:t>8</w:t>
      </w:r>
      <w:r w:rsidRPr="0045487E" w:rsidR="00A406D8">
        <w:rPr>
          <w:rFonts w:ascii="Times New Roman" w:hAnsi="Times New Roman"/>
          <w:b/>
        </w:rPr>
        <w:t xml:space="preserve"> </w:t>
      </w:r>
      <w:r w:rsidRPr="0045487E" w:rsidR="00DE244B">
        <w:rPr>
          <w:rFonts w:ascii="Times New Roman" w:hAnsi="Times New Roman"/>
          <w:b/>
        </w:rPr>
        <w:t xml:space="preserve">- </w:t>
      </w:r>
      <w:r w:rsidRPr="0045487E">
        <w:rPr>
          <w:rFonts w:ascii="Times New Roman" w:hAnsi="Times New Roman"/>
          <w:b/>
        </w:rPr>
        <w:t xml:space="preserve">§ </w:t>
      </w:r>
      <w:r w:rsidRPr="0045487E" w:rsidR="000F698D">
        <w:rPr>
          <w:rFonts w:ascii="Times New Roman" w:hAnsi="Times New Roman"/>
          <w:b/>
        </w:rPr>
        <w:t xml:space="preserve">18 ods. 1 </w:t>
      </w:r>
      <w:r w:rsidR="008902C3">
        <w:rPr>
          <w:rFonts w:ascii="Times New Roman" w:hAnsi="Times New Roman"/>
          <w:b/>
        </w:rPr>
        <w:t>piata</w:t>
      </w:r>
      <w:r w:rsidRPr="0045487E" w:rsidR="000F698D">
        <w:rPr>
          <w:rFonts w:ascii="Times New Roman" w:hAnsi="Times New Roman"/>
          <w:b/>
        </w:rPr>
        <w:t xml:space="preserve"> veta</w:t>
      </w:r>
    </w:p>
    <w:p w:rsidR="00AA6D10" w:rsidRPr="0045487E" w:rsidP="00AA6D10">
      <w:pPr>
        <w:shd w:val="clear" w:color="auto" w:fill="FFFFFF"/>
        <w:autoSpaceDE w:val="0"/>
        <w:autoSpaceDN w:val="0"/>
        <w:bidi w:val="0"/>
        <w:jc w:val="both"/>
        <w:rPr>
          <w:rFonts w:ascii="Times New Roman" w:hAnsi="Times New Roman"/>
        </w:rPr>
      </w:pPr>
      <w:r w:rsidRPr="0045487E">
        <w:rPr>
          <w:rFonts w:ascii="Times New Roman" w:hAnsi="Times New Roman"/>
        </w:rPr>
        <w:t xml:space="preserve">V oblasti transferového oceňovania je niekedy obtiažne nájsť situácie, kedy sú porovnávané podmienky transakcie úplne identické. Pokiaľ ide o porovnávanie podmienok transakcií získaných z externých zdrojov je postačujúce, aby medzi podmienkami neboli rozdiely významného charakteru. Pod pojmom „zásadný“ sa rozumie taký, ktorý významnou mierou ovplyvňuje porovnávané podmienky v zmysle § 18 ods. 1 zákona. Uvedené vyplýva z odseku 1.33 Smernice OECD z roku 2010, podľa ktorého byť „porovnateľný“ znamená, že žiaden z rozdielov medzi porovnávanými situáciami (pokiaľ nejaký existuje) by nemal významne ovplyvniť podmienku, ktorá sa preveruje (napr. cena alebo rozpätie) alebo že sa môžu vykonať primerané presné úpravy v záujme vylúčenia dopadov takýchto rozdielov.  </w:t>
      </w:r>
    </w:p>
    <w:p w:rsidR="00B925F7" w:rsidRPr="0045487E" w:rsidP="00210E92">
      <w:pPr>
        <w:shd w:val="clear" w:color="auto" w:fill="FFFFFF"/>
        <w:bidi w:val="0"/>
        <w:rPr>
          <w:rFonts w:ascii="Times New Roman" w:hAnsi="Times New Roman"/>
          <w:b/>
        </w:rPr>
      </w:pPr>
    </w:p>
    <w:p w:rsidR="00CC09EB" w:rsidRPr="0045487E" w:rsidP="00210E92">
      <w:pPr>
        <w:shd w:val="clear" w:color="auto" w:fill="FFFFFF"/>
        <w:bidi w:val="0"/>
        <w:rPr>
          <w:rFonts w:ascii="Times New Roman" w:hAnsi="Times New Roman"/>
          <w:b/>
        </w:rPr>
      </w:pPr>
      <w:r w:rsidRPr="0045487E" w:rsidR="000F698D">
        <w:rPr>
          <w:rFonts w:ascii="Times New Roman" w:hAnsi="Times New Roman"/>
          <w:b/>
        </w:rPr>
        <w:t xml:space="preserve">K bodu </w:t>
      </w:r>
      <w:r w:rsidR="001F1378">
        <w:rPr>
          <w:rFonts w:ascii="Times New Roman" w:hAnsi="Times New Roman"/>
          <w:b/>
        </w:rPr>
        <w:t>39</w:t>
      </w:r>
      <w:r w:rsidRPr="0045487E" w:rsidR="000F698D">
        <w:rPr>
          <w:rFonts w:ascii="Times New Roman" w:hAnsi="Times New Roman"/>
          <w:b/>
        </w:rPr>
        <w:t xml:space="preserve"> - § 18 ods. 4</w:t>
      </w:r>
    </w:p>
    <w:p w:rsidR="000F698D" w:rsidRPr="0045487E" w:rsidP="00210E92">
      <w:pPr>
        <w:shd w:val="clear" w:color="auto" w:fill="FFFFFF"/>
        <w:autoSpaceDE w:val="0"/>
        <w:autoSpaceDN w:val="0"/>
        <w:bidi w:val="0"/>
        <w:jc w:val="both"/>
        <w:rPr>
          <w:rFonts w:ascii="Times New Roman" w:hAnsi="Times New Roman"/>
        </w:rPr>
      </w:pPr>
      <w:r w:rsidRPr="0045487E">
        <w:rPr>
          <w:rFonts w:ascii="Times New Roman" w:hAnsi="Times New Roman"/>
        </w:rPr>
        <w:t xml:space="preserve">Ustanovenie vymedzuje lehotu na podanie žiadosti o odsúhlasenie metódy ocenenia, vytvára dostatočný časový priestor na </w:t>
      </w:r>
      <w:r w:rsidRPr="0045487E" w:rsidR="00735B83">
        <w:rPr>
          <w:rFonts w:ascii="Times New Roman" w:hAnsi="Times New Roman"/>
        </w:rPr>
        <w:t>prerokovanie</w:t>
      </w:r>
      <w:r w:rsidRPr="0045487E">
        <w:rPr>
          <w:rFonts w:ascii="Times New Roman" w:hAnsi="Times New Roman"/>
        </w:rPr>
        <w:t xml:space="preserve"> a odsúhlasenie metódy a ustanovuje, že správca dane neodsúhlasuje metódu ocenenia spätne za predchádzajúce zdaňovacie obdobia. Rovnako sa zdôrazňuje, že správca dane nie je povinný v každom prípade odsúhlasiť metódu navrhnutú závislou osobou. Nevyhnutným predpokladom odsúhlasenia metódy transferového oceňovania je úzka spolupráca daňovníka so správcom dane a  predloženie relevantnej dokumentácie a informácií preukazujúcich odôvodnenosť predkladaného návrhu. Ak predložený návrh nie je v súlade s princípom nezávislého vzťahu, predložená dokumentácia nie je postačujúca na správne určenie metódy oceňovania, resp. správca dane nesúhlasí s použitím metódy navrhnutej daňovníkom,</w:t>
      </w:r>
      <w:r w:rsidRPr="0045487E">
        <w:rPr>
          <w:rFonts w:ascii="Times New Roman" w:hAnsi="Times New Roman"/>
          <w:b/>
        </w:rPr>
        <w:t xml:space="preserve"> </w:t>
      </w:r>
      <w:r w:rsidRPr="0045487E">
        <w:rPr>
          <w:rFonts w:ascii="Times New Roman" w:hAnsi="Times New Roman"/>
        </w:rPr>
        <w:t>oznámi túto skutočnosť daňovníkovi.</w:t>
      </w:r>
    </w:p>
    <w:p w:rsidR="00AA6D10" w:rsidRPr="0045487E" w:rsidP="00210E92">
      <w:pPr>
        <w:shd w:val="clear" w:color="auto" w:fill="FFFFFF"/>
        <w:autoSpaceDE w:val="0"/>
        <w:autoSpaceDN w:val="0"/>
        <w:bidi w:val="0"/>
        <w:jc w:val="both"/>
        <w:rPr>
          <w:rFonts w:ascii="Times New Roman" w:hAnsi="Times New Roman"/>
        </w:rPr>
      </w:pPr>
    </w:p>
    <w:p w:rsidR="00AA6D10" w:rsidRPr="0045487E" w:rsidP="00210E92">
      <w:pPr>
        <w:shd w:val="clear" w:color="auto" w:fill="FFFFFF"/>
        <w:autoSpaceDE w:val="0"/>
        <w:autoSpaceDN w:val="0"/>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40</w:t>
      </w:r>
      <w:r w:rsidRPr="0045487E">
        <w:rPr>
          <w:rFonts w:ascii="Times New Roman" w:hAnsi="Times New Roman"/>
          <w:b/>
        </w:rPr>
        <w:t xml:space="preserve"> - § 18 ods. 6</w:t>
      </w:r>
      <w:r w:rsidRPr="0045487E" w:rsidR="00A577B3">
        <w:rPr>
          <w:rFonts w:ascii="Times New Roman" w:hAnsi="Times New Roman"/>
          <w:b/>
        </w:rPr>
        <w:t xml:space="preserve"> druhá a tretia veta</w:t>
      </w:r>
    </w:p>
    <w:p w:rsidR="00AA6D10" w:rsidRPr="0045487E" w:rsidP="00AA6D10">
      <w:pPr>
        <w:shd w:val="clear" w:color="auto" w:fill="FFFFFF"/>
        <w:autoSpaceDE w:val="0"/>
        <w:autoSpaceDN w:val="0"/>
        <w:bidi w:val="0"/>
        <w:jc w:val="both"/>
        <w:rPr>
          <w:rFonts w:ascii="Times New Roman" w:hAnsi="Times New Roman"/>
        </w:rPr>
      </w:pPr>
      <w:r w:rsidRPr="0045487E">
        <w:rPr>
          <w:rFonts w:ascii="Times New Roman" w:hAnsi="Times New Roman"/>
        </w:rPr>
        <w:t xml:space="preserve">Správcovi dane alebo Finančnému riaditeľstvu SR sa ustanovuje možnosť vyžiadať si dokumentáciu transferového oceňovania kedykoľvek, keď to bude s ohľadom na skutočnosti považovať za potrebné, nielen v procese daňovej kontroly. Predmetnou úpravou sa skvalitní výber rizikových daňových subjektov. Ak daňovník nesplní túto povinnosť v zákonnej lehote (15 dní), hrozí mu sankcia od 60 do 3000 eur v súlade s § 154 v spojení s § 155 daňového poriadku.  </w:t>
      </w:r>
    </w:p>
    <w:p w:rsidR="000F698D" w:rsidRPr="0045487E" w:rsidP="00210E92">
      <w:pPr>
        <w:shd w:val="clear" w:color="auto" w:fill="FFFFFF"/>
        <w:bidi w:val="0"/>
        <w:rPr>
          <w:rFonts w:ascii="Times New Roman" w:hAnsi="Times New Roman"/>
        </w:rPr>
      </w:pPr>
    </w:p>
    <w:p w:rsidR="00EF79CA" w:rsidRPr="0045487E" w:rsidP="00210E92">
      <w:pPr>
        <w:shd w:val="clear" w:color="auto" w:fill="FFFFFF"/>
        <w:bidi w:val="0"/>
        <w:rPr>
          <w:rFonts w:ascii="Times New Roman" w:hAnsi="Times New Roman"/>
          <w:b/>
        </w:rPr>
      </w:pPr>
      <w:r w:rsidRPr="0045487E">
        <w:rPr>
          <w:rFonts w:ascii="Times New Roman" w:hAnsi="Times New Roman"/>
          <w:b/>
        </w:rPr>
        <w:t>K</w:t>
      </w:r>
      <w:r w:rsidRPr="0045487E" w:rsidR="003C0779">
        <w:rPr>
          <w:rFonts w:ascii="Times New Roman" w:hAnsi="Times New Roman"/>
          <w:b/>
        </w:rPr>
        <w:t> </w:t>
      </w:r>
      <w:r w:rsidRPr="0045487E">
        <w:rPr>
          <w:rFonts w:ascii="Times New Roman" w:hAnsi="Times New Roman"/>
          <w:b/>
        </w:rPr>
        <w:t>bod</w:t>
      </w:r>
      <w:r w:rsidRPr="0045487E" w:rsidR="003C0779">
        <w:rPr>
          <w:rFonts w:ascii="Times New Roman" w:hAnsi="Times New Roman"/>
          <w:b/>
        </w:rPr>
        <w:t xml:space="preserve">u </w:t>
      </w:r>
      <w:r w:rsidRPr="0045487E" w:rsidR="00D317F3">
        <w:rPr>
          <w:rFonts w:ascii="Times New Roman" w:hAnsi="Times New Roman"/>
          <w:b/>
        </w:rPr>
        <w:t>4</w:t>
      </w:r>
      <w:r w:rsidR="001F1378">
        <w:rPr>
          <w:rFonts w:ascii="Times New Roman" w:hAnsi="Times New Roman"/>
          <w:b/>
        </w:rPr>
        <w:t>1</w:t>
      </w:r>
      <w:r w:rsidRPr="0045487E">
        <w:rPr>
          <w:rFonts w:ascii="Times New Roman" w:hAnsi="Times New Roman"/>
          <w:b/>
        </w:rPr>
        <w:t xml:space="preserve"> - §</w:t>
      </w:r>
      <w:r w:rsidRPr="0045487E" w:rsidR="003C0779">
        <w:rPr>
          <w:rFonts w:ascii="Times New Roman" w:hAnsi="Times New Roman"/>
          <w:b/>
        </w:rPr>
        <w:t xml:space="preserve"> 19 ods. 2 písm. e)</w:t>
      </w:r>
    </w:p>
    <w:p w:rsidR="003C0779" w:rsidRPr="0045487E" w:rsidP="00210E92">
      <w:pPr>
        <w:pStyle w:val="ListParagraph"/>
        <w:shd w:val="clear" w:color="auto" w:fill="FFFFFF"/>
        <w:bidi w:val="0"/>
        <w:spacing w:after="0" w:line="240" w:lineRule="auto"/>
        <w:ind w:left="0"/>
        <w:jc w:val="both"/>
        <w:rPr>
          <w:rFonts w:ascii="Times New Roman" w:hAnsi="Times New Roman"/>
          <w:sz w:val="24"/>
          <w:szCs w:val="24"/>
        </w:rPr>
      </w:pPr>
      <w:r w:rsidRPr="0045487E">
        <w:rPr>
          <w:rFonts w:ascii="Times New Roman" w:hAnsi="Times New Roman"/>
          <w:sz w:val="24"/>
          <w:szCs w:val="24"/>
        </w:rPr>
        <w:t xml:space="preserve">Navrhovaná úprava umožňuje, v rámci zníženia administratívnej náročnosti, daňovníkovi vybrať si aj pri vlastnom osobnom automobile nezahrnutom do obchodného majetku </w:t>
      </w:r>
      <w:r w:rsidRPr="0045487E" w:rsidR="00223730">
        <w:rPr>
          <w:rFonts w:ascii="Times New Roman" w:hAnsi="Times New Roman"/>
          <w:sz w:val="24"/>
          <w:szCs w:val="24"/>
        </w:rPr>
        <w:t>medzi</w:t>
      </w:r>
    </w:p>
    <w:p w:rsidR="003C0779" w:rsidRPr="0045487E" w:rsidP="000627E0">
      <w:pPr>
        <w:pStyle w:val="ListParagraph"/>
        <w:numPr>
          <w:numId w:val="3"/>
        </w:numPr>
        <w:shd w:val="clear" w:color="auto" w:fill="FFFFFF"/>
        <w:bidi w:val="0"/>
        <w:spacing w:after="0" w:line="240" w:lineRule="auto"/>
        <w:ind w:left="142" w:hanging="142"/>
        <w:jc w:val="both"/>
        <w:rPr>
          <w:rFonts w:ascii="Times New Roman" w:hAnsi="Times New Roman"/>
          <w:sz w:val="24"/>
          <w:szCs w:val="24"/>
        </w:rPr>
      </w:pPr>
      <w:r w:rsidRPr="0045487E">
        <w:rPr>
          <w:rFonts w:ascii="Times New Roman" w:hAnsi="Times New Roman"/>
          <w:sz w:val="24"/>
          <w:szCs w:val="24"/>
        </w:rPr>
        <w:t>preukázateľne vynaloženými výdavkami na spotrebu PHL a základnej sadzby náhrady za každý jeden km jazdy podľa zákona o cestovných náhradách, čo vyžaduje a</w:t>
      </w:r>
      <w:r w:rsidRPr="0045487E" w:rsidR="006F115D">
        <w:rPr>
          <w:rFonts w:ascii="Times New Roman" w:hAnsi="Times New Roman"/>
          <w:sz w:val="24"/>
          <w:szCs w:val="24"/>
        </w:rPr>
        <w:t>j</w:t>
      </w:r>
      <w:r w:rsidRPr="0045487E">
        <w:rPr>
          <w:rFonts w:ascii="Times New Roman" w:hAnsi="Times New Roman"/>
          <w:sz w:val="24"/>
          <w:szCs w:val="24"/>
        </w:rPr>
        <w:t xml:space="preserve"> vedenie evidencie jázd z pracovných ciest alebo</w:t>
      </w:r>
    </w:p>
    <w:p w:rsidR="003C0779" w:rsidRPr="0045487E" w:rsidP="000627E0">
      <w:pPr>
        <w:pStyle w:val="ListParagraph"/>
        <w:numPr>
          <w:numId w:val="3"/>
        </w:numPr>
        <w:shd w:val="clear" w:color="auto" w:fill="FFFFFF"/>
        <w:bidi w:val="0"/>
        <w:spacing w:after="0" w:line="240" w:lineRule="auto"/>
        <w:ind w:left="142" w:hanging="142"/>
        <w:jc w:val="both"/>
        <w:rPr>
          <w:rFonts w:ascii="Times New Roman" w:hAnsi="Times New Roman"/>
          <w:sz w:val="24"/>
          <w:szCs w:val="24"/>
        </w:rPr>
      </w:pPr>
      <w:r w:rsidRPr="0045487E">
        <w:rPr>
          <w:rFonts w:ascii="Times New Roman" w:hAnsi="Times New Roman"/>
          <w:sz w:val="24"/>
          <w:szCs w:val="24"/>
        </w:rPr>
        <w:t>paušálnymi výdavkami vo výške zákonom stanoveného percenta z preukázateľného nákupu PHL za príslušné zdaňovacie obdobie, pri ktorých nebude musieť viesť žiadnu evidenciu.</w:t>
      </w:r>
    </w:p>
    <w:p w:rsidR="003C0779" w:rsidRPr="0045487E" w:rsidP="00210E92">
      <w:pPr>
        <w:shd w:val="clear" w:color="auto" w:fill="FFFFFF"/>
        <w:bidi w:val="0"/>
        <w:rPr>
          <w:rFonts w:ascii="Times New Roman" w:hAnsi="Times New Roman"/>
        </w:rPr>
      </w:pPr>
    </w:p>
    <w:p w:rsidR="003C0779" w:rsidRPr="0045487E" w:rsidP="00210E92">
      <w:pPr>
        <w:shd w:val="clear" w:color="auto" w:fill="FFFFFF"/>
        <w:bidi w:val="0"/>
        <w:jc w:val="both"/>
        <w:rPr>
          <w:rFonts w:ascii="Times New Roman" w:hAnsi="Times New Roman"/>
          <w:b/>
        </w:rPr>
      </w:pPr>
      <w:r w:rsidRPr="0045487E" w:rsidR="00EF79CA">
        <w:rPr>
          <w:rFonts w:ascii="Times New Roman" w:hAnsi="Times New Roman"/>
          <w:b/>
        </w:rPr>
        <w:t>K</w:t>
      </w:r>
      <w:r w:rsidRPr="0045487E" w:rsidR="00C8385C">
        <w:rPr>
          <w:rFonts w:ascii="Times New Roman" w:hAnsi="Times New Roman"/>
          <w:b/>
        </w:rPr>
        <w:t> </w:t>
      </w:r>
      <w:r w:rsidRPr="0045487E" w:rsidR="00EF79CA">
        <w:rPr>
          <w:rFonts w:ascii="Times New Roman" w:hAnsi="Times New Roman"/>
          <w:b/>
        </w:rPr>
        <w:t>bod</w:t>
      </w:r>
      <w:r w:rsidRPr="0045487E" w:rsidR="00C8385C">
        <w:rPr>
          <w:rFonts w:ascii="Times New Roman" w:hAnsi="Times New Roman"/>
          <w:b/>
        </w:rPr>
        <w:t xml:space="preserve">om </w:t>
      </w:r>
      <w:r w:rsidRPr="0045487E" w:rsidR="00D317F3">
        <w:rPr>
          <w:rFonts w:ascii="Times New Roman" w:hAnsi="Times New Roman"/>
          <w:b/>
        </w:rPr>
        <w:t>4</w:t>
      </w:r>
      <w:r w:rsidR="001F1378">
        <w:rPr>
          <w:rFonts w:ascii="Times New Roman" w:hAnsi="Times New Roman"/>
          <w:b/>
        </w:rPr>
        <w:t>2</w:t>
      </w:r>
      <w:r w:rsidRPr="0045487E" w:rsidR="005957D4">
        <w:rPr>
          <w:rFonts w:ascii="Times New Roman" w:hAnsi="Times New Roman"/>
          <w:b/>
        </w:rPr>
        <w:t xml:space="preserve">, </w:t>
      </w:r>
      <w:r w:rsidRPr="0045487E" w:rsidR="00D317F3">
        <w:rPr>
          <w:rFonts w:ascii="Times New Roman" w:hAnsi="Times New Roman"/>
          <w:b/>
        </w:rPr>
        <w:t>4</w:t>
      </w:r>
      <w:r w:rsidR="001F1378">
        <w:rPr>
          <w:rFonts w:ascii="Times New Roman" w:hAnsi="Times New Roman"/>
          <w:b/>
        </w:rPr>
        <w:t>5</w:t>
      </w:r>
      <w:r w:rsidRPr="0045487E" w:rsidR="005957D4">
        <w:rPr>
          <w:rFonts w:ascii="Times New Roman" w:hAnsi="Times New Roman"/>
          <w:b/>
        </w:rPr>
        <w:t xml:space="preserve">, </w:t>
      </w:r>
      <w:r w:rsidRPr="0045487E" w:rsidR="00D317F3">
        <w:rPr>
          <w:rFonts w:ascii="Times New Roman" w:hAnsi="Times New Roman"/>
          <w:b/>
        </w:rPr>
        <w:t>5</w:t>
      </w:r>
      <w:r w:rsidR="001F1378">
        <w:rPr>
          <w:rFonts w:ascii="Times New Roman" w:hAnsi="Times New Roman"/>
          <w:b/>
        </w:rPr>
        <w:t>1</w:t>
      </w:r>
      <w:r w:rsidRPr="0045487E" w:rsidR="005957D4">
        <w:rPr>
          <w:rFonts w:ascii="Times New Roman" w:hAnsi="Times New Roman"/>
          <w:b/>
        </w:rPr>
        <w:t xml:space="preserve">, </w:t>
      </w:r>
      <w:r w:rsidRPr="0045487E" w:rsidR="00D317F3">
        <w:rPr>
          <w:rFonts w:ascii="Times New Roman" w:hAnsi="Times New Roman"/>
          <w:b/>
        </w:rPr>
        <w:t>5</w:t>
      </w:r>
      <w:r w:rsidR="001F1378">
        <w:rPr>
          <w:rFonts w:ascii="Times New Roman" w:hAnsi="Times New Roman"/>
          <w:b/>
        </w:rPr>
        <w:t>8</w:t>
      </w:r>
      <w:r w:rsidRPr="0045487E" w:rsidR="008E0AB9">
        <w:rPr>
          <w:rFonts w:ascii="Times New Roman" w:hAnsi="Times New Roman"/>
          <w:b/>
        </w:rPr>
        <w:t xml:space="preserve"> a</w:t>
      </w:r>
      <w:r w:rsidRPr="0045487E" w:rsidR="005957D4">
        <w:rPr>
          <w:rFonts w:ascii="Times New Roman" w:hAnsi="Times New Roman"/>
          <w:b/>
        </w:rPr>
        <w:t xml:space="preserve"> </w:t>
      </w:r>
      <w:r w:rsidRPr="0045487E" w:rsidR="00D317F3">
        <w:rPr>
          <w:rFonts w:ascii="Times New Roman" w:hAnsi="Times New Roman"/>
          <w:b/>
        </w:rPr>
        <w:t>8</w:t>
      </w:r>
      <w:r w:rsidR="006A7BE2">
        <w:rPr>
          <w:rFonts w:ascii="Times New Roman" w:hAnsi="Times New Roman"/>
          <w:b/>
        </w:rPr>
        <w:t>2</w:t>
      </w:r>
      <w:r w:rsidRPr="0045487E" w:rsidR="005957D4">
        <w:rPr>
          <w:rFonts w:ascii="Times New Roman" w:hAnsi="Times New Roman"/>
          <w:b/>
        </w:rPr>
        <w:t xml:space="preserve"> </w:t>
      </w:r>
      <w:r w:rsidRPr="0045487E" w:rsidR="00EF79CA">
        <w:rPr>
          <w:rFonts w:ascii="Times New Roman" w:hAnsi="Times New Roman"/>
          <w:b/>
        </w:rPr>
        <w:t>- §</w:t>
      </w:r>
      <w:r w:rsidRPr="0045487E">
        <w:rPr>
          <w:rFonts w:ascii="Times New Roman" w:hAnsi="Times New Roman"/>
          <w:b/>
        </w:rPr>
        <w:t xml:space="preserve"> 19 ods. 2 písm. i),</w:t>
      </w:r>
      <w:r w:rsidRPr="0045487E" w:rsidR="005D453E">
        <w:rPr>
          <w:rFonts w:ascii="Times New Roman" w:hAnsi="Times New Roman"/>
          <w:b/>
        </w:rPr>
        <w:t xml:space="preserve"> § 19 ods. 3 písm. n),</w:t>
      </w:r>
      <w:r w:rsidRPr="0045487E" w:rsidR="00654F52">
        <w:rPr>
          <w:rFonts w:ascii="Times New Roman" w:hAnsi="Times New Roman"/>
          <w:b/>
        </w:rPr>
        <w:t xml:space="preserve"> § 34 ods. </w:t>
      </w:r>
      <w:r w:rsidRPr="0045487E" w:rsidR="005957D4">
        <w:rPr>
          <w:rFonts w:ascii="Times New Roman" w:hAnsi="Times New Roman"/>
          <w:b/>
        </w:rPr>
        <w:t>2</w:t>
      </w:r>
      <w:r w:rsidRPr="0045487E" w:rsidR="00654F52">
        <w:rPr>
          <w:rFonts w:ascii="Times New Roman" w:hAnsi="Times New Roman"/>
          <w:b/>
        </w:rPr>
        <w:t xml:space="preserve"> a </w:t>
      </w:r>
      <w:r w:rsidRPr="0045487E" w:rsidR="005957D4">
        <w:rPr>
          <w:rFonts w:ascii="Times New Roman" w:hAnsi="Times New Roman"/>
          <w:b/>
        </w:rPr>
        <w:t>3</w:t>
      </w:r>
      <w:r w:rsidRPr="0045487E" w:rsidR="00654F52">
        <w:rPr>
          <w:rFonts w:ascii="Times New Roman" w:hAnsi="Times New Roman"/>
          <w:b/>
        </w:rPr>
        <w:t>, § 42 ods. 1 a 2, § 38 ods. 7, § 40 ods. 5</w:t>
      </w:r>
      <w:r w:rsidRPr="0045487E" w:rsidR="008E0AB9">
        <w:rPr>
          <w:rFonts w:ascii="Times New Roman" w:hAnsi="Times New Roman"/>
          <w:b/>
        </w:rPr>
        <w:t xml:space="preserve"> a</w:t>
      </w:r>
      <w:r w:rsidRPr="0045487E" w:rsidR="00493504">
        <w:rPr>
          <w:rFonts w:ascii="Times New Roman" w:hAnsi="Times New Roman"/>
          <w:b/>
        </w:rPr>
        <w:t xml:space="preserve"> § 46</w:t>
      </w:r>
      <w:r w:rsidRPr="0045487E" w:rsidR="00116DD5">
        <w:rPr>
          <w:rFonts w:ascii="Times New Roman" w:hAnsi="Times New Roman"/>
          <w:b/>
        </w:rPr>
        <w:t xml:space="preserve"> </w:t>
      </w:r>
    </w:p>
    <w:p w:rsidR="00EF79CA" w:rsidRPr="0045487E" w:rsidP="00210E92">
      <w:pPr>
        <w:shd w:val="clear" w:color="auto" w:fill="FFFFFF"/>
        <w:bidi w:val="0"/>
        <w:jc w:val="both"/>
        <w:rPr>
          <w:rFonts w:ascii="Times New Roman" w:hAnsi="Times New Roman"/>
        </w:rPr>
      </w:pPr>
      <w:r w:rsidRPr="0045487E" w:rsidR="003C0779">
        <w:rPr>
          <w:rFonts w:ascii="Times New Roman" w:hAnsi="Times New Roman"/>
        </w:rPr>
        <w:t xml:space="preserve">Z dôvodu zlepšenia podnikateľského prostredia a zjednodušenia orientácie daňovníkov medzi jednotlivými číselnými údajmi obsiahnutými v zákone sa zaokrúhľujú číselné údaje smerom nahor na celé čísla. </w:t>
      </w:r>
    </w:p>
    <w:p w:rsidR="003C0779" w:rsidRPr="0045487E" w:rsidP="00210E92">
      <w:pPr>
        <w:shd w:val="clear" w:color="auto" w:fill="FFFFFF"/>
        <w:bidi w:val="0"/>
        <w:jc w:val="both"/>
        <w:rPr>
          <w:rFonts w:ascii="Times New Roman" w:hAnsi="Times New Roman"/>
        </w:rPr>
      </w:pPr>
    </w:p>
    <w:p w:rsidR="00A406D8"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Pr="0045487E" w:rsidR="00D317F3">
        <w:rPr>
          <w:rFonts w:ascii="Times New Roman" w:hAnsi="Times New Roman"/>
          <w:b/>
        </w:rPr>
        <w:t>4</w:t>
      </w:r>
      <w:r w:rsidR="001F1378">
        <w:rPr>
          <w:rFonts w:ascii="Times New Roman" w:hAnsi="Times New Roman"/>
          <w:b/>
        </w:rPr>
        <w:t>3</w:t>
      </w:r>
      <w:r w:rsidRPr="0045487E">
        <w:rPr>
          <w:rFonts w:ascii="Times New Roman" w:hAnsi="Times New Roman"/>
          <w:b/>
        </w:rPr>
        <w:t xml:space="preserve"> - § 19 ods. 2 písm. s)</w:t>
      </w:r>
    </w:p>
    <w:p w:rsidR="00A577B3" w:rsidRPr="0045487E" w:rsidP="00030E29">
      <w:pPr>
        <w:bidi w:val="0"/>
        <w:jc w:val="both"/>
        <w:rPr>
          <w:rFonts w:ascii="Times New Roman" w:hAnsi="Times New Roman"/>
        </w:rPr>
      </w:pPr>
      <w:r w:rsidRPr="0045487E" w:rsidR="00030E29">
        <w:rPr>
          <w:rFonts w:ascii="Times New Roman" w:hAnsi="Times New Roman"/>
        </w:rPr>
        <w:t xml:space="preserve">Jednoznačne sa do daňových výdavkov zamestnávateľa budú zahrnovať výdavky na dopravu zamestnancov v prípade, ak sa na miesto výkonu práce a späť nemôže zamestnanec dopraviť verejnou dopravou. Tieto výdavky bude možné </w:t>
      </w:r>
      <w:r w:rsidRPr="0045487E">
        <w:rPr>
          <w:rFonts w:ascii="Times New Roman" w:hAnsi="Times New Roman"/>
        </w:rPr>
        <w:t>zahrnúť do základu dane v plnej výške alebo ak bola poskytnutá zamestnávateľovi na túto formu dopravy dotácia, podpora alebo príspevok z prostriedkov štátneho rozpočtu, rozpočtu obce alebo rozpočtu vyššieho územného celku, zamestnávateľ môže zahrnúť do výdavkov iba ich časť, o ktorú výdavky prevyšujú skutočne prijatú dotáciu, podporu alebo príspevok.</w:t>
      </w:r>
    </w:p>
    <w:p w:rsidR="00A577B3" w:rsidRPr="0045487E" w:rsidP="00030E29">
      <w:pPr>
        <w:bidi w:val="0"/>
        <w:jc w:val="both"/>
        <w:rPr>
          <w:rFonts w:ascii="Times New Roman" w:hAnsi="Times New Roman"/>
        </w:rPr>
      </w:pPr>
    </w:p>
    <w:p w:rsidR="00873912" w:rsidRPr="0045487E" w:rsidP="00210E92">
      <w:pPr>
        <w:shd w:val="clear" w:color="auto" w:fill="FFFFFF"/>
        <w:bidi w:val="0"/>
        <w:jc w:val="both"/>
        <w:rPr>
          <w:rFonts w:ascii="Times New Roman" w:hAnsi="Times New Roman"/>
          <w:b/>
        </w:rPr>
      </w:pPr>
      <w:r w:rsidRPr="0045487E" w:rsidR="0040303F">
        <w:rPr>
          <w:rFonts w:ascii="Times New Roman" w:hAnsi="Times New Roman"/>
          <w:b/>
        </w:rPr>
        <w:t>K bo</w:t>
      </w:r>
      <w:r w:rsidRPr="0045487E" w:rsidR="005D453E">
        <w:rPr>
          <w:rFonts w:ascii="Times New Roman" w:hAnsi="Times New Roman"/>
          <w:b/>
        </w:rPr>
        <w:t>d</w:t>
      </w:r>
      <w:r w:rsidRPr="0045487E" w:rsidR="0040303F">
        <w:rPr>
          <w:rFonts w:ascii="Times New Roman" w:hAnsi="Times New Roman"/>
          <w:b/>
        </w:rPr>
        <w:t xml:space="preserve">u </w:t>
      </w:r>
      <w:r w:rsidRPr="0045487E" w:rsidR="00D317F3">
        <w:rPr>
          <w:rFonts w:ascii="Times New Roman" w:hAnsi="Times New Roman"/>
          <w:b/>
        </w:rPr>
        <w:t>4</w:t>
      </w:r>
      <w:r w:rsidR="001F1378">
        <w:rPr>
          <w:rFonts w:ascii="Times New Roman" w:hAnsi="Times New Roman"/>
          <w:b/>
        </w:rPr>
        <w:t>6</w:t>
      </w:r>
      <w:r w:rsidRPr="0045487E" w:rsidR="00A406D8">
        <w:rPr>
          <w:rFonts w:ascii="Times New Roman" w:hAnsi="Times New Roman"/>
          <w:b/>
        </w:rPr>
        <w:t xml:space="preserve"> </w:t>
      </w:r>
      <w:r w:rsidRPr="0045487E" w:rsidR="00EF79CA">
        <w:rPr>
          <w:rFonts w:ascii="Times New Roman" w:hAnsi="Times New Roman"/>
          <w:b/>
        </w:rPr>
        <w:t xml:space="preserve">- § </w:t>
      </w:r>
      <w:r w:rsidRPr="0045487E" w:rsidR="005D453E">
        <w:rPr>
          <w:rFonts w:ascii="Times New Roman" w:hAnsi="Times New Roman"/>
          <w:b/>
        </w:rPr>
        <w:t>20 ods. 9 písm. a)</w:t>
      </w:r>
    </w:p>
    <w:p w:rsidR="00EF79CA" w:rsidRPr="0045487E" w:rsidP="00210E92">
      <w:pPr>
        <w:shd w:val="clear" w:color="auto" w:fill="FFFFFF"/>
        <w:bidi w:val="0"/>
        <w:jc w:val="both"/>
        <w:rPr>
          <w:rFonts w:ascii="Times New Roman" w:hAnsi="Times New Roman"/>
        </w:rPr>
      </w:pPr>
      <w:r w:rsidRPr="0045487E" w:rsidR="00873912">
        <w:rPr>
          <w:rFonts w:ascii="Times New Roman" w:hAnsi="Times New Roman"/>
        </w:rPr>
        <w:t>Navrhovanou úpravou sa k existujúcim daňovo uznateľným rezervám dopĺňa rezerva na mzdu vrátane poistného a príspevkov, ktoré je povinný platiť zamestnávateľ za zamestnanca v prípade konta pracovného času</w:t>
      </w:r>
      <w:r w:rsidRPr="0045487E" w:rsidR="005B3417">
        <w:rPr>
          <w:rFonts w:ascii="Times New Roman" w:hAnsi="Times New Roman"/>
        </w:rPr>
        <w:t xml:space="preserve">  pri výkone väčšieho objemu prác za rovnakú odmenu, keď </w:t>
      </w:r>
      <w:r w:rsidRPr="0045487E" w:rsidR="00865AB4">
        <w:rPr>
          <w:rFonts w:ascii="Times New Roman" w:hAnsi="Times New Roman"/>
        </w:rPr>
        <w:t xml:space="preserve">zamestnávateľovi nie je známa presná </w:t>
      </w:r>
      <w:r w:rsidRPr="0045487E" w:rsidR="005B3417">
        <w:rPr>
          <w:rFonts w:ascii="Times New Roman" w:hAnsi="Times New Roman"/>
        </w:rPr>
        <w:t>výška mzdy</w:t>
      </w:r>
      <w:r w:rsidRPr="0045487E" w:rsidR="00865AB4">
        <w:rPr>
          <w:rFonts w:ascii="Times New Roman" w:hAnsi="Times New Roman"/>
        </w:rPr>
        <w:t>,</w:t>
      </w:r>
      <w:r w:rsidRPr="0045487E" w:rsidR="005B3417">
        <w:rPr>
          <w:rFonts w:ascii="Times New Roman" w:hAnsi="Times New Roman"/>
        </w:rPr>
        <w:t xml:space="preserve"> napr. z dôvodu budúcej valorizácie platov</w:t>
      </w:r>
      <w:r w:rsidRPr="0045487E" w:rsidR="00865AB4">
        <w:rPr>
          <w:rFonts w:ascii="Times New Roman" w:hAnsi="Times New Roman"/>
        </w:rPr>
        <w:t xml:space="preserve"> v čase výplaty tejto mzdy. V</w:t>
      </w:r>
      <w:r w:rsidRPr="0045487E" w:rsidR="005B3417">
        <w:rPr>
          <w:rFonts w:ascii="Times New Roman" w:hAnsi="Times New Roman"/>
        </w:rPr>
        <w:t xml:space="preserve"> tomto prípade sa</w:t>
      </w:r>
      <w:r w:rsidRPr="0045487E" w:rsidR="00873912">
        <w:rPr>
          <w:rFonts w:ascii="Times New Roman" w:hAnsi="Times New Roman"/>
        </w:rPr>
        <w:t xml:space="preserve"> </w:t>
      </w:r>
      <w:r w:rsidRPr="0045487E" w:rsidR="004F774A">
        <w:rPr>
          <w:rFonts w:ascii="Times New Roman" w:hAnsi="Times New Roman"/>
        </w:rPr>
        <w:t xml:space="preserve">v účtovníctve vytvorená rezerva bude považovať za daňový výdavok. </w:t>
      </w:r>
      <w:r w:rsidRPr="0045487E" w:rsidR="00865AB4">
        <w:rPr>
          <w:rFonts w:ascii="Times New Roman" w:hAnsi="Times New Roman"/>
        </w:rPr>
        <w:t>Ak zamestnávateľ pozná presnú výšku mzdy vrátane poistného a príspevkov účtuje o záväzku voči zamestnancovi a náklad, ktorý sa k nemu vzťahuje je daňovo uznateľným v súlade s účtovníctvom.</w:t>
      </w:r>
    </w:p>
    <w:p w:rsidR="008D2DFD" w:rsidRPr="0045487E" w:rsidP="00210E92">
      <w:pPr>
        <w:shd w:val="clear" w:color="auto" w:fill="FFFFFF"/>
        <w:bidi w:val="0"/>
        <w:rPr>
          <w:rFonts w:ascii="Times New Roman" w:hAnsi="Times New Roman"/>
          <w:b/>
        </w:rPr>
      </w:pPr>
    </w:p>
    <w:p w:rsidR="00E65036" w:rsidRPr="0045487E" w:rsidP="00210E92">
      <w:pPr>
        <w:shd w:val="clear" w:color="auto" w:fill="FFFFFF"/>
        <w:bidi w:val="0"/>
        <w:rPr>
          <w:rFonts w:ascii="Times New Roman" w:hAnsi="Times New Roman"/>
        </w:rPr>
      </w:pPr>
      <w:r w:rsidRPr="0045487E" w:rsidR="00B90EEB">
        <w:rPr>
          <w:rFonts w:ascii="Times New Roman" w:hAnsi="Times New Roman"/>
          <w:b/>
        </w:rPr>
        <w:t>K bod</w:t>
      </w:r>
      <w:r w:rsidRPr="0045487E" w:rsidR="005D453E">
        <w:rPr>
          <w:rFonts w:ascii="Times New Roman" w:hAnsi="Times New Roman"/>
          <w:b/>
        </w:rPr>
        <w:t>u</w:t>
      </w:r>
      <w:r w:rsidRPr="0045487E" w:rsidR="00B90EEB">
        <w:rPr>
          <w:rFonts w:ascii="Times New Roman" w:hAnsi="Times New Roman"/>
          <w:b/>
        </w:rPr>
        <w:t xml:space="preserve"> </w:t>
      </w:r>
      <w:r w:rsidR="001F1378">
        <w:rPr>
          <w:rFonts w:ascii="Times New Roman" w:hAnsi="Times New Roman"/>
          <w:b/>
        </w:rPr>
        <w:t>47</w:t>
      </w:r>
      <w:r w:rsidRPr="0045487E" w:rsidR="00B90EEB">
        <w:rPr>
          <w:rFonts w:ascii="Times New Roman" w:hAnsi="Times New Roman"/>
          <w:b/>
        </w:rPr>
        <w:t xml:space="preserve"> </w:t>
      </w:r>
      <w:r w:rsidRPr="0045487E" w:rsidR="00BE03FB">
        <w:rPr>
          <w:rFonts w:ascii="Times New Roman" w:hAnsi="Times New Roman"/>
          <w:b/>
        </w:rPr>
        <w:t xml:space="preserve">- </w:t>
      </w:r>
      <w:r w:rsidRPr="0045487E" w:rsidR="00B90EEB">
        <w:rPr>
          <w:rFonts w:ascii="Times New Roman" w:hAnsi="Times New Roman"/>
          <w:b/>
        </w:rPr>
        <w:t xml:space="preserve"> §</w:t>
      </w:r>
      <w:r w:rsidRPr="0045487E" w:rsidR="005D453E">
        <w:rPr>
          <w:rFonts w:ascii="Times New Roman" w:hAnsi="Times New Roman"/>
          <w:b/>
        </w:rPr>
        <w:t xml:space="preserve"> 21 ods. 1 písm. h)</w:t>
      </w:r>
      <w:r w:rsidRPr="0045487E" w:rsidR="00B90EEB">
        <w:rPr>
          <w:rFonts w:ascii="Times New Roman" w:hAnsi="Times New Roman"/>
          <w:b/>
        </w:rPr>
        <w:t xml:space="preserve"> </w:t>
      </w:r>
    </w:p>
    <w:p w:rsidR="005D453E" w:rsidRPr="0045487E" w:rsidP="00210E92">
      <w:pPr>
        <w:shd w:val="clear" w:color="auto" w:fill="FFFFFF"/>
        <w:bidi w:val="0"/>
        <w:jc w:val="both"/>
        <w:rPr>
          <w:rFonts w:ascii="Times New Roman" w:hAnsi="Times New Roman"/>
        </w:rPr>
      </w:pPr>
      <w:r w:rsidRPr="0045487E">
        <w:rPr>
          <w:rFonts w:ascii="Times New Roman" w:hAnsi="Times New Roman"/>
        </w:rPr>
        <w:t>Z dôvodu zlepšenia podnikateľského prostredia a zjednodušenia orientácie daňovníkov medzi jednotlivými číselnými údajmi obsiahnutými v zákone sa zaokrúhľuje hodnota reklamného predmetu, ktorý je uznaný za daňový výdavok smerom nahor na 17 eur. Zároveň sa vymedzuje, že hodnota darčekovej reklamnej poukážky poskytnutej ako reklamný predmet sa nepovažuje za daňový výdavok.</w:t>
      </w:r>
    </w:p>
    <w:p w:rsidR="00B90EEB" w:rsidRPr="0045487E" w:rsidP="00210E92">
      <w:pPr>
        <w:shd w:val="clear" w:color="auto" w:fill="FFFFFF"/>
        <w:bidi w:val="0"/>
        <w:jc w:val="both"/>
        <w:rPr>
          <w:rFonts w:ascii="Times New Roman" w:hAnsi="Times New Roman"/>
        </w:rPr>
      </w:pPr>
    </w:p>
    <w:p w:rsidR="00E65036" w:rsidRPr="0045487E" w:rsidP="00210E92">
      <w:pPr>
        <w:shd w:val="clear" w:color="auto" w:fill="FFFFFF"/>
        <w:bidi w:val="0"/>
        <w:jc w:val="both"/>
        <w:rPr>
          <w:rFonts w:ascii="Times New Roman" w:hAnsi="Times New Roman"/>
          <w:b/>
        </w:rPr>
      </w:pPr>
      <w:r w:rsidRPr="0045487E" w:rsidR="00B90EEB">
        <w:rPr>
          <w:rFonts w:ascii="Times New Roman" w:hAnsi="Times New Roman"/>
          <w:b/>
        </w:rPr>
        <w:t xml:space="preserve">K bodu </w:t>
      </w:r>
      <w:r w:rsidR="001F1378">
        <w:rPr>
          <w:rFonts w:ascii="Times New Roman" w:hAnsi="Times New Roman"/>
          <w:b/>
        </w:rPr>
        <w:t>48</w:t>
      </w:r>
      <w:r w:rsidRPr="0045487E" w:rsidR="00B90EEB">
        <w:rPr>
          <w:rFonts w:ascii="Times New Roman" w:hAnsi="Times New Roman"/>
          <w:b/>
        </w:rPr>
        <w:t xml:space="preserve"> - § </w:t>
      </w:r>
      <w:r w:rsidRPr="0045487E" w:rsidR="005D453E">
        <w:rPr>
          <w:rFonts w:ascii="Times New Roman" w:hAnsi="Times New Roman"/>
          <w:b/>
        </w:rPr>
        <w:t>21 ods. 2 písm. m)</w:t>
      </w:r>
    </w:p>
    <w:p w:rsidR="00AA6D10" w:rsidRPr="0045487E" w:rsidP="00AA6D10">
      <w:pPr>
        <w:shd w:val="clear" w:color="auto" w:fill="FFFFFF"/>
        <w:bidi w:val="0"/>
        <w:jc w:val="both"/>
        <w:rPr>
          <w:rFonts w:ascii="Times New Roman" w:hAnsi="Times New Roman"/>
        </w:rPr>
      </w:pPr>
      <w:r w:rsidRPr="0045487E" w:rsidR="00735B83">
        <w:rPr>
          <w:rFonts w:ascii="Times New Roman" w:hAnsi="Times New Roman"/>
        </w:rPr>
        <w:t>Úprava</w:t>
      </w:r>
      <w:r w:rsidRPr="0045487E" w:rsidR="00646F72">
        <w:rPr>
          <w:rFonts w:ascii="Times New Roman" w:hAnsi="Times New Roman"/>
        </w:rPr>
        <w:t xml:space="preserve"> je vykonaná v súvislosti so zavedením zvýšenej sadzby dane vyberanej zrážkou </w:t>
      </w:r>
      <w:r w:rsidRPr="0045487E" w:rsidR="008474C5">
        <w:rPr>
          <w:rFonts w:ascii="Times New Roman" w:hAnsi="Times New Roman"/>
        </w:rPr>
        <w:t xml:space="preserve">a sadzby zabezpečenej dane </w:t>
      </w:r>
      <w:r w:rsidRPr="0045487E" w:rsidR="00646F72">
        <w:rPr>
          <w:rFonts w:ascii="Times New Roman" w:hAnsi="Times New Roman"/>
        </w:rPr>
        <w:t>v prípade platieb plynúcich daňovníkom nezmluvných štátov. V</w:t>
      </w:r>
      <w:r w:rsidRPr="0045487E" w:rsidR="005A14AC">
        <w:rPr>
          <w:rFonts w:ascii="Times New Roman" w:hAnsi="Times New Roman"/>
        </w:rPr>
        <w:t>ýdavky (náklady) platiteľa dane</w:t>
      </w:r>
      <w:r w:rsidRPr="0045487E" w:rsidR="00646F72">
        <w:rPr>
          <w:rFonts w:ascii="Times New Roman" w:hAnsi="Times New Roman"/>
        </w:rPr>
        <w:t xml:space="preserve"> vzťahujúce sa k platbám plynúcim daňovníkom nezmluvných štátov</w:t>
      </w:r>
      <w:r w:rsidRPr="0045487E" w:rsidR="00223730">
        <w:rPr>
          <w:rFonts w:ascii="Times New Roman" w:hAnsi="Times New Roman"/>
        </w:rPr>
        <w:t>,</w:t>
      </w:r>
      <w:r w:rsidRPr="0045487E" w:rsidR="00646F72">
        <w:rPr>
          <w:rFonts w:ascii="Times New Roman" w:hAnsi="Times New Roman"/>
        </w:rPr>
        <w:t xml:space="preserve"> aj keď sú podľa ustanovení zákona daňovým výdavkom, nebudú považované za daňový výdavok za</w:t>
      </w:r>
      <w:r w:rsidRPr="0045487E" w:rsidR="005A14AC">
        <w:rPr>
          <w:rFonts w:ascii="Times New Roman" w:hAnsi="Times New Roman"/>
        </w:rPr>
        <w:t xml:space="preserve"> predpokladu, že platiteľ dane</w:t>
      </w:r>
      <w:r w:rsidRPr="0045487E" w:rsidR="00646F72">
        <w:rPr>
          <w:rFonts w:ascii="Times New Roman" w:hAnsi="Times New Roman"/>
        </w:rPr>
        <w:t xml:space="preserve"> si nesplní oznamovaciu povinnosť o zrazení a odvedení dane vyberanej zrážkou, resp. o zabezpečenej dani </w:t>
      </w:r>
      <w:r w:rsidRPr="0045487E" w:rsidR="005A14AC">
        <w:rPr>
          <w:rFonts w:ascii="Times New Roman" w:hAnsi="Times New Roman"/>
        </w:rPr>
        <w:t>s</w:t>
      </w:r>
      <w:r w:rsidRPr="0045487E" w:rsidR="00646F72">
        <w:rPr>
          <w:rFonts w:ascii="Times New Roman" w:hAnsi="Times New Roman"/>
        </w:rPr>
        <w:t xml:space="preserve">právcovi dane. </w:t>
      </w:r>
      <w:r w:rsidRPr="0045487E">
        <w:rPr>
          <w:rFonts w:ascii="Times New Roman" w:hAnsi="Times New Roman"/>
        </w:rPr>
        <w:t>Tieto výdavky musia rovnako spĺňať aj všeobecné podmienky daňovej uznateľnosti výdavkov.</w:t>
      </w:r>
    </w:p>
    <w:p w:rsidR="005D453E" w:rsidRPr="0045487E" w:rsidP="00210E92">
      <w:pPr>
        <w:shd w:val="clear" w:color="auto" w:fill="FFFFFF"/>
        <w:bidi w:val="0"/>
        <w:jc w:val="both"/>
        <w:rPr>
          <w:rFonts w:ascii="Times New Roman" w:hAnsi="Times New Roman"/>
        </w:rPr>
      </w:pPr>
    </w:p>
    <w:p w:rsidR="00A577B3"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49</w:t>
      </w:r>
      <w:r w:rsidRPr="0045487E">
        <w:rPr>
          <w:rFonts w:ascii="Times New Roman" w:hAnsi="Times New Roman"/>
          <w:b/>
        </w:rPr>
        <w:t xml:space="preserve"> - § 25 ods. 3</w:t>
      </w:r>
    </w:p>
    <w:p w:rsidR="00A577B3" w:rsidRPr="0045487E" w:rsidP="00210E92">
      <w:pPr>
        <w:shd w:val="clear" w:color="auto" w:fill="FFFFFF"/>
        <w:bidi w:val="0"/>
        <w:jc w:val="both"/>
        <w:rPr>
          <w:rFonts w:ascii="Times New Roman" w:hAnsi="Times New Roman"/>
        </w:rPr>
      </w:pPr>
      <w:r w:rsidRPr="0045487E">
        <w:rPr>
          <w:rFonts w:ascii="Times New Roman" w:hAnsi="Times New Roman"/>
        </w:rPr>
        <w:t xml:space="preserve">V prípade predčasného odkúpenia predmetu nájmu sa zostatková cena zvýši o kladný rozdiel už uplatnených odpisov podľa § 26 ods. 8 a odpisov, ktoré by daňovník uplatnil ako vlastník podľa § 27, pričom ďalej daňovník pokračuje v odpisovaní podľa § 27 ako v ďalších rokoch odpisovania. </w:t>
      </w:r>
    </w:p>
    <w:p w:rsidR="00A577B3" w:rsidRPr="0045487E" w:rsidP="00210E92">
      <w:pPr>
        <w:shd w:val="clear" w:color="auto" w:fill="FFFFFF"/>
        <w:bidi w:val="0"/>
        <w:jc w:val="both"/>
        <w:rPr>
          <w:rFonts w:ascii="Times New Roman" w:hAnsi="Times New Roman"/>
        </w:rPr>
      </w:pPr>
    </w:p>
    <w:p w:rsidR="00325560" w:rsidRPr="0045487E" w:rsidP="00210E92">
      <w:pPr>
        <w:shd w:val="clear" w:color="auto" w:fill="FFFFFF"/>
        <w:bidi w:val="0"/>
        <w:rPr>
          <w:rFonts w:ascii="Times New Roman" w:hAnsi="Times New Roman"/>
          <w:b/>
        </w:rPr>
      </w:pPr>
      <w:r w:rsidRPr="0045487E" w:rsidR="0040303F">
        <w:rPr>
          <w:rFonts w:ascii="Times New Roman" w:hAnsi="Times New Roman"/>
          <w:b/>
        </w:rPr>
        <w:t xml:space="preserve">K bodu </w:t>
      </w:r>
      <w:r w:rsidR="001F1378">
        <w:rPr>
          <w:rFonts w:ascii="Times New Roman" w:hAnsi="Times New Roman"/>
          <w:b/>
        </w:rPr>
        <w:t>50</w:t>
      </w:r>
      <w:r w:rsidRPr="0045487E" w:rsidR="00E90D1C">
        <w:rPr>
          <w:rFonts w:ascii="Times New Roman" w:hAnsi="Times New Roman"/>
          <w:b/>
        </w:rPr>
        <w:t xml:space="preserve"> </w:t>
      </w:r>
      <w:r w:rsidRPr="0045487E">
        <w:rPr>
          <w:rFonts w:ascii="Times New Roman" w:hAnsi="Times New Roman"/>
          <w:b/>
        </w:rPr>
        <w:t xml:space="preserve">- § </w:t>
      </w:r>
      <w:r w:rsidRPr="0045487E" w:rsidR="00860707">
        <w:rPr>
          <w:rFonts w:ascii="Times New Roman" w:hAnsi="Times New Roman"/>
          <w:b/>
        </w:rPr>
        <w:t>31 ods. 2</w:t>
      </w:r>
    </w:p>
    <w:p w:rsidR="009714CA" w:rsidRPr="0045487E" w:rsidP="009714CA">
      <w:pPr>
        <w:shd w:val="clear" w:color="auto" w:fill="FFFFFF"/>
        <w:bidi w:val="0"/>
        <w:jc w:val="both"/>
        <w:rPr>
          <w:rFonts w:ascii="Times New Roman" w:hAnsi="Times New Roman"/>
        </w:rPr>
      </w:pPr>
      <w:r w:rsidRPr="0045487E">
        <w:rPr>
          <w:rFonts w:ascii="Times New Roman" w:hAnsi="Times New Roman"/>
        </w:rPr>
        <w:t xml:space="preserve">Dopĺňa sa chýbajúci postup stanovenia kurzu pri prepočte výdavkov u daňovníkov, ktorí nie sú účtovnou jednotkou. V súčasnosti ustanovenie rieši len prepočet príjmov. </w:t>
      </w:r>
    </w:p>
    <w:p w:rsidR="009714CA" w:rsidRPr="0045487E" w:rsidP="009714CA">
      <w:pPr>
        <w:shd w:val="clear" w:color="auto" w:fill="FFFFFF"/>
        <w:bidi w:val="0"/>
        <w:jc w:val="both"/>
        <w:rPr>
          <w:rFonts w:ascii="Times New Roman" w:hAnsi="Times New Roman"/>
        </w:rPr>
      </w:pPr>
      <w:r w:rsidRPr="0045487E">
        <w:rPr>
          <w:rFonts w:ascii="Times New Roman" w:hAnsi="Times New Roman"/>
        </w:rPr>
        <w:t>Podľa navrhovaného znenia daňovník, ktorý nie je účtovnou jednotkou, použije na prepočet výdavkov</w:t>
      </w:r>
    </w:p>
    <w:p w:rsidR="009714CA" w:rsidRPr="0045487E" w:rsidP="009714CA">
      <w:pPr>
        <w:pStyle w:val="ListParagraph"/>
        <w:numPr>
          <w:numId w:val="21"/>
        </w:numPr>
        <w:shd w:val="clear" w:color="auto" w:fill="FFFFFF"/>
        <w:bidi w:val="0"/>
        <w:spacing w:after="0" w:line="240" w:lineRule="auto"/>
        <w:contextualSpacing w:val="0"/>
        <w:jc w:val="both"/>
        <w:rPr>
          <w:rFonts w:ascii="Times New Roman" w:hAnsi="Times New Roman"/>
          <w:sz w:val="24"/>
          <w:szCs w:val="24"/>
        </w:rPr>
      </w:pPr>
      <w:r w:rsidRPr="0045487E">
        <w:rPr>
          <w:rFonts w:ascii="Times New Roman" w:hAnsi="Times New Roman"/>
          <w:sz w:val="24"/>
          <w:szCs w:val="24"/>
        </w:rPr>
        <w:t>priemerný kurz za kalendárny mesiac, v ktorom bol výdavok vynaložený alebo</w:t>
      </w:r>
    </w:p>
    <w:p w:rsidR="009714CA" w:rsidRPr="0045487E" w:rsidP="009714CA">
      <w:pPr>
        <w:pStyle w:val="ListParagraph"/>
        <w:numPr>
          <w:numId w:val="21"/>
        </w:numPr>
        <w:shd w:val="clear" w:color="auto" w:fill="FFFFFF"/>
        <w:bidi w:val="0"/>
        <w:spacing w:after="0" w:line="240" w:lineRule="auto"/>
        <w:contextualSpacing w:val="0"/>
        <w:jc w:val="both"/>
        <w:rPr>
          <w:rFonts w:ascii="Times New Roman" w:hAnsi="Times New Roman"/>
          <w:sz w:val="24"/>
          <w:szCs w:val="24"/>
        </w:rPr>
      </w:pPr>
      <w:r w:rsidRPr="0045487E">
        <w:rPr>
          <w:rFonts w:ascii="Times New Roman" w:hAnsi="Times New Roman"/>
          <w:sz w:val="24"/>
          <w:szCs w:val="24"/>
        </w:rPr>
        <w:t>kurz platný v deň, v ktorom bol vynaložený v cudzej mene alebo odpísaný bankou alebo pobočkou zahraničnej banky alebo</w:t>
      </w:r>
    </w:p>
    <w:p w:rsidR="009714CA" w:rsidRPr="0045487E" w:rsidP="009714CA">
      <w:pPr>
        <w:pStyle w:val="ListParagraph"/>
        <w:numPr>
          <w:numId w:val="21"/>
        </w:numPr>
        <w:shd w:val="clear" w:color="auto" w:fill="FFFFFF"/>
        <w:bidi w:val="0"/>
        <w:spacing w:after="0" w:line="240" w:lineRule="auto"/>
        <w:contextualSpacing w:val="0"/>
        <w:jc w:val="both"/>
        <w:rPr>
          <w:rFonts w:ascii="Times New Roman" w:hAnsi="Times New Roman"/>
          <w:sz w:val="24"/>
          <w:szCs w:val="24"/>
        </w:rPr>
      </w:pPr>
      <w:r w:rsidRPr="0045487E">
        <w:rPr>
          <w:rFonts w:ascii="Times New Roman" w:hAnsi="Times New Roman"/>
          <w:sz w:val="24"/>
          <w:szCs w:val="24"/>
        </w:rPr>
        <w:t>ročný priemerný kurz za zdaňovacie obdobie, v ktorom bol vynaložený alebo</w:t>
      </w:r>
    </w:p>
    <w:p w:rsidR="009714CA" w:rsidRPr="0045487E" w:rsidP="009714CA">
      <w:pPr>
        <w:pStyle w:val="ListParagraph"/>
        <w:numPr>
          <w:numId w:val="21"/>
        </w:numPr>
        <w:shd w:val="clear" w:color="auto" w:fill="FFFFFF"/>
        <w:bidi w:val="0"/>
        <w:spacing w:after="0" w:line="240" w:lineRule="auto"/>
        <w:contextualSpacing w:val="0"/>
        <w:jc w:val="both"/>
        <w:rPr>
          <w:rFonts w:ascii="Times New Roman" w:hAnsi="Times New Roman"/>
          <w:sz w:val="24"/>
          <w:szCs w:val="24"/>
        </w:rPr>
      </w:pPr>
      <w:r w:rsidRPr="0045487E">
        <w:rPr>
          <w:rFonts w:ascii="Times New Roman" w:hAnsi="Times New Roman"/>
          <w:sz w:val="24"/>
          <w:szCs w:val="24"/>
        </w:rPr>
        <w:t xml:space="preserve">priemer z priemerných mesačných kurzov za kalendárne mesiace, v ktorých boli výdavky vynaložené. </w:t>
      </w:r>
    </w:p>
    <w:p w:rsidR="009714CA" w:rsidRPr="0045487E" w:rsidP="009714CA">
      <w:pPr>
        <w:shd w:val="clear" w:color="auto" w:fill="FFFFFF"/>
        <w:bidi w:val="0"/>
        <w:jc w:val="both"/>
        <w:rPr>
          <w:rFonts w:ascii="Times New Roman" w:hAnsi="Times New Roman"/>
        </w:rPr>
      </w:pPr>
      <w:r w:rsidRPr="0045487E">
        <w:rPr>
          <w:rFonts w:ascii="Times New Roman" w:hAnsi="Times New Roman"/>
        </w:rPr>
        <w:t>Zároveň sa umožňuje všetkým daňovníkom rovnako využiť stanovenie možnosti prepočtu príjmov, teda aj tým, ktorí poberajú príjem zo zdrojov na území Slovenskej republiky, avšak je im vyplácaný v cudzej mene.</w:t>
      </w:r>
    </w:p>
    <w:p w:rsidR="00325560" w:rsidRPr="0045487E" w:rsidP="00210E92">
      <w:pPr>
        <w:shd w:val="clear" w:color="auto" w:fill="FFFFFF"/>
        <w:bidi w:val="0"/>
        <w:rPr>
          <w:rFonts w:ascii="Times New Roman" w:hAnsi="Times New Roman"/>
          <w:b/>
        </w:rPr>
      </w:pPr>
    </w:p>
    <w:p w:rsidR="006C0675" w:rsidRPr="0045487E" w:rsidP="00210E92">
      <w:pPr>
        <w:shd w:val="clear" w:color="auto" w:fill="FFFFFF"/>
        <w:bidi w:val="0"/>
        <w:jc w:val="both"/>
        <w:rPr>
          <w:rFonts w:ascii="Times New Roman" w:hAnsi="Times New Roman"/>
          <w:b/>
        </w:rPr>
      </w:pPr>
      <w:r w:rsidRPr="0045487E" w:rsidR="0040303F">
        <w:rPr>
          <w:rFonts w:ascii="Times New Roman" w:hAnsi="Times New Roman"/>
          <w:b/>
        </w:rPr>
        <w:t xml:space="preserve">K bodu </w:t>
      </w:r>
      <w:r w:rsidR="001F1378">
        <w:rPr>
          <w:rFonts w:ascii="Times New Roman" w:hAnsi="Times New Roman"/>
          <w:b/>
        </w:rPr>
        <w:t>52</w:t>
      </w:r>
      <w:r w:rsidRPr="0045487E">
        <w:rPr>
          <w:rFonts w:ascii="Times New Roman" w:hAnsi="Times New Roman"/>
          <w:b/>
        </w:rPr>
        <w:t xml:space="preserve"> - § </w:t>
      </w:r>
      <w:r w:rsidRPr="0045487E" w:rsidR="00654F52">
        <w:rPr>
          <w:rFonts w:ascii="Times New Roman" w:hAnsi="Times New Roman"/>
          <w:b/>
        </w:rPr>
        <w:t>34 ods. 5 a § 42 ods. 9</w:t>
      </w:r>
    </w:p>
    <w:p w:rsidR="00116DD5" w:rsidRPr="0045487E" w:rsidP="00210E92">
      <w:pPr>
        <w:shd w:val="clear" w:color="auto" w:fill="FFFFFF"/>
        <w:bidi w:val="0"/>
        <w:jc w:val="both"/>
        <w:rPr>
          <w:rFonts w:ascii="Times New Roman" w:hAnsi="Times New Roman"/>
        </w:rPr>
      </w:pPr>
      <w:r w:rsidRPr="0045487E">
        <w:rPr>
          <w:rFonts w:ascii="Times New Roman" w:hAnsi="Times New Roman"/>
        </w:rPr>
        <w:t>Navrhovaná úprava spresňuje prípady, kedy daňovníkovi po prepočítaní preddavkov po podaní daňového priznania na preddavkové obdobie v prípade fyzických osôb alebo zdaňovacie obdobie v prípade právnických osôb vznikne preplatok a daňovník požiada o ich vrátenie. V takýchto prípadoch správca dane na žiadosť daňovníka preddavky vráti avšak v prvom rade sa tento použije v súlade s § 79 daňového poriadku na úhradu exekučných nákladov a hotových výdavkov, inak na úhradu jeho daňového nedoplatku, splatného preddavku na daň, nedoplatku na cle a nedoplatku na iných platbách s najstarším dátumom splatnosti v čase prijatia platby (postupnosť prednostných úhrad je uvedená v § 55 ods. 6 a 7 daňového poriadku) a až potom vráti správca dane daňový preplatok.</w:t>
      </w:r>
    </w:p>
    <w:p w:rsidR="002710E2" w:rsidRPr="0045487E" w:rsidP="00210E92">
      <w:pPr>
        <w:shd w:val="clear" w:color="auto" w:fill="FFFFFF"/>
        <w:bidi w:val="0"/>
        <w:jc w:val="both"/>
        <w:rPr>
          <w:rFonts w:ascii="Times New Roman" w:hAnsi="Times New Roman"/>
        </w:rPr>
      </w:pPr>
    </w:p>
    <w:p w:rsidR="006C0675" w:rsidRPr="0045487E" w:rsidP="00210E92">
      <w:pPr>
        <w:shd w:val="clear" w:color="auto" w:fill="FFFFFF"/>
        <w:bidi w:val="0"/>
        <w:jc w:val="both"/>
        <w:rPr>
          <w:rFonts w:ascii="Times New Roman" w:hAnsi="Times New Roman"/>
          <w:b/>
        </w:rPr>
      </w:pPr>
      <w:r w:rsidRPr="0045487E" w:rsidR="00BE03FB">
        <w:rPr>
          <w:rFonts w:ascii="Times New Roman" w:hAnsi="Times New Roman"/>
          <w:b/>
        </w:rPr>
        <w:t xml:space="preserve">K bodu </w:t>
      </w:r>
      <w:r w:rsidR="001F1378">
        <w:rPr>
          <w:rFonts w:ascii="Times New Roman" w:hAnsi="Times New Roman"/>
          <w:b/>
        </w:rPr>
        <w:t>53</w:t>
      </w:r>
      <w:r w:rsidRPr="0045487E" w:rsidR="00BE03FB">
        <w:rPr>
          <w:rFonts w:ascii="Times New Roman" w:hAnsi="Times New Roman"/>
          <w:b/>
        </w:rPr>
        <w:t xml:space="preserve"> - </w:t>
      </w:r>
      <w:r w:rsidRPr="0045487E" w:rsidR="002710E2">
        <w:rPr>
          <w:rFonts w:ascii="Times New Roman" w:hAnsi="Times New Roman"/>
          <w:b/>
        </w:rPr>
        <w:t xml:space="preserve">§ </w:t>
      </w:r>
      <w:r w:rsidRPr="0045487E" w:rsidR="00654F52">
        <w:rPr>
          <w:rFonts w:ascii="Times New Roman" w:hAnsi="Times New Roman"/>
          <w:b/>
        </w:rPr>
        <w:t>34 ods. 8</w:t>
      </w:r>
    </w:p>
    <w:p w:rsidR="009714CA" w:rsidRPr="0045487E" w:rsidP="009714CA">
      <w:pPr>
        <w:shd w:val="clear" w:color="auto" w:fill="FFFFFF"/>
        <w:bidi w:val="0"/>
        <w:jc w:val="both"/>
        <w:rPr>
          <w:rFonts w:ascii="Times New Roman" w:hAnsi="Times New Roman"/>
        </w:rPr>
      </w:pPr>
      <w:r w:rsidRPr="0045487E">
        <w:rPr>
          <w:rFonts w:ascii="Times New Roman" w:hAnsi="Times New Roman"/>
        </w:rPr>
        <w:t>Navrhovanou úpravou sa ruší povinnosť daňovníka oznamovať skončenie výkonu podnikania,  inej samostatnej zárobkovej činnosti  a  prenájmu a výkon zo závislej činnosti, z ktorej vyplácaných príjmov sa platia preddavky na daň podľa § 34 ods. 6 a 7 zákona správcovi dane.</w:t>
      </w:r>
      <w:r w:rsidRPr="0045487E" w:rsidR="00735B83">
        <w:rPr>
          <w:rFonts w:ascii="Times New Roman" w:hAnsi="Times New Roman"/>
        </w:rPr>
        <w:t xml:space="preserve"> Oznamovacia povinnosť sa ponecháva len daňovníkom s príjmami z použitia diela a použitia umeleckého výkonu podľa § 6 ods. 4 zákona. </w:t>
      </w:r>
      <w:r w:rsidRPr="0045487E">
        <w:rPr>
          <w:rFonts w:ascii="Times New Roman" w:hAnsi="Times New Roman"/>
        </w:rPr>
        <w:t>Návrh je jedným z opatrení zníženia administratívnej náročnosti. Správca dane sa o skutočnosti skončenia podnikania,  inej samostatnej zárobkovej činnosti  a prenájmu, ktorá má vplyv aj na skončenie platenia preddavkov v súlade s § 34 ods. 8 dozvie zrušením registrácie daňovníka. V prípade, ak má viacero týchto činností, skončením len jednej z nich mu nezanikne povinnosť platenia preddavkov z nich ale v prípade, ak by skončením jednej z činností mal daňovník nižšie zdaniteľné príjmy a chcel by platiť nižšie preddavky, má možnosť uplatniť si  inštitút platenie preddavkov inak podľa § 34 ods. 4 zákona.</w:t>
      </w:r>
    </w:p>
    <w:p w:rsidR="009714CA" w:rsidRPr="0045487E" w:rsidP="009714CA">
      <w:pPr>
        <w:shd w:val="clear" w:color="auto" w:fill="FFFFFF"/>
        <w:bidi w:val="0"/>
        <w:jc w:val="both"/>
        <w:rPr>
          <w:rFonts w:ascii="Times New Roman" w:hAnsi="Times New Roman"/>
        </w:rPr>
      </w:pPr>
    </w:p>
    <w:p w:rsidR="009714CA" w:rsidRPr="0045487E" w:rsidP="009714CA">
      <w:pPr>
        <w:shd w:val="clear" w:color="auto" w:fill="FFFFFF"/>
        <w:bidi w:val="0"/>
        <w:jc w:val="both"/>
        <w:rPr>
          <w:rFonts w:ascii="Times New Roman" w:hAnsi="Times New Roman"/>
        </w:rPr>
      </w:pPr>
      <w:r w:rsidRPr="0045487E">
        <w:rPr>
          <w:rFonts w:ascii="Times New Roman" w:hAnsi="Times New Roman"/>
        </w:rPr>
        <w:t xml:space="preserve">Zároveň sa ustanovenie spresňuje aj pre prípady skončenia poberania príjmov z použitia diela a z umeleckej činnosti, pričom v takýchto prípadoch bude musieť daňovník oznamovať skončenie poberania uvedených príjmov správcovi dane, vzhľadom na skutočnosť, že poberanie len takýchto príjmov nezakladá vznik povinnosti registrácie a preto správca dane ani nemá vedomosť o skončení poberania týchto príjmov. Uvedeným oznámením sa predíde zbytočným výzvam resp. sankčným postihom zo strany správcu dane. </w:t>
      </w:r>
    </w:p>
    <w:p w:rsidR="002710E2" w:rsidRPr="0045487E" w:rsidP="00210E92">
      <w:pPr>
        <w:shd w:val="clear" w:color="auto" w:fill="FFFFFF"/>
        <w:bidi w:val="0"/>
        <w:jc w:val="both"/>
        <w:rPr>
          <w:rFonts w:ascii="Times New Roman" w:hAnsi="Times New Roman"/>
        </w:rPr>
      </w:pPr>
    </w:p>
    <w:p w:rsidR="00F96EC2"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bodom </w:t>
      </w:r>
      <w:r w:rsidRPr="0045487E" w:rsidR="00D317F3">
        <w:rPr>
          <w:rFonts w:ascii="Times New Roman" w:hAnsi="Times New Roman"/>
          <w:b/>
        </w:rPr>
        <w:t>5</w:t>
      </w:r>
      <w:r w:rsidR="001F1378">
        <w:rPr>
          <w:rFonts w:ascii="Times New Roman" w:hAnsi="Times New Roman"/>
          <w:b/>
        </w:rPr>
        <w:t>4</w:t>
      </w:r>
      <w:r w:rsidRPr="0045487E">
        <w:rPr>
          <w:rFonts w:ascii="Times New Roman" w:hAnsi="Times New Roman"/>
          <w:b/>
        </w:rPr>
        <w:t xml:space="preserve"> a </w:t>
      </w:r>
      <w:r w:rsidRPr="0045487E" w:rsidR="00D317F3">
        <w:rPr>
          <w:rFonts w:ascii="Times New Roman" w:hAnsi="Times New Roman"/>
          <w:b/>
        </w:rPr>
        <w:t>6</w:t>
      </w:r>
      <w:r w:rsidR="001F1378">
        <w:rPr>
          <w:rFonts w:ascii="Times New Roman" w:hAnsi="Times New Roman"/>
          <w:b/>
        </w:rPr>
        <w:t>0</w:t>
      </w:r>
      <w:r w:rsidRPr="0045487E">
        <w:rPr>
          <w:rFonts w:ascii="Times New Roman" w:hAnsi="Times New Roman"/>
          <w:b/>
        </w:rPr>
        <w:t xml:space="preserve"> - § 36 ods. 6 a § 39 ods. 5</w:t>
      </w:r>
    </w:p>
    <w:p w:rsidR="00F96EC2" w:rsidRPr="0045487E" w:rsidP="00F96EC2">
      <w:pPr>
        <w:shd w:val="clear" w:color="auto" w:fill="FFFFFF"/>
        <w:bidi w:val="0"/>
        <w:rPr>
          <w:rFonts w:ascii="Times New Roman" w:hAnsi="Times New Roman"/>
        </w:rPr>
      </w:pPr>
      <w:r w:rsidRPr="0045487E">
        <w:rPr>
          <w:rFonts w:ascii="Times New Roman" w:hAnsi="Times New Roman"/>
        </w:rPr>
        <w:t>Vzory uvedených tlačív bude povinne vydávať finančné riaditeľstvo.</w:t>
      </w:r>
    </w:p>
    <w:p w:rsidR="00C97AEF" w:rsidRPr="0045487E" w:rsidP="00210E92">
      <w:pPr>
        <w:shd w:val="clear" w:color="auto" w:fill="FFFFFF"/>
        <w:bidi w:val="0"/>
        <w:jc w:val="both"/>
        <w:rPr>
          <w:rFonts w:ascii="Times New Roman" w:hAnsi="Times New Roman"/>
          <w:b/>
        </w:rPr>
      </w:pPr>
    </w:p>
    <w:p w:rsidR="00E6356F" w:rsidRPr="0045487E" w:rsidP="00210E92">
      <w:pPr>
        <w:shd w:val="clear" w:color="auto" w:fill="FFFFFF"/>
        <w:bidi w:val="0"/>
        <w:rPr>
          <w:rFonts w:ascii="Times New Roman" w:hAnsi="Times New Roman"/>
          <w:b/>
        </w:rPr>
      </w:pPr>
      <w:r w:rsidRPr="0045487E">
        <w:rPr>
          <w:rFonts w:ascii="Times New Roman" w:hAnsi="Times New Roman"/>
          <w:b/>
        </w:rPr>
        <w:t xml:space="preserve">K bodom </w:t>
      </w:r>
      <w:r w:rsidR="001F1378">
        <w:rPr>
          <w:rFonts w:ascii="Times New Roman" w:hAnsi="Times New Roman"/>
          <w:b/>
        </w:rPr>
        <w:t>55</w:t>
      </w:r>
      <w:r w:rsidRPr="0045487E" w:rsidR="00A04E03">
        <w:rPr>
          <w:rFonts w:ascii="Times New Roman" w:hAnsi="Times New Roman"/>
          <w:b/>
        </w:rPr>
        <w:t xml:space="preserve">, </w:t>
      </w:r>
      <w:r w:rsidRPr="0045487E" w:rsidR="00A406D8">
        <w:rPr>
          <w:rFonts w:ascii="Times New Roman" w:hAnsi="Times New Roman"/>
          <w:b/>
        </w:rPr>
        <w:t>5</w:t>
      </w:r>
      <w:r w:rsidR="001F1378">
        <w:rPr>
          <w:rFonts w:ascii="Times New Roman" w:hAnsi="Times New Roman"/>
          <w:b/>
        </w:rPr>
        <w:t>6</w:t>
      </w:r>
      <w:r w:rsidRPr="0045487E" w:rsidR="00A406D8">
        <w:rPr>
          <w:rFonts w:ascii="Times New Roman" w:hAnsi="Times New Roman"/>
          <w:b/>
        </w:rPr>
        <w:t>,</w:t>
      </w:r>
      <w:r w:rsidR="006A7BE2">
        <w:rPr>
          <w:rFonts w:ascii="Times New Roman" w:hAnsi="Times New Roman"/>
          <w:b/>
        </w:rPr>
        <w:t xml:space="preserve"> </w:t>
      </w:r>
      <w:r w:rsidRPr="0045487E" w:rsidR="00D317F3">
        <w:rPr>
          <w:rFonts w:ascii="Times New Roman" w:hAnsi="Times New Roman"/>
          <w:b/>
        </w:rPr>
        <w:t>5</w:t>
      </w:r>
      <w:r w:rsidR="001F1378">
        <w:rPr>
          <w:rFonts w:ascii="Times New Roman" w:hAnsi="Times New Roman"/>
          <w:b/>
        </w:rPr>
        <w:t>7</w:t>
      </w:r>
      <w:r w:rsidRPr="0045487E" w:rsidR="00D317F3">
        <w:rPr>
          <w:rFonts w:ascii="Times New Roman" w:hAnsi="Times New Roman"/>
          <w:b/>
        </w:rPr>
        <w:t>,</w:t>
      </w:r>
      <w:r w:rsidRPr="0045487E" w:rsidR="00A406D8">
        <w:rPr>
          <w:rFonts w:ascii="Times New Roman" w:hAnsi="Times New Roman"/>
          <w:b/>
        </w:rPr>
        <w:t xml:space="preserve"> </w:t>
      </w:r>
      <w:r w:rsidRPr="0045487E" w:rsidR="00D317F3">
        <w:rPr>
          <w:rFonts w:ascii="Times New Roman" w:hAnsi="Times New Roman"/>
          <w:b/>
        </w:rPr>
        <w:t>6</w:t>
      </w:r>
      <w:r w:rsidR="001F1378">
        <w:rPr>
          <w:rFonts w:ascii="Times New Roman" w:hAnsi="Times New Roman"/>
          <w:b/>
        </w:rPr>
        <w:t>2</w:t>
      </w:r>
      <w:r w:rsidRPr="0045487E" w:rsidR="00D317F3">
        <w:rPr>
          <w:rFonts w:ascii="Times New Roman" w:hAnsi="Times New Roman"/>
          <w:b/>
        </w:rPr>
        <w:t>, 6</w:t>
      </w:r>
      <w:r w:rsidR="001F1378">
        <w:rPr>
          <w:rFonts w:ascii="Times New Roman" w:hAnsi="Times New Roman"/>
          <w:b/>
        </w:rPr>
        <w:t>3</w:t>
      </w:r>
      <w:r w:rsidRPr="0045487E" w:rsidR="00D317F3">
        <w:rPr>
          <w:rFonts w:ascii="Times New Roman" w:hAnsi="Times New Roman"/>
          <w:b/>
        </w:rPr>
        <w:t>, 9</w:t>
      </w:r>
      <w:r w:rsidR="006A7BE2">
        <w:rPr>
          <w:rFonts w:ascii="Times New Roman" w:hAnsi="Times New Roman"/>
          <w:b/>
        </w:rPr>
        <w:t>2</w:t>
      </w:r>
      <w:r w:rsidRPr="0045487E" w:rsidR="00D317F3">
        <w:rPr>
          <w:rFonts w:ascii="Times New Roman" w:hAnsi="Times New Roman"/>
          <w:b/>
        </w:rPr>
        <w:t>, 9</w:t>
      </w:r>
      <w:r w:rsidR="006A7BE2">
        <w:rPr>
          <w:rFonts w:ascii="Times New Roman" w:hAnsi="Times New Roman"/>
          <w:b/>
        </w:rPr>
        <w:t>3</w:t>
      </w:r>
      <w:r w:rsidRPr="0045487E" w:rsidR="00D317F3">
        <w:rPr>
          <w:rFonts w:ascii="Times New Roman" w:hAnsi="Times New Roman"/>
          <w:b/>
        </w:rPr>
        <w:t>, 9</w:t>
      </w:r>
      <w:r w:rsidR="006A7BE2">
        <w:rPr>
          <w:rFonts w:ascii="Times New Roman" w:hAnsi="Times New Roman"/>
          <w:b/>
        </w:rPr>
        <w:t>4</w:t>
      </w:r>
      <w:r w:rsidR="001F1378">
        <w:rPr>
          <w:rFonts w:ascii="Times New Roman" w:hAnsi="Times New Roman"/>
          <w:b/>
        </w:rPr>
        <w:t>5</w:t>
      </w:r>
      <w:r w:rsidRPr="0045487E" w:rsidR="00A406D8">
        <w:rPr>
          <w:rFonts w:ascii="Times New Roman" w:hAnsi="Times New Roman"/>
          <w:b/>
        </w:rPr>
        <w:t xml:space="preserve"> </w:t>
      </w:r>
      <w:r w:rsidRPr="0045487E" w:rsidR="00A04E03">
        <w:rPr>
          <w:rFonts w:ascii="Times New Roman" w:hAnsi="Times New Roman"/>
          <w:b/>
        </w:rPr>
        <w:t xml:space="preserve">a </w:t>
      </w:r>
      <w:r w:rsidRPr="0045487E" w:rsidR="00D317F3">
        <w:rPr>
          <w:rFonts w:ascii="Times New Roman" w:hAnsi="Times New Roman"/>
          <w:b/>
        </w:rPr>
        <w:t>9</w:t>
      </w:r>
      <w:r w:rsidR="006A7BE2">
        <w:rPr>
          <w:rFonts w:ascii="Times New Roman" w:hAnsi="Times New Roman"/>
          <w:b/>
        </w:rPr>
        <w:t>6</w:t>
      </w:r>
      <w:r w:rsidRPr="0045487E">
        <w:rPr>
          <w:rFonts w:ascii="Times New Roman" w:hAnsi="Times New Roman"/>
          <w:b/>
        </w:rPr>
        <w:t xml:space="preserve"> -</w:t>
      </w:r>
      <w:r w:rsidRPr="0045487E" w:rsidR="00474FD9">
        <w:rPr>
          <w:rFonts w:ascii="Times New Roman" w:hAnsi="Times New Roman"/>
          <w:b/>
        </w:rPr>
        <w:t xml:space="preserve"> § 38 ods. 1, 2 a</w:t>
      </w:r>
      <w:r w:rsidRPr="0045487E" w:rsidR="00D317F3">
        <w:rPr>
          <w:rFonts w:ascii="Times New Roman" w:hAnsi="Times New Roman"/>
          <w:b/>
        </w:rPr>
        <w:t> </w:t>
      </w:r>
      <w:r w:rsidRPr="0045487E" w:rsidR="00474FD9">
        <w:rPr>
          <w:rFonts w:ascii="Times New Roman" w:hAnsi="Times New Roman"/>
          <w:b/>
        </w:rPr>
        <w:t>3</w:t>
      </w:r>
      <w:r w:rsidRPr="0045487E" w:rsidR="00D317F3">
        <w:rPr>
          <w:rFonts w:ascii="Times New Roman" w:hAnsi="Times New Roman"/>
          <w:b/>
        </w:rPr>
        <w:t>,</w:t>
      </w:r>
      <w:r w:rsidRPr="0045487E">
        <w:rPr>
          <w:rFonts w:ascii="Times New Roman" w:hAnsi="Times New Roman"/>
          <w:b/>
        </w:rPr>
        <w:t xml:space="preserve"> § 39 ods. 7, § 39 ods. 9 písm. b), § 50 ods. 1 písm. a)</w:t>
      </w:r>
      <w:r w:rsidRPr="0045487E" w:rsidR="00167EAA">
        <w:rPr>
          <w:rFonts w:ascii="Times New Roman" w:hAnsi="Times New Roman"/>
          <w:b/>
        </w:rPr>
        <w:t>, ods. 2 a 3</w:t>
      </w:r>
      <w:r w:rsidRPr="0045487E" w:rsidR="00430DF6">
        <w:rPr>
          <w:rFonts w:ascii="Times New Roman" w:hAnsi="Times New Roman"/>
          <w:b/>
        </w:rPr>
        <w:t xml:space="preserve"> a § 50 ods. 6 písm. </w:t>
      </w:r>
      <w:r w:rsidRPr="0045487E" w:rsidR="007B0C4C">
        <w:rPr>
          <w:rFonts w:ascii="Times New Roman" w:hAnsi="Times New Roman"/>
          <w:b/>
        </w:rPr>
        <w:t>a)</w:t>
      </w:r>
    </w:p>
    <w:p w:rsidR="00E6356F" w:rsidP="00210E92">
      <w:pPr>
        <w:shd w:val="clear" w:color="auto" w:fill="FFFFFF"/>
        <w:bidi w:val="0"/>
        <w:jc w:val="both"/>
        <w:rPr>
          <w:rFonts w:ascii="Times New Roman" w:hAnsi="Times New Roman"/>
        </w:rPr>
      </w:pPr>
      <w:r w:rsidRPr="0045487E">
        <w:rPr>
          <w:rFonts w:ascii="Times New Roman" w:hAnsi="Times New Roman"/>
        </w:rPr>
        <w:t>Ak zamestnávateľ vykoná zamestnancovi ročné zúčtovanie a zamestnanec v žiadosti o jeho vykonanie uvedie prijímateľa podielu 2 % zaplatenej dane, zamestnávateľ nebude zamestnancovi vydávať potvrdenie o vysporiadan</w:t>
      </w:r>
      <w:r w:rsidR="0045487E">
        <w:rPr>
          <w:rFonts w:ascii="Times New Roman" w:hAnsi="Times New Roman"/>
        </w:rPr>
        <w:t>í</w:t>
      </w:r>
      <w:r w:rsidRPr="0045487E">
        <w:rPr>
          <w:rFonts w:ascii="Times New Roman" w:hAnsi="Times New Roman"/>
        </w:rPr>
        <w:t xml:space="preserve"> daňovej povinnosti. Ak zamestnanec splní všetky podmienky na poukázanie týchto prostriedkov, zamestnávateľ v ročnom hlásení, ktoré sa podáva v lehote do konca apríla nasledujúceho roka po skončení zdaňovacieho obdobia, uvedie identifikačné údaje príslušného prijímateľa v prílohe V hlásenia. Zároveň sa upravuje suma 2 %</w:t>
      </w:r>
      <w:r w:rsidRPr="0045487E" w:rsidR="00167EAA">
        <w:rPr>
          <w:rFonts w:ascii="Times New Roman" w:hAnsi="Times New Roman"/>
        </w:rPr>
        <w:t xml:space="preserve"> </w:t>
      </w:r>
      <w:r w:rsidRPr="0045487E">
        <w:rPr>
          <w:rFonts w:ascii="Times New Roman" w:hAnsi="Times New Roman"/>
        </w:rPr>
        <w:t>zaplatenej dane.</w:t>
      </w:r>
    </w:p>
    <w:p w:rsidR="008902C3" w:rsidP="00210E92">
      <w:pPr>
        <w:shd w:val="clear" w:color="auto" w:fill="FFFFFF"/>
        <w:bidi w:val="0"/>
        <w:jc w:val="both"/>
        <w:rPr>
          <w:rFonts w:ascii="Times New Roman" w:hAnsi="Times New Roman"/>
        </w:rPr>
      </w:pPr>
    </w:p>
    <w:p w:rsidR="008902C3" w:rsidRPr="0045487E" w:rsidP="008902C3">
      <w:pPr>
        <w:shd w:val="clear" w:color="auto" w:fill="FFFFFF"/>
        <w:bidi w:val="0"/>
        <w:jc w:val="both"/>
        <w:rPr>
          <w:rFonts w:ascii="Times New Roman" w:hAnsi="Times New Roman"/>
          <w:b/>
        </w:rPr>
      </w:pPr>
      <w:r w:rsidRPr="0045487E">
        <w:rPr>
          <w:rFonts w:ascii="Times New Roman" w:hAnsi="Times New Roman"/>
          <w:b/>
        </w:rPr>
        <w:t xml:space="preserve">K bodu </w:t>
      </w:r>
      <w:r>
        <w:rPr>
          <w:rFonts w:ascii="Times New Roman" w:hAnsi="Times New Roman"/>
          <w:b/>
        </w:rPr>
        <w:t>59</w:t>
      </w:r>
      <w:r w:rsidRPr="0045487E">
        <w:rPr>
          <w:rFonts w:ascii="Times New Roman" w:hAnsi="Times New Roman"/>
          <w:b/>
        </w:rPr>
        <w:t xml:space="preserve"> - § 38 ods. 9</w:t>
      </w:r>
    </w:p>
    <w:p w:rsidR="008902C3" w:rsidRPr="0045487E" w:rsidP="008902C3">
      <w:pPr>
        <w:pStyle w:val="ListParagraph"/>
        <w:shd w:val="clear" w:color="auto" w:fill="FFFFFF"/>
        <w:bidi w:val="0"/>
        <w:spacing w:after="0" w:line="240" w:lineRule="auto"/>
        <w:ind w:left="0"/>
        <w:jc w:val="both"/>
        <w:rPr>
          <w:rFonts w:ascii="Times New Roman" w:hAnsi="Times New Roman"/>
          <w:sz w:val="24"/>
          <w:szCs w:val="24"/>
        </w:rPr>
      </w:pPr>
      <w:r w:rsidRPr="0045487E">
        <w:rPr>
          <w:rFonts w:ascii="Times New Roman" w:hAnsi="Times New Roman"/>
          <w:sz w:val="24"/>
          <w:szCs w:val="24"/>
        </w:rPr>
        <w:t>Ustanovuje sa pokuta za nevystavenie dokladu zamestnávateľom – potvrdenie o príjme alebo doplnené ročné zúčtovanie.</w:t>
      </w:r>
    </w:p>
    <w:p w:rsidR="006A7BE2" w:rsidRPr="0045487E" w:rsidP="00210E92">
      <w:pPr>
        <w:shd w:val="clear" w:color="auto" w:fill="FFFFFF"/>
        <w:bidi w:val="0"/>
        <w:jc w:val="both"/>
        <w:rPr>
          <w:rFonts w:ascii="Times New Roman" w:hAnsi="Times New Roman"/>
        </w:rPr>
      </w:pPr>
    </w:p>
    <w:p w:rsidR="006A7BE2" w:rsidRPr="0045487E" w:rsidP="006A7BE2">
      <w:pPr>
        <w:shd w:val="clear" w:color="auto" w:fill="FFFFFF"/>
        <w:bidi w:val="0"/>
        <w:rPr>
          <w:rFonts w:ascii="Times New Roman" w:hAnsi="Times New Roman"/>
        </w:rPr>
      </w:pPr>
      <w:r w:rsidRPr="0045487E">
        <w:rPr>
          <w:rFonts w:ascii="Times New Roman" w:hAnsi="Times New Roman"/>
          <w:b/>
        </w:rPr>
        <w:t>K bodom 6</w:t>
      </w:r>
      <w:r>
        <w:rPr>
          <w:rFonts w:ascii="Times New Roman" w:hAnsi="Times New Roman"/>
          <w:b/>
        </w:rPr>
        <w:t>1</w:t>
      </w:r>
      <w:r w:rsidRPr="0045487E">
        <w:rPr>
          <w:rFonts w:ascii="Times New Roman" w:hAnsi="Times New Roman"/>
          <w:b/>
        </w:rPr>
        <w:t xml:space="preserve"> - § 39 ods. 6 </w:t>
      </w:r>
    </w:p>
    <w:p w:rsidR="006A7BE2" w:rsidRPr="0045487E" w:rsidP="006A7BE2">
      <w:pPr>
        <w:pStyle w:val="ListParagraph"/>
        <w:shd w:val="clear" w:color="auto" w:fill="FFFFFF"/>
        <w:tabs>
          <w:tab w:val="left" w:pos="284"/>
        </w:tabs>
        <w:bidi w:val="0"/>
        <w:spacing w:after="0" w:line="240" w:lineRule="auto"/>
        <w:ind w:left="0"/>
        <w:jc w:val="both"/>
        <w:rPr>
          <w:rFonts w:ascii="Times New Roman" w:hAnsi="Times New Roman"/>
          <w:sz w:val="24"/>
          <w:szCs w:val="24"/>
        </w:rPr>
      </w:pPr>
      <w:r w:rsidRPr="0045487E">
        <w:rPr>
          <w:rFonts w:ascii="Times New Roman" w:hAnsi="Times New Roman"/>
          <w:sz w:val="24"/>
          <w:szCs w:val="24"/>
        </w:rPr>
        <w:t>V doplnenom ročnom zúčtovaní zamestnávateľ uvedie nielen údaj o vysporiadaní dane a daňového bonusu, ale aj zamestnaneckej prémie.</w:t>
      </w:r>
    </w:p>
    <w:p w:rsidR="00E6356F" w:rsidRPr="0045487E" w:rsidP="00210E92">
      <w:pPr>
        <w:shd w:val="clear" w:color="auto" w:fill="FFFFFF"/>
        <w:bidi w:val="0"/>
        <w:rPr>
          <w:rFonts w:ascii="Times New Roman" w:hAnsi="Times New Roman"/>
          <w:b/>
        </w:rPr>
      </w:pPr>
    </w:p>
    <w:p w:rsidR="00A406D8"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Pr="0045487E" w:rsidR="00D317F3">
        <w:rPr>
          <w:rFonts w:ascii="Times New Roman" w:hAnsi="Times New Roman"/>
          <w:b/>
        </w:rPr>
        <w:t>6</w:t>
      </w:r>
      <w:r w:rsidR="001F1378">
        <w:rPr>
          <w:rFonts w:ascii="Times New Roman" w:hAnsi="Times New Roman"/>
          <w:b/>
        </w:rPr>
        <w:t>4</w:t>
      </w:r>
      <w:r w:rsidRPr="0045487E">
        <w:rPr>
          <w:rFonts w:ascii="Times New Roman" w:hAnsi="Times New Roman"/>
          <w:b/>
        </w:rPr>
        <w:t xml:space="preserve"> - § 39 ods. 11 </w:t>
      </w:r>
    </w:p>
    <w:p w:rsidR="00735B83" w:rsidRPr="0045487E" w:rsidP="00735B83">
      <w:pPr>
        <w:bidi w:val="0"/>
        <w:jc w:val="both"/>
        <w:rPr>
          <w:rFonts w:ascii="Times New Roman" w:hAnsi="Times New Roman"/>
        </w:rPr>
      </w:pPr>
      <w:r w:rsidRPr="0045487E" w:rsidR="00A406D8">
        <w:rPr>
          <w:rFonts w:ascii="Times New Roman" w:hAnsi="Times New Roman"/>
        </w:rPr>
        <w:t>Na hlásenie sa z hľadiska vyrubovacieho konania a sankcií nahliada ako na daňové priznanie (zákon č. 563/2009 Z.</w:t>
      </w:r>
      <w:r w:rsidR="0045487E">
        <w:rPr>
          <w:rFonts w:ascii="Times New Roman" w:hAnsi="Times New Roman"/>
        </w:rPr>
        <w:t xml:space="preserve"> </w:t>
      </w:r>
      <w:r w:rsidRPr="0045487E" w:rsidR="00A406D8">
        <w:rPr>
          <w:rFonts w:ascii="Times New Roman" w:hAnsi="Times New Roman"/>
        </w:rPr>
        <w:t xml:space="preserve">z. daňový poriadok). Návrhom sa </w:t>
      </w:r>
      <w:r w:rsidR="000E550D">
        <w:rPr>
          <w:rFonts w:ascii="Times New Roman" w:hAnsi="Times New Roman"/>
        </w:rPr>
        <w:t>spresňuje postup  pri uložení pokuty</w:t>
      </w:r>
      <w:r w:rsidRPr="0045487E" w:rsidR="00A406D8">
        <w:rPr>
          <w:rFonts w:ascii="Times New Roman" w:hAnsi="Times New Roman"/>
        </w:rPr>
        <w:t xml:space="preserve"> za nepodanie prehľadu</w:t>
      </w:r>
      <w:r w:rsidR="00634470">
        <w:rPr>
          <w:rFonts w:ascii="Times New Roman" w:hAnsi="Times New Roman"/>
        </w:rPr>
        <w:t>. Správca dane uloží zamestnávateľovi sankciu podľa daňového poriadku v prípade</w:t>
      </w:r>
      <w:r w:rsidRPr="0045487E" w:rsidR="00A406D8">
        <w:rPr>
          <w:rFonts w:ascii="Times New Roman" w:hAnsi="Times New Roman"/>
        </w:rPr>
        <w:t>, ak zamestnávateľ bol povinný prehľad podať</w:t>
      </w:r>
      <w:r w:rsidRPr="0045487E">
        <w:rPr>
          <w:rFonts w:ascii="Times New Roman" w:hAnsi="Times New Roman"/>
        </w:rPr>
        <w:t xml:space="preserve"> a ak mu vznikla povinnosť odvodu preddavkov na daň z príjmov zo závislej činnosti, resp. ak žiadal správcu dane o poukázanie daňového bonusu alebo zamestnaneckej prémie. </w:t>
      </w:r>
    </w:p>
    <w:p w:rsidR="00A406D8" w:rsidRPr="0045487E" w:rsidP="00210E92">
      <w:pPr>
        <w:shd w:val="clear" w:color="auto" w:fill="FFFFFF"/>
        <w:bidi w:val="0"/>
        <w:rPr>
          <w:rFonts w:ascii="Times New Roman" w:hAnsi="Times New Roman"/>
          <w:b/>
        </w:rPr>
      </w:pPr>
    </w:p>
    <w:p w:rsidR="00A76A1F"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001F1378">
        <w:rPr>
          <w:rFonts w:ascii="Times New Roman" w:hAnsi="Times New Roman"/>
          <w:b/>
        </w:rPr>
        <w:t>65</w:t>
      </w:r>
      <w:r w:rsidRPr="0045487E" w:rsidR="00E90D1C">
        <w:rPr>
          <w:rFonts w:ascii="Times New Roman" w:hAnsi="Times New Roman"/>
          <w:b/>
        </w:rPr>
        <w:t xml:space="preserve"> </w:t>
      </w:r>
      <w:r w:rsidRPr="0045487E">
        <w:rPr>
          <w:rFonts w:ascii="Times New Roman" w:hAnsi="Times New Roman"/>
          <w:b/>
        </w:rPr>
        <w:t xml:space="preserve">- § </w:t>
      </w:r>
      <w:r w:rsidRPr="0045487E" w:rsidR="00C97AEF">
        <w:rPr>
          <w:rFonts w:ascii="Times New Roman" w:hAnsi="Times New Roman"/>
          <w:b/>
        </w:rPr>
        <w:t>39 ods. 14</w:t>
      </w:r>
    </w:p>
    <w:p w:rsidR="00C97AEF" w:rsidRPr="0045487E" w:rsidP="00210E92">
      <w:pPr>
        <w:pStyle w:val="ListParagraph"/>
        <w:shd w:val="clear" w:color="auto" w:fill="FFFFFF"/>
        <w:bidi w:val="0"/>
        <w:spacing w:after="0" w:line="240" w:lineRule="auto"/>
        <w:ind w:left="0"/>
        <w:jc w:val="both"/>
        <w:rPr>
          <w:rFonts w:ascii="Times New Roman" w:hAnsi="Times New Roman"/>
          <w:sz w:val="24"/>
          <w:szCs w:val="24"/>
        </w:rPr>
      </w:pPr>
      <w:r w:rsidRPr="0045487E">
        <w:rPr>
          <w:rFonts w:ascii="Times New Roman" w:hAnsi="Times New Roman"/>
          <w:sz w:val="24"/>
          <w:szCs w:val="24"/>
        </w:rPr>
        <w:t>Ustanovuje sa lehota na vrátenie rozdielu daňového bonusu v prípade, ak správca dane vyzve zamestnávateľa na opravu údajov v prehľade.</w:t>
      </w:r>
    </w:p>
    <w:p w:rsidR="00A76A1F" w:rsidRPr="0045487E" w:rsidP="00210E92">
      <w:pPr>
        <w:shd w:val="clear" w:color="auto" w:fill="FFFFFF"/>
        <w:bidi w:val="0"/>
        <w:rPr>
          <w:rFonts w:ascii="Times New Roman" w:hAnsi="Times New Roman"/>
          <w:b/>
        </w:rPr>
      </w:pPr>
    </w:p>
    <w:p w:rsidR="00C97AEF" w:rsidRPr="0045487E" w:rsidP="00210E92">
      <w:pPr>
        <w:shd w:val="clear" w:color="auto" w:fill="FFFFFF"/>
        <w:bidi w:val="0"/>
        <w:rPr>
          <w:rFonts w:ascii="Times New Roman" w:hAnsi="Times New Roman"/>
          <w:b/>
        </w:rPr>
      </w:pPr>
      <w:r w:rsidRPr="0045487E" w:rsidR="00762A31">
        <w:rPr>
          <w:rFonts w:ascii="Times New Roman" w:hAnsi="Times New Roman"/>
          <w:b/>
        </w:rPr>
        <w:t>K</w:t>
      </w:r>
      <w:r w:rsidRPr="0045487E" w:rsidR="006C0675">
        <w:rPr>
          <w:rFonts w:ascii="Times New Roman" w:hAnsi="Times New Roman"/>
          <w:b/>
        </w:rPr>
        <w:t> </w:t>
      </w:r>
      <w:r w:rsidRPr="0045487E" w:rsidR="00762A31">
        <w:rPr>
          <w:rFonts w:ascii="Times New Roman" w:hAnsi="Times New Roman"/>
          <w:b/>
        </w:rPr>
        <w:t>bod</w:t>
      </w:r>
      <w:r w:rsidRPr="0045487E" w:rsidR="0040303F">
        <w:rPr>
          <w:rFonts w:ascii="Times New Roman" w:hAnsi="Times New Roman"/>
          <w:b/>
        </w:rPr>
        <w:t xml:space="preserve">u </w:t>
      </w:r>
      <w:r w:rsidR="001F1378">
        <w:rPr>
          <w:rFonts w:ascii="Times New Roman" w:hAnsi="Times New Roman"/>
          <w:b/>
        </w:rPr>
        <w:t>66</w:t>
      </w:r>
      <w:r w:rsidRPr="0045487E" w:rsidR="00E90D1C">
        <w:rPr>
          <w:rFonts w:ascii="Times New Roman" w:hAnsi="Times New Roman"/>
          <w:b/>
        </w:rPr>
        <w:t xml:space="preserve"> </w:t>
      </w:r>
      <w:r w:rsidRPr="0045487E" w:rsidR="00762A31">
        <w:rPr>
          <w:rFonts w:ascii="Times New Roman" w:hAnsi="Times New Roman"/>
          <w:b/>
        </w:rPr>
        <w:t>- §</w:t>
      </w:r>
      <w:r w:rsidRPr="0045487E">
        <w:rPr>
          <w:rFonts w:ascii="Times New Roman" w:hAnsi="Times New Roman"/>
          <w:b/>
        </w:rPr>
        <w:t xml:space="preserve"> 40 ods. 7</w:t>
      </w:r>
    </w:p>
    <w:p w:rsidR="00F427B9" w:rsidRPr="0045487E" w:rsidP="00210E92">
      <w:pPr>
        <w:pStyle w:val="ListParagraph"/>
        <w:shd w:val="clear" w:color="auto" w:fill="FFFFFF"/>
        <w:bidi w:val="0"/>
        <w:spacing w:after="0" w:line="240" w:lineRule="auto"/>
        <w:ind w:left="0"/>
        <w:jc w:val="both"/>
        <w:rPr>
          <w:rFonts w:ascii="Times New Roman" w:hAnsi="Times New Roman"/>
          <w:sz w:val="24"/>
          <w:szCs w:val="24"/>
        </w:rPr>
      </w:pPr>
      <w:r w:rsidRPr="0045487E" w:rsidR="00762A31">
        <w:rPr>
          <w:rFonts w:ascii="Times New Roman" w:hAnsi="Times New Roman"/>
          <w:b/>
          <w:sz w:val="24"/>
          <w:szCs w:val="24"/>
        </w:rPr>
        <w:t xml:space="preserve"> </w:t>
      </w:r>
      <w:r w:rsidRPr="0045487E">
        <w:rPr>
          <w:rFonts w:ascii="Times New Roman" w:hAnsi="Times New Roman"/>
          <w:sz w:val="24"/>
          <w:szCs w:val="24"/>
        </w:rPr>
        <w:t>Navrhovanou úpravou sa dopĺňa možnosť pre zamestnanca alebo zamestnávateľa, ktorý je platiteľom dane vystaviť opravné potvrdenie o príjme uvedené v § 39 ods. 5 zákona, ak sami zistili uvedenie nesprávnych údajov v tomto doklade. V súčasnosti je možné vystaviť opravné potvrdenie len v prípadoch, ak to zistí správca dane, ktorý daňovú povinnosť daňovníka kontroluje a vydá dodatočný platobný výmer, ktorým vyrubuje daň alebo rozdiel dane zamestnávateľovi, ktorý je platiteľom dane.</w:t>
      </w:r>
    </w:p>
    <w:p w:rsidR="00AD32A0" w:rsidP="00210E92">
      <w:pPr>
        <w:pStyle w:val="ListParagraph"/>
        <w:shd w:val="clear" w:color="auto" w:fill="FFFFFF"/>
        <w:bidi w:val="0"/>
        <w:spacing w:after="0" w:line="240" w:lineRule="auto"/>
        <w:ind w:left="0"/>
        <w:jc w:val="both"/>
        <w:rPr>
          <w:rFonts w:ascii="Times New Roman" w:hAnsi="Times New Roman"/>
          <w:sz w:val="24"/>
          <w:szCs w:val="24"/>
        </w:rPr>
      </w:pPr>
    </w:p>
    <w:p w:rsidR="007905FD" w:rsidRPr="0045487E" w:rsidP="00210E92">
      <w:pPr>
        <w:shd w:val="clear" w:color="auto" w:fill="FFFFFF"/>
        <w:bidi w:val="0"/>
        <w:rPr>
          <w:rFonts w:ascii="Times New Roman" w:hAnsi="Times New Roman"/>
          <w:b/>
        </w:rPr>
      </w:pPr>
      <w:r w:rsidRPr="0045487E">
        <w:rPr>
          <w:rFonts w:ascii="Times New Roman" w:hAnsi="Times New Roman"/>
          <w:b/>
        </w:rPr>
        <w:t>K bod</w:t>
      </w:r>
      <w:r w:rsidRPr="0045487E" w:rsidR="00905AD1">
        <w:rPr>
          <w:rFonts w:ascii="Times New Roman" w:hAnsi="Times New Roman"/>
          <w:b/>
        </w:rPr>
        <w:t>om</w:t>
      </w:r>
      <w:r w:rsidRPr="0045487E">
        <w:rPr>
          <w:rFonts w:ascii="Times New Roman" w:hAnsi="Times New Roman"/>
          <w:b/>
        </w:rPr>
        <w:t xml:space="preserve"> </w:t>
      </w:r>
      <w:r w:rsidRPr="0045487E" w:rsidR="00D317F3">
        <w:rPr>
          <w:rFonts w:ascii="Times New Roman" w:hAnsi="Times New Roman"/>
          <w:b/>
        </w:rPr>
        <w:t>6</w:t>
      </w:r>
      <w:r w:rsidR="001F1378">
        <w:rPr>
          <w:rFonts w:ascii="Times New Roman" w:hAnsi="Times New Roman"/>
          <w:b/>
        </w:rPr>
        <w:t>7</w:t>
      </w:r>
      <w:r w:rsidRPr="0045487E" w:rsidR="00905AD1">
        <w:rPr>
          <w:rFonts w:ascii="Times New Roman" w:hAnsi="Times New Roman"/>
          <w:b/>
        </w:rPr>
        <w:t xml:space="preserve">, </w:t>
      </w:r>
      <w:r w:rsidRPr="0045487E" w:rsidR="00D317F3">
        <w:rPr>
          <w:rFonts w:ascii="Times New Roman" w:hAnsi="Times New Roman"/>
          <w:b/>
        </w:rPr>
        <w:t>6</w:t>
      </w:r>
      <w:r w:rsidR="001F1378">
        <w:rPr>
          <w:rFonts w:ascii="Times New Roman" w:hAnsi="Times New Roman"/>
          <w:b/>
        </w:rPr>
        <w:t>8</w:t>
      </w:r>
      <w:r w:rsidRPr="0045487E" w:rsidR="008E0AB9">
        <w:rPr>
          <w:rFonts w:ascii="Times New Roman" w:hAnsi="Times New Roman"/>
          <w:b/>
        </w:rPr>
        <w:t>, 7</w:t>
      </w:r>
      <w:r w:rsidR="001F1378">
        <w:rPr>
          <w:rFonts w:ascii="Times New Roman" w:hAnsi="Times New Roman"/>
          <w:b/>
        </w:rPr>
        <w:t>0</w:t>
      </w:r>
      <w:r w:rsidRPr="0045487E" w:rsidR="00905AD1">
        <w:rPr>
          <w:rFonts w:ascii="Times New Roman" w:hAnsi="Times New Roman"/>
          <w:b/>
        </w:rPr>
        <w:t xml:space="preserve"> a </w:t>
      </w:r>
      <w:r w:rsidRPr="0045487E" w:rsidR="00D317F3">
        <w:rPr>
          <w:rFonts w:ascii="Times New Roman" w:hAnsi="Times New Roman"/>
          <w:b/>
        </w:rPr>
        <w:t>7</w:t>
      </w:r>
      <w:r w:rsidR="001F1378">
        <w:rPr>
          <w:rFonts w:ascii="Times New Roman" w:hAnsi="Times New Roman"/>
          <w:b/>
        </w:rPr>
        <w:t>1</w:t>
      </w:r>
      <w:r w:rsidRPr="0045487E" w:rsidR="00905AD1">
        <w:rPr>
          <w:rFonts w:ascii="Times New Roman" w:hAnsi="Times New Roman"/>
          <w:b/>
        </w:rPr>
        <w:t xml:space="preserve"> </w:t>
      </w:r>
      <w:r w:rsidRPr="0045487E">
        <w:rPr>
          <w:rFonts w:ascii="Times New Roman" w:hAnsi="Times New Roman"/>
          <w:b/>
        </w:rPr>
        <w:t xml:space="preserve">- § </w:t>
      </w:r>
      <w:r w:rsidRPr="0045487E" w:rsidR="00C97AEF">
        <w:rPr>
          <w:rFonts w:ascii="Times New Roman" w:hAnsi="Times New Roman"/>
          <w:b/>
        </w:rPr>
        <w:t>42 ods. 2</w:t>
      </w:r>
      <w:r w:rsidRPr="0045487E" w:rsidR="00905AD1">
        <w:rPr>
          <w:rFonts w:ascii="Times New Roman" w:hAnsi="Times New Roman"/>
          <w:b/>
        </w:rPr>
        <w:t>,</w:t>
      </w:r>
      <w:r w:rsidRPr="0045487E" w:rsidR="00C97AEF">
        <w:rPr>
          <w:rFonts w:ascii="Times New Roman" w:hAnsi="Times New Roman"/>
          <w:b/>
        </w:rPr>
        <w:t xml:space="preserve"> 3</w:t>
      </w:r>
      <w:r w:rsidRPr="0045487E" w:rsidR="008E0AB9">
        <w:rPr>
          <w:rFonts w:ascii="Times New Roman" w:hAnsi="Times New Roman"/>
          <w:b/>
        </w:rPr>
        <w:t>, 9</w:t>
      </w:r>
      <w:r w:rsidRPr="0045487E" w:rsidR="00905AD1">
        <w:rPr>
          <w:rFonts w:ascii="Times New Roman" w:hAnsi="Times New Roman"/>
          <w:b/>
        </w:rPr>
        <w:t xml:space="preserve"> a 10</w:t>
      </w:r>
    </w:p>
    <w:p w:rsidR="00C97AEF" w:rsidRPr="0045487E" w:rsidP="00210E92">
      <w:pPr>
        <w:shd w:val="clear" w:color="auto" w:fill="FFFFFF"/>
        <w:bidi w:val="0"/>
        <w:jc w:val="both"/>
        <w:rPr>
          <w:rFonts w:ascii="Times New Roman" w:hAnsi="Times New Roman"/>
        </w:rPr>
      </w:pPr>
      <w:r w:rsidRPr="0045487E">
        <w:rPr>
          <w:rFonts w:ascii="Times New Roman" w:hAnsi="Times New Roman"/>
        </w:rPr>
        <w:t>Úprava vykonaná za účelom zjednotenia spodnej hranice pre povinnosť platenia štvrťročných preddavkov právnických osôb a fyzických osôb.</w:t>
      </w:r>
      <w:r w:rsidRPr="0045487E" w:rsidR="00905AD1">
        <w:rPr>
          <w:rFonts w:ascii="Times New Roman" w:hAnsi="Times New Roman"/>
        </w:rPr>
        <w:t xml:space="preserve"> </w:t>
      </w:r>
      <w:r w:rsidRPr="0045487E">
        <w:rPr>
          <w:rFonts w:ascii="Times New Roman" w:hAnsi="Times New Roman"/>
        </w:rPr>
        <w:t>Odstraňuje sa výnimka pre daňovníkov so sídlom v zahraničí, ktorí vykonávajú na území Slovenskej republiky stavebnú alebo montážnu činnosť, ak miesto alebo zariadenie na výkon tejto činnosti je považované za stálu prevádzkareň podľa § 16 ods. 2</w:t>
      </w:r>
      <w:r w:rsidRPr="0045487E" w:rsidR="00223730">
        <w:rPr>
          <w:rFonts w:ascii="Times New Roman" w:hAnsi="Times New Roman"/>
        </w:rPr>
        <w:t xml:space="preserve"> zákona</w:t>
      </w:r>
      <w:r w:rsidRPr="0045487E">
        <w:rPr>
          <w:rFonts w:ascii="Times New Roman" w:hAnsi="Times New Roman"/>
        </w:rPr>
        <w:t xml:space="preserve">. </w:t>
      </w:r>
    </w:p>
    <w:p w:rsidR="00A76A1F" w:rsidRPr="0045487E" w:rsidP="00210E92">
      <w:pPr>
        <w:shd w:val="clear" w:color="auto" w:fill="FFFFFF"/>
        <w:bidi w:val="0"/>
        <w:rPr>
          <w:rFonts w:ascii="Times New Roman" w:hAnsi="Times New Roman"/>
          <w:b/>
        </w:rPr>
      </w:pPr>
      <w:r w:rsidRPr="0045487E" w:rsidR="009F1266">
        <w:rPr>
          <w:rFonts w:ascii="Times New Roman" w:hAnsi="Times New Roman"/>
          <w:b/>
        </w:rPr>
        <w:t xml:space="preserve"> </w:t>
      </w:r>
    </w:p>
    <w:p w:rsidR="00BE03FB"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001F1378">
        <w:rPr>
          <w:rFonts w:ascii="Times New Roman" w:hAnsi="Times New Roman"/>
          <w:b/>
        </w:rPr>
        <w:t>69</w:t>
      </w:r>
      <w:r w:rsidRPr="0045487E" w:rsidR="00905AD1">
        <w:rPr>
          <w:rFonts w:ascii="Times New Roman" w:hAnsi="Times New Roman"/>
          <w:b/>
        </w:rPr>
        <w:t xml:space="preserve"> </w:t>
      </w:r>
      <w:r w:rsidRPr="0045487E">
        <w:rPr>
          <w:rFonts w:ascii="Times New Roman" w:hAnsi="Times New Roman"/>
          <w:b/>
        </w:rPr>
        <w:t>- §</w:t>
      </w:r>
      <w:r w:rsidRPr="0045487E" w:rsidR="00EB471A">
        <w:rPr>
          <w:rFonts w:ascii="Times New Roman" w:hAnsi="Times New Roman"/>
          <w:b/>
        </w:rPr>
        <w:t xml:space="preserve"> </w:t>
      </w:r>
      <w:r w:rsidRPr="0045487E" w:rsidR="00C97AEF">
        <w:rPr>
          <w:rFonts w:ascii="Times New Roman" w:hAnsi="Times New Roman"/>
          <w:b/>
        </w:rPr>
        <w:t>42 ods. 5</w:t>
      </w:r>
    </w:p>
    <w:p w:rsidR="00F427B9" w:rsidRPr="0045487E" w:rsidP="00210E92">
      <w:pPr>
        <w:shd w:val="clear" w:color="auto" w:fill="FFFFFF"/>
        <w:bidi w:val="0"/>
        <w:jc w:val="both"/>
        <w:rPr>
          <w:rFonts w:ascii="Times New Roman" w:hAnsi="Times New Roman"/>
        </w:rPr>
      </w:pPr>
      <w:r w:rsidRPr="0045487E" w:rsidR="00223730">
        <w:rPr>
          <w:rFonts w:ascii="Times New Roman" w:hAnsi="Times New Roman"/>
        </w:rPr>
        <w:t>Z</w:t>
      </w:r>
      <w:r w:rsidRPr="0045487E">
        <w:rPr>
          <w:rFonts w:ascii="Times New Roman" w:hAnsi="Times New Roman"/>
        </w:rPr>
        <w:t xml:space="preserve">jednocuje </w:t>
      </w:r>
      <w:r w:rsidRPr="0045487E" w:rsidR="00223730">
        <w:rPr>
          <w:rFonts w:ascii="Times New Roman" w:hAnsi="Times New Roman"/>
        </w:rPr>
        <w:t xml:space="preserve">sa </w:t>
      </w:r>
      <w:r w:rsidRPr="0045487E">
        <w:rPr>
          <w:rFonts w:ascii="Times New Roman" w:hAnsi="Times New Roman"/>
        </w:rPr>
        <w:t>spôsob zisťovania a výpočtu preddavkov daňovníkov, ktorí vznikli v priebehu zdaňovacieho obdobia s ostatnými daňovníkmi. Povinnosť platenia preddavkov a ich výšku už nebudú zisťovať z predpokladanej alebo dopočítanej dane n</w:t>
      </w:r>
      <w:r w:rsidRPr="0045487E" w:rsidR="006F1CB2">
        <w:rPr>
          <w:rFonts w:ascii="Times New Roman" w:hAnsi="Times New Roman"/>
        </w:rPr>
        <w:t>a celé zdaňovacie obdobie</w:t>
      </w:r>
      <w:r w:rsidRPr="0045487E" w:rsidR="00223730">
        <w:rPr>
          <w:rFonts w:ascii="Times New Roman" w:hAnsi="Times New Roman"/>
        </w:rPr>
        <w:t>,</w:t>
      </w:r>
      <w:r w:rsidRPr="0045487E" w:rsidR="006F1CB2">
        <w:rPr>
          <w:rFonts w:ascii="Times New Roman" w:hAnsi="Times New Roman"/>
        </w:rPr>
        <w:t xml:space="preserve"> ale zo skutočnej daňovej povinnosti vykázanej v podanom daňovom priznaní za zdaňovacie obdobie, v ktorom vznikli.</w:t>
      </w:r>
    </w:p>
    <w:p w:rsidR="00574811" w:rsidRPr="0045487E" w:rsidP="00210E92">
      <w:pPr>
        <w:shd w:val="clear" w:color="auto" w:fill="FFFFFF"/>
        <w:bidi w:val="0"/>
        <w:rPr>
          <w:rFonts w:ascii="Times New Roman" w:hAnsi="Times New Roman"/>
          <w:b/>
        </w:rPr>
      </w:pPr>
    </w:p>
    <w:p w:rsidR="006C0675" w:rsidRPr="0045487E" w:rsidP="00210E92">
      <w:pPr>
        <w:shd w:val="clear" w:color="auto" w:fill="FFFFFF"/>
        <w:bidi w:val="0"/>
        <w:rPr>
          <w:rFonts w:ascii="Times New Roman" w:hAnsi="Times New Roman"/>
          <w:b/>
        </w:rPr>
      </w:pPr>
      <w:r w:rsidRPr="0045487E" w:rsidR="009F1266">
        <w:rPr>
          <w:rFonts w:ascii="Times New Roman" w:hAnsi="Times New Roman"/>
          <w:b/>
        </w:rPr>
        <w:t xml:space="preserve">K bodu </w:t>
      </w:r>
      <w:r w:rsidR="001F1378">
        <w:rPr>
          <w:rFonts w:ascii="Times New Roman" w:hAnsi="Times New Roman"/>
          <w:b/>
        </w:rPr>
        <w:t>72</w:t>
      </w:r>
      <w:r w:rsidRPr="0045487E" w:rsidR="00905AD1">
        <w:rPr>
          <w:rFonts w:ascii="Times New Roman" w:hAnsi="Times New Roman"/>
          <w:b/>
        </w:rPr>
        <w:t xml:space="preserve"> </w:t>
      </w:r>
      <w:r w:rsidRPr="0045487E">
        <w:rPr>
          <w:rFonts w:ascii="Times New Roman" w:hAnsi="Times New Roman"/>
          <w:b/>
        </w:rPr>
        <w:t xml:space="preserve">- § </w:t>
      </w:r>
      <w:r w:rsidRPr="0045487E" w:rsidR="00493504">
        <w:rPr>
          <w:rFonts w:ascii="Times New Roman" w:hAnsi="Times New Roman"/>
          <w:b/>
        </w:rPr>
        <w:t>43 ods. 1</w:t>
      </w:r>
    </w:p>
    <w:p w:rsidR="00493504" w:rsidRPr="0045487E" w:rsidP="00210E92">
      <w:pPr>
        <w:shd w:val="clear" w:color="auto" w:fill="FFFFFF"/>
        <w:bidi w:val="0"/>
        <w:jc w:val="both"/>
        <w:rPr>
          <w:rFonts w:ascii="Times New Roman" w:hAnsi="Times New Roman"/>
        </w:rPr>
      </w:pPr>
      <w:r w:rsidRPr="0045487E" w:rsidR="00223730">
        <w:rPr>
          <w:rFonts w:ascii="Times New Roman" w:hAnsi="Times New Roman"/>
        </w:rPr>
        <w:t>Z</w:t>
      </w:r>
      <w:r w:rsidRPr="0045487E">
        <w:rPr>
          <w:rFonts w:ascii="Times New Roman" w:hAnsi="Times New Roman"/>
        </w:rPr>
        <w:t xml:space="preserve">avádza </w:t>
      </w:r>
      <w:r w:rsidRPr="0045487E" w:rsidR="00223730">
        <w:rPr>
          <w:rFonts w:ascii="Times New Roman" w:hAnsi="Times New Roman"/>
        </w:rPr>
        <w:t xml:space="preserve">sa </w:t>
      </w:r>
      <w:r w:rsidRPr="0045487E">
        <w:rPr>
          <w:rFonts w:ascii="Times New Roman" w:hAnsi="Times New Roman"/>
        </w:rPr>
        <w:t>zvýšená sadzba dane vyberanej zrážkou v prípade platieb plynúcich daňovníkom nezmluvných štátov, ktorí sú definovaní v § 2 písm. x)</w:t>
      </w:r>
      <w:r w:rsidRPr="0045487E" w:rsidR="00223730">
        <w:rPr>
          <w:rFonts w:ascii="Times New Roman" w:hAnsi="Times New Roman"/>
        </w:rPr>
        <w:t xml:space="preserve"> zákona</w:t>
      </w:r>
      <w:r w:rsidRPr="0045487E">
        <w:rPr>
          <w:rFonts w:ascii="Times New Roman" w:hAnsi="Times New Roman"/>
        </w:rPr>
        <w:t>.</w:t>
      </w:r>
    </w:p>
    <w:p w:rsidR="00493504" w:rsidRPr="0045487E" w:rsidP="00210E92">
      <w:pPr>
        <w:shd w:val="clear" w:color="auto" w:fill="FFFFFF"/>
        <w:bidi w:val="0"/>
        <w:rPr>
          <w:rFonts w:ascii="Times New Roman" w:hAnsi="Times New Roman"/>
        </w:rPr>
      </w:pPr>
    </w:p>
    <w:p w:rsidR="00AA6D10" w:rsidRPr="0045487E" w:rsidP="00AA6D10">
      <w:pPr>
        <w:shd w:val="clear" w:color="auto" w:fill="FFFFFF"/>
        <w:bidi w:val="0"/>
        <w:rPr>
          <w:rFonts w:ascii="Times New Roman" w:hAnsi="Times New Roman"/>
          <w:b/>
        </w:rPr>
      </w:pPr>
      <w:r w:rsidRPr="0045487E">
        <w:rPr>
          <w:rFonts w:ascii="Times New Roman" w:hAnsi="Times New Roman"/>
          <w:b/>
        </w:rPr>
        <w:t xml:space="preserve">K bodu </w:t>
      </w:r>
      <w:r w:rsidR="001F1378">
        <w:rPr>
          <w:rFonts w:ascii="Times New Roman" w:hAnsi="Times New Roman"/>
          <w:b/>
        </w:rPr>
        <w:t>73</w:t>
      </w:r>
      <w:r w:rsidRPr="0045487E">
        <w:rPr>
          <w:rFonts w:ascii="Times New Roman" w:hAnsi="Times New Roman"/>
          <w:b/>
        </w:rPr>
        <w:t xml:space="preserve"> - § 43 ods. 2</w:t>
      </w:r>
    </w:p>
    <w:p w:rsidR="00AA6D10" w:rsidRPr="0045487E" w:rsidP="00AA6D10">
      <w:pPr>
        <w:shd w:val="clear" w:color="auto" w:fill="FFFFFF"/>
        <w:bidi w:val="0"/>
        <w:jc w:val="both"/>
        <w:rPr>
          <w:rFonts w:ascii="Times New Roman" w:hAnsi="Times New Roman"/>
        </w:rPr>
      </w:pPr>
      <w:r w:rsidRPr="0045487E">
        <w:rPr>
          <w:rFonts w:ascii="Times New Roman" w:hAnsi="Times New Roman"/>
        </w:rPr>
        <w:t>Príjmy plynúce daňovníkom s obmedzenou daňovou povinnosťou zo zdrojov na území Slovenskej republiky za poskytovanie služieb vymedzené v § 16 ods. 1 písm. c) zákona nebudú zdaňované zrážkovou daňou, ale prostredníctvom zabezpečenia dane podľa § 44 pri splnení vymedzených podmienok, resp. v podanom daňovom priznaní.</w:t>
      </w:r>
    </w:p>
    <w:p w:rsidR="00AA6D10" w:rsidRPr="0045487E" w:rsidP="00210E92">
      <w:pPr>
        <w:shd w:val="clear" w:color="auto" w:fill="FFFFFF"/>
        <w:bidi w:val="0"/>
        <w:rPr>
          <w:rFonts w:ascii="Times New Roman" w:hAnsi="Times New Roman"/>
        </w:rPr>
      </w:pPr>
    </w:p>
    <w:p w:rsidR="00DE0EE8" w:rsidRPr="0045487E" w:rsidP="00210E92">
      <w:pPr>
        <w:shd w:val="clear" w:color="auto" w:fill="FFFFFF"/>
        <w:bidi w:val="0"/>
        <w:rPr>
          <w:rFonts w:ascii="Times New Roman" w:hAnsi="Times New Roman"/>
          <w:b/>
        </w:rPr>
      </w:pPr>
      <w:r w:rsidRPr="0045487E">
        <w:rPr>
          <w:rFonts w:ascii="Times New Roman" w:hAnsi="Times New Roman"/>
          <w:b/>
        </w:rPr>
        <w:t xml:space="preserve">K bodu </w:t>
      </w:r>
      <w:r w:rsidR="001F1378">
        <w:rPr>
          <w:rFonts w:ascii="Times New Roman" w:hAnsi="Times New Roman"/>
          <w:b/>
        </w:rPr>
        <w:t>76</w:t>
      </w:r>
      <w:r w:rsidRPr="0045487E" w:rsidR="00905AD1">
        <w:rPr>
          <w:rFonts w:ascii="Times New Roman" w:hAnsi="Times New Roman"/>
          <w:b/>
        </w:rPr>
        <w:t xml:space="preserve"> </w:t>
      </w:r>
      <w:r w:rsidRPr="0045487E">
        <w:rPr>
          <w:rFonts w:ascii="Times New Roman" w:hAnsi="Times New Roman"/>
          <w:b/>
        </w:rPr>
        <w:t xml:space="preserve"> - § </w:t>
      </w:r>
      <w:r w:rsidRPr="0045487E" w:rsidR="00493504">
        <w:rPr>
          <w:rFonts w:ascii="Times New Roman" w:hAnsi="Times New Roman"/>
          <w:b/>
        </w:rPr>
        <w:t>43 ods. 11</w:t>
      </w:r>
    </w:p>
    <w:p w:rsidR="00B621A0" w:rsidRPr="0045487E" w:rsidP="00B621A0">
      <w:pPr>
        <w:shd w:val="clear" w:color="auto" w:fill="FFFFFF"/>
        <w:bidi w:val="0"/>
        <w:jc w:val="both"/>
        <w:rPr>
          <w:rFonts w:ascii="Arial Narrow" w:hAnsi="Arial Narrow"/>
          <w:sz w:val="22"/>
          <w:szCs w:val="22"/>
        </w:rPr>
      </w:pPr>
      <w:r w:rsidRPr="0045487E" w:rsidR="00493504">
        <w:rPr>
          <w:rFonts w:ascii="Times New Roman" w:hAnsi="Times New Roman"/>
        </w:rPr>
        <w:t>Oznámenie o zrazení a odvedení dane sú platitelia dane povinní oznamovať na tlačive, ktorého vzor určí Finančné riaditeľstvo Slovenskej republiky</w:t>
      </w:r>
      <w:r w:rsidRPr="0045487E" w:rsidR="00E711C7">
        <w:rPr>
          <w:rFonts w:ascii="Times New Roman" w:hAnsi="Times New Roman"/>
        </w:rPr>
        <w:t>, a to v lehote zhodnej so zrazením a odvedením dane</w:t>
      </w:r>
      <w:r w:rsidRPr="0045487E" w:rsidR="00493504">
        <w:rPr>
          <w:rFonts w:ascii="Times New Roman" w:hAnsi="Times New Roman"/>
        </w:rPr>
        <w:t>. Zároveň platiteľ dane, ktorý poukazuje platbu do nezmluvného štátu (daňovníkovi podľa § 2 písm. x)</w:t>
      </w:r>
      <w:r w:rsidRPr="0045487E" w:rsidR="00223730">
        <w:rPr>
          <w:rFonts w:ascii="Times New Roman" w:hAnsi="Times New Roman"/>
        </w:rPr>
        <w:t xml:space="preserve"> zákona</w:t>
      </w:r>
      <w:r w:rsidRPr="0045487E" w:rsidR="00493504">
        <w:rPr>
          <w:rFonts w:ascii="Times New Roman" w:hAnsi="Times New Roman"/>
        </w:rPr>
        <w:t xml:space="preserve">, je povinný spolu s oznámením predložiť aj prílohy, ktoré sú špecifikované na danom tlačive. </w:t>
      </w:r>
      <w:r w:rsidRPr="0045487E">
        <w:rPr>
          <w:rFonts w:ascii="Times New Roman" w:hAnsi="Times New Roman"/>
        </w:rPr>
        <w:t>Obsahom tlačiva sú pri fyzických osobách aj ustanovené osobné údaje (meno, priezvisko, adresa a dátum narodenia).</w:t>
      </w:r>
    </w:p>
    <w:p w:rsidR="00905AD1" w:rsidRPr="0045487E" w:rsidP="00210E92">
      <w:pPr>
        <w:shd w:val="clear" w:color="auto" w:fill="FFFFFF"/>
        <w:bidi w:val="0"/>
        <w:jc w:val="both"/>
        <w:rPr>
          <w:rFonts w:ascii="Times New Roman" w:hAnsi="Times New Roman"/>
        </w:rPr>
      </w:pPr>
    </w:p>
    <w:p w:rsidR="00905AD1" w:rsidRPr="0045487E" w:rsidP="00210E92">
      <w:pPr>
        <w:shd w:val="clear" w:color="auto" w:fill="FFFFFF"/>
        <w:bidi w:val="0"/>
        <w:jc w:val="both"/>
        <w:rPr>
          <w:rFonts w:ascii="Times New Roman" w:hAnsi="Times New Roman"/>
          <w:b/>
        </w:rPr>
      </w:pPr>
      <w:r w:rsidRPr="0045487E">
        <w:rPr>
          <w:rFonts w:ascii="Times New Roman" w:hAnsi="Times New Roman"/>
          <w:b/>
        </w:rPr>
        <w:t>K bod</w:t>
      </w:r>
      <w:r w:rsidR="006A7BE2">
        <w:rPr>
          <w:rFonts w:ascii="Times New Roman" w:hAnsi="Times New Roman"/>
          <w:b/>
        </w:rPr>
        <w:t>u</w:t>
      </w:r>
      <w:r w:rsidRPr="0045487E">
        <w:rPr>
          <w:rFonts w:ascii="Times New Roman" w:hAnsi="Times New Roman"/>
          <w:b/>
        </w:rPr>
        <w:t xml:space="preserve"> </w:t>
      </w:r>
      <w:r w:rsidR="001F1378">
        <w:rPr>
          <w:rFonts w:ascii="Times New Roman" w:hAnsi="Times New Roman"/>
          <w:b/>
        </w:rPr>
        <w:t>77</w:t>
      </w:r>
      <w:r w:rsidRPr="0045487E">
        <w:rPr>
          <w:rFonts w:ascii="Times New Roman" w:hAnsi="Times New Roman"/>
          <w:b/>
        </w:rPr>
        <w:t xml:space="preserve"> - § 43 ods. 13 a</w:t>
      </w:r>
      <w:r w:rsidRPr="0045487E" w:rsidR="00E711C7">
        <w:rPr>
          <w:rFonts w:ascii="Times New Roman" w:hAnsi="Times New Roman"/>
          <w:b/>
        </w:rPr>
        <w:t> </w:t>
      </w:r>
      <w:r w:rsidRPr="0045487E">
        <w:rPr>
          <w:rFonts w:ascii="Times New Roman" w:hAnsi="Times New Roman"/>
          <w:b/>
        </w:rPr>
        <w:t>15</w:t>
      </w:r>
    </w:p>
    <w:p w:rsidR="00DE0EE8" w:rsidRPr="0045487E" w:rsidP="00210E92">
      <w:pPr>
        <w:shd w:val="clear" w:color="auto" w:fill="FFFFFF"/>
        <w:bidi w:val="0"/>
        <w:jc w:val="both"/>
        <w:rPr>
          <w:rFonts w:ascii="Times New Roman" w:hAnsi="Times New Roman"/>
        </w:rPr>
      </w:pPr>
      <w:r w:rsidRPr="0045487E" w:rsidR="00E711C7">
        <w:rPr>
          <w:rFonts w:ascii="Times New Roman" w:hAnsi="Times New Roman"/>
        </w:rPr>
        <w:t>Ide o spresnenie lehoty, v ktorej je platiteľ dane povinný oznámiť správcovi dane zrazenie a odvedenie dane.  Táto lehota je zhodná s lehotou zrazenia a odvedenia dane.</w:t>
      </w:r>
      <w:r w:rsidRPr="0045487E" w:rsidR="00B621A0">
        <w:rPr>
          <w:rFonts w:ascii="Times New Roman" w:hAnsi="Times New Roman"/>
        </w:rPr>
        <w:t xml:space="preserve"> </w:t>
      </w:r>
    </w:p>
    <w:p w:rsidR="00735B83" w:rsidRPr="0045487E" w:rsidP="00210E92">
      <w:pPr>
        <w:shd w:val="clear" w:color="auto" w:fill="FFFFFF"/>
        <w:bidi w:val="0"/>
        <w:jc w:val="both"/>
        <w:rPr>
          <w:rFonts w:ascii="Times New Roman" w:hAnsi="Times New Roman"/>
        </w:rPr>
      </w:pPr>
    </w:p>
    <w:p w:rsidR="00DE0EE8"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7</w:t>
      </w:r>
      <w:r w:rsidR="006A7BE2">
        <w:rPr>
          <w:rFonts w:ascii="Times New Roman" w:hAnsi="Times New Roman"/>
          <w:b/>
        </w:rPr>
        <w:t>8</w:t>
      </w:r>
      <w:r w:rsidRPr="0045487E" w:rsidR="00751EF5">
        <w:rPr>
          <w:rFonts w:ascii="Times New Roman" w:hAnsi="Times New Roman"/>
          <w:b/>
        </w:rPr>
        <w:t xml:space="preserve"> </w:t>
      </w:r>
      <w:r w:rsidRPr="0045487E">
        <w:rPr>
          <w:rFonts w:ascii="Times New Roman" w:hAnsi="Times New Roman"/>
          <w:b/>
        </w:rPr>
        <w:t xml:space="preserve">- § </w:t>
      </w:r>
      <w:r w:rsidRPr="0045487E" w:rsidR="00493504">
        <w:rPr>
          <w:rFonts w:ascii="Times New Roman" w:hAnsi="Times New Roman"/>
          <w:b/>
        </w:rPr>
        <w:t>44 ods. 2</w:t>
      </w:r>
    </w:p>
    <w:p w:rsidR="00493504" w:rsidRPr="0045487E" w:rsidP="00210E92">
      <w:pPr>
        <w:shd w:val="clear" w:color="auto" w:fill="FFFFFF"/>
        <w:bidi w:val="0"/>
        <w:jc w:val="both"/>
        <w:rPr>
          <w:rFonts w:ascii="Times New Roman" w:hAnsi="Times New Roman"/>
        </w:rPr>
      </w:pPr>
      <w:r w:rsidRPr="0045487E">
        <w:rPr>
          <w:rFonts w:ascii="Times New Roman" w:hAnsi="Times New Roman"/>
        </w:rPr>
        <w:t xml:space="preserve">Dopĺňa sa zvýšená sadzba dane, ktorú má platiteľ </w:t>
      </w:r>
      <w:r w:rsidRPr="0045487E" w:rsidR="00014224">
        <w:rPr>
          <w:rFonts w:ascii="Times New Roman" w:hAnsi="Times New Roman"/>
        </w:rPr>
        <w:t xml:space="preserve">dane </w:t>
      </w:r>
      <w:r w:rsidRPr="0045487E">
        <w:rPr>
          <w:rFonts w:ascii="Times New Roman" w:hAnsi="Times New Roman"/>
        </w:rPr>
        <w:t>zabezpečovať voči daňovníkom nezmluvných štátov vymedzených v § 2 písm. x)</w:t>
      </w:r>
      <w:r w:rsidRPr="0045487E" w:rsidR="00223730">
        <w:rPr>
          <w:rFonts w:ascii="Times New Roman" w:hAnsi="Times New Roman"/>
        </w:rPr>
        <w:t xml:space="preserve"> zákona</w:t>
      </w:r>
      <w:r w:rsidRPr="0045487E">
        <w:rPr>
          <w:rFonts w:ascii="Times New Roman" w:hAnsi="Times New Roman"/>
        </w:rPr>
        <w:t xml:space="preserve">. Zabezpečenie dane sa nebude uplatňovať nielen voči daňovníkom členských štátov EÚ, ale aj daňovníkom štátov tvoriacich Európsky hospodársky priestor. </w:t>
      </w:r>
      <w:r w:rsidRPr="0045487E" w:rsidR="00014224">
        <w:rPr>
          <w:rFonts w:ascii="Times New Roman" w:hAnsi="Times New Roman"/>
        </w:rPr>
        <w:t xml:space="preserve">Zároveň sa nahrádza výraz </w:t>
      </w:r>
      <w:r w:rsidRPr="0045487E" w:rsidR="00437ED1">
        <w:rPr>
          <w:rFonts w:ascii="Times New Roman" w:hAnsi="Times New Roman"/>
        </w:rPr>
        <w:t>„</w:t>
      </w:r>
      <w:r w:rsidRPr="0045487E" w:rsidR="00014224">
        <w:rPr>
          <w:rFonts w:ascii="Times New Roman" w:hAnsi="Times New Roman"/>
        </w:rPr>
        <w:t>platiteľ príjmu</w:t>
      </w:r>
      <w:r w:rsidRPr="0045487E" w:rsidR="00437ED1">
        <w:rPr>
          <w:rFonts w:ascii="Times New Roman" w:hAnsi="Times New Roman"/>
        </w:rPr>
        <w:t>“</w:t>
      </w:r>
      <w:r w:rsidRPr="0045487E" w:rsidR="00014224">
        <w:rPr>
          <w:rFonts w:ascii="Times New Roman" w:hAnsi="Times New Roman"/>
        </w:rPr>
        <w:t xml:space="preserve"> výrazom </w:t>
      </w:r>
      <w:r w:rsidRPr="0045487E" w:rsidR="00437ED1">
        <w:rPr>
          <w:rFonts w:ascii="Times New Roman" w:hAnsi="Times New Roman"/>
        </w:rPr>
        <w:t>„</w:t>
      </w:r>
      <w:r w:rsidRPr="0045487E" w:rsidR="00014224">
        <w:rPr>
          <w:rFonts w:ascii="Times New Roman" w:hAnsi="Times New Roman"/>
        </w:rPr>
        <w:t>platiteľ dane</w:t>
      </w:r>
      <w:r w:rsidRPr="0045487E" w:rsidR="00437ED1">
        <w:rPr>
          <w:rFonts w:ascii="Times New Roman" w:hAnsi="Times New Roman"/>
        </w:rPr>
        <w:t>“</w:t>
      </w:r>
      <w:r w:rsidRPr="0045487E" w:rsidR="00014224">
        <w:rPr>
          <w:rFonts w:ascii="Times New Roman" w:hAnsi="Times New Roman"/>
        </w:rPr>
        <w:t xml:space="preserve">, nakoľko § 2 písm. v) </w:t>
      </w:r>
      <w:r w:rsidRPr="0045487E" w:rsidR="00735B83">
        <w:rPr>
          <w:rFonts w:ascii="Times New Roman" w:hAnsi="Times New Roman"/>
        </w:rPr>
        <w:t xml:space="preserve">zákona </w:t>
      </w:r>
      <w:r w:rsidRPr="0045487E" w:rsidR="00014224">
        <w:rPr>
          <w:rFonts w:ascii="Times New Roman" w:hAnsi="Times New Roman"/>
        </w:rPr>
        <w:t>definuje platiteľa dane a táto definícia rovnako zahŕňa aj osobu, ktorá je povinná vybrať preddavok na daň (zabezpečenie dane sa považuje za preddavok na daň).</w:t>
      </w:r>
      <w:r w:rsidRPr="0045487E">
        <w:rPr>
          <w:rFonts w:ascii="Times New Roman" w:hAnsi="Times New Roman"/>
        </w:rPr>
        <w:t xml:space="preserve"> </w:t>
      </w:r>
    </w:p>
    <w:p w:rsidR="00493504" w:rsidRPr="0045487E" w:rsidP="00210E92">
      <w:pPr>
        <w:shd w:val="clear" w:color="auto" w:fill="FFFFFF"/>
        <w:bidi w:val="0"/>
        <w:jc w:val="both"/>
        <w:rPr>
          <w:rFonts w:ascii="Times New Roman" w:hAnsi="Times New Roman"/>
        </w:rPr>
      </w:pPr>
    </w:p>
    <w:p w:rsidR="007905FD"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6A7BE2">
        <w:rPr>
          <w:rFonts w:ascii="Times New Roman" w:hAnsi="Times New Roman"/>
          <w:b/>
        </w:rPr>
        <w:t>79</w:t>
      </w:r>
      <w:r w:rsidRPr="0045487E">
        <w:rPr>
          <w:rFonts w:ascii="Times New Roman" w:hAnsi="Times New Roman"/>
          <w:b/>
        </w:rPr>
        <w:t xml:space="preserve"> - § </w:t>
      </w:r>
      <w:r w:rsidRPr="0045487E" w:rsidR="00493504">
        <w:rPr>
          <w:rFonts w:ascii="Times New Roman" w:hAnsi="Times New Roman"/>
          <w:b/>
        </w:rPr>
        <w:t>44 ods. 3</w:t>
      </w:r>
    </w:p>
    <w:p w:rsidR="00B621A0" w:rsidRPr="0045487E" w:rsidP="00B621A0">
      <w:pPr>
        <w:shd w:val="clear" w:color="auto" w:fill="FFFFFF"/>
        <w:bidi w:val="0"/>
        <w:jc w:val="both"/>
        <w:rPr>
          <w:rFonts w:ascii="Times New Roman" w:hAnsi="Times New Roman"/>
        </w:rPr>
      </w:pPr>
      <w:r w:rsidRPr="0045487E">
        <w:rPr>
          <w:rFonts w:ascii="Times New Roman" w:hAnsi="Times New Roman"/>
        </w:rPr>
        <w:t xml:space="preserve">Oznámenie o zabezpečenej dani sú platitelia dane povinní oznamovať na tlačive, ktorého vzor určí Finančné riaditeľstvo Slovenskej republiky v lehote zhodnej so zrazením a odvedením dane. Zároveň platiteľ dane, ktorý poukazuje platbu do nezmluvného štátu (daňovníkovi podľa § 2 písm. x) zákona), je povinný spolu s oznámením predložiť aj prílohy, ktoré sú špecifikované na danom tlačive. Obsahom tlačiva sú pri fyzických osobách aj ustanovené osobné údaje (meno, priezvisko, adresa a dátum narodenia). Rovnako sa nahrádza výraz „platiteľ príjmu“ výrazom „platiteľ dane“ v nadväznosti na definíciu v § 2 písm. v) zákona. </w:t>
      </w:r>
    </w:p>
    <w:p w:rsidR="003C1066" w:rsidRPr="0045487E" w:rsidP="00210E92">
      <w:pPr>
        <w:shd w:val="clear" w:color="auto" w:fill="FFFFFF"/>
        <w:bidi w:val="0"/>
        <w:jc w:val="both"/>
        <w:rPr>
          <w:rFonts w:ascii="Times New Roman" w:hAnsi="Times New Roman"/>
        </w:rPr>
      </w:pPr>
    </w:p>
    <w:p w:rsidR="003C1066"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8</w:t>
      </w:r>
      <w:r w:rsidR="006A7BE2">
        <w:rPr>
          <w:rFonts w:ascii="Times New Roman" w:hAnsi="Times New Roman"/>
          <w:b/>
        </w:rPr>
        <w:t>0</w:t>
      </w:r>
      <w:r w:rsidRPr="0045487E">
        <w:rPr>
          <w:rFonts w:ascii="Times New Roman" w:hAnsi="Times New Roman"/>
          <w:b/>
        </w:rPr>
        <w:t xml:space="preserve"> - § 44 ods. 4 a ods. 6</w:t>
      </w:r>
    </w:p>
    <w:p w:rsidR="00437ED1" w:rsidRPr="0045487E" w:rsidP="00210E92">
      <w:pPr>
        <w:shd w:val="clear" w:color="auto" w:fill="FFFFFF"/>
        <w:bidi w:val="0"/>
        <w:jc w:val="both"/>
        <w:rPr>
          <w:rFonts w:ascii="Times New Roman" w:hAnsi="Times New Roman"/>
        </w:rPr>
      </w:pPr>
      <w:r w:rsidRPr="0045487E">
        <w:rPr>
          <w:rFonts w:ascii="Times New Roman" w:hAnsi="Times New Roman"/>
        </w:rPr>
        <w:t>Nahrádza sa výraz „platiteľ príjmu“ výrazom „platiteľ dane“ v nadväznosti na definíciu v § 2 písm. v)</w:t>
      </w:r>
      <w:r w:rsidRPr="0045487E" w:rsidR="00223730">
        <w:rPr>
          <w:rFonts w:ascii="Times New Roman" w:hAnsi="Times New Roman"/>
        </w:rPr>
        <w:t xml:space="preserve"> zákona</w:t>
      </w:r>
      <w:r w:rsidRPr="0045487E">
        <w:rPr>
          <w:rFonts w:ascii="Times New Roman" w:hAnsi="Times New Roman"/>
        </w:rPr>
        <w:t>.</w:t>
      </w:r>
    </w:p>
    <w:p w:rsidR="00892C2E" w:rsidRPr="0045487E" w:rsidP="00210E92">
      <w:pPr>
        <w:shd w:val="clear" w:color="auto" w:fill="FFFFFF"/>
        <w:bidi w:val="0"/>
        <w:jc w:val="both"/>
        <w:rPr>
          <w:rFonts w:ascii="Times New Roman" w:hAnsi="Times New Roman"/>
          <w:b/>
        </w:rPr>
      </w:pPr>
    </w:p>
    <w:p w:rsidR="00DE0EE8"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8</w:t>
      </w:r>
      <w:r w:rsidR="006A7BE2">
        <w:rPr>
          <w:rFonts w:ascii="Times New Roman" w:hAnsi="Times New Roman"/>
          <w:b/>
        </w:rPr>
        <w:t>1</w:t>
      </w:r>
      <w:r w:rsidRPr="0045487E" w:rsidR="007E05AD">
        <w:rPr>
          <w:rFonts w:ascii="Times New Roman" w:hAnsi="Times New Roman"/>
          <w:b/>
        </w:rPr>
        <w:t xml:space="preserve"> </w:t>
      </w:r>
      <w:r w:rsidRPr="0045487E">
        <w:rPr>
          <w:rFonts w:ascii="Times New Roman" w:hAnsi="Times New Roman"/>
          <w:b/>
        </w:rPr>
        <w:t xml:space="preserve">- § </w:t>
      </w:r>
      <w:r w:rsidRPr="0045487E" w:rsidR="00493504">
        <w:rPr>
          <w:rFonts w:ascii="Times New Roman" w:hAnsi="Times New Roman"/>
          <w:b/>
        </w:rPr>
        <w:t>45 ods. 1</w:t>
      </w:r>
      <w:r w:rsidRPr="0045487E" w:rsidR="00D73987">
        <w:rPr>
          <w:rFonts w:ascii="Times New Roman" w:hAnsi="Times New Roman"/>
          <w:b/>
        </w:rPr>
        <w:t xml:space="preserve"> štvrtá veta</w:t>
      </w:r>
      <w:r w:rsidRPr="0045487E" w:rsidR="00B621A0">
        <w:rPr>
          <w:rFonts w:ascii="Times New Roman" w:hAnsi="Times New Roman"/>
          <w:b/>
        </w:rPr>
        <w:t xml:space="preserve"> a posledná veta</w:t>
      </w:r>
    </w:p>
    <w:p w:rsidR="00493504" w:rsidRPr="0045487E" w:rsidP="00210E92">
      <w:pPr>
        <w:shd w:val="clear" w:color="auto" w:fill="FFFFFF"/>
        <w:bidi w:val="0"/>
        <w:jc w:val="both"/>
        <w:rPr>
          <w:rFonts w:ascii="Times New Roman" w:hAnsi="Times New Roman"/>
        </w:rPr>
      </w:pPr>
      <w:r w:rsidRPr="0045487E" w:rsidR="008D2DFD">
        <w:rPr>
          <w:rFonts w:ascii="Times New Roman" w:hAnsi="Times New Roman"/>
        </w:rPr>
        <w:t xml:space="preserve">Pri metóde vyňatia sa dopĺňa daňová strata za účelom zosúladenia s </w:t>
      </w:r>
      <w:r w:rsidRPr="0045487E">
        <w:rPr>
          <w:rFonts w:ascii="Times New Roman" w:hAnsi="Times New Roman"/>
          <w:bCs/>
        </w:rPr>
        <w:t>§ 17 ods. 14</w:t>
      </w:r>
      <w:r w:rsidRPr="0045487E" w:rsidR="00223730">
        <w:rPr>
          <w:rFonts w:ascii="Times New Roman" w:hAnsi="Times New Roman"/>
          <w:bCs/>
        </w:rPr>
        <w:t xml:space="preserve"> zákona</w:t>
      </w:r>
      <w:r w:rsidRPr="0045487E" w:rsidR="008D2DFD">
        <w:rPr>
          <w:rFonts w:ascii="Times New Roman" w:hAnsi="Times New Roman"/>
          <w:bCs/>
        </w:rPr>
        <w:t xml:space="preserve"> a navyše sa pri metóde zápočtu a vyňatia </w:t>
      </w:r>
      <w:r w:rsidRPr="0045487E" w:rsidR="00FA18CE">
        <w:rPr>
          <w:rFonts w:ascii="Times New Roman" w:hAnsi="Times New Roman"/>
          <w:bCs/>
        </w:rPr>
        <w:t xml:space="preserve">pri fyzických osobách </w:t>
      </w:r>
      <w:r w:rsidRPr="0045487E" w:rsidR="008D2DFD">
        <w:rPr>
          <w:rFonts w:ascii="Times New Roman" w:hAnsi="Times New Roman"/>
          <w:bCs/>
        </w:rPr>
        <w:t>upresňuje, že základ dane je vyčíslený podľa § 5, § 6 ods. 3 a 4, § 7 a 8 zákona</w:t>
      </w:r>
      <w:r w:rsidRPr="0045487E">
        <w:rPr>
          <w:rFonts w:ascii="Times New Roman" w:hAnsi="Times New Roman"/>
          <w:bCs/>
        </w:rPr>
        <w:t>.</w:t>
      </w:r>
    </w:p>
    <w:p w:rsidR="00493504" w:rsidRPr="0045487E" w:rsidP="00210E92">
      <w:pPr>
        <w:shd w:val="clear" w:color="auto" w:fill="FFFFFF"/>
        <w:bidi w:val="0"/>
        <w:jc w:val="both"/>
        <w:rPr>
          <w:rFonts w:ascii="Times New Roman" w:hAnsi="Times New Roman"/>
        </w:rPr>
      </w:pPr>
    </w:p>
    <w:p w:rsidR="00474FD9" w:rsidRPr="0045487E" w:rsidP="00210E92">
      <w:pPr>
        <w:shd w:val="clear" w:color="auto" w:fill="FFFFFF"/>
        <w:bidi w:val="0"/>
        <w:jc w:val="both"/>
        <w:rPr>
          <w:rFonts w:ascii="Times New Roman" w:hAnsi="Times New Roman"/>
          <w:b/>
        </w:rPr>
      </w:pPr>
      <w:r w:rsidRPr="0045487E">
        <w:rPr>
          <w:rFonts w:ascii="Times New Roman" w:hAnsi="Times New Roman"/>
          <w:b/>
        </w:rPr>
        <w:t>K bod</w:t>
      </w:r>
      <w:r w:rsidRPr="0045487E" w:rsidR="008E0AB9">
        <w:rPr>
          <w:rFonts w:ascii="Times New Roman" w:hAnsi="Times New Roman"/>
          <w:b/>
        </w:rPr>
        <w:t>om</w:t>
      </w:r>
      <w:r w:rsidRPr="0045487E">
        <w:rPr>
          <w:rFonts w:ascii="Times New Roman" w:hAnsi="Times New Roman"/>
          <w:b/>
        </w:rPr>
        <w:t xml:space="preserve"> </w:t>
      </w:r>
      <w:r w:rsidR="001F1378">
        <w:rPr>
          <w:rFonts w:ascii="Times New Roman" w:hAnsi="Times New Roman"/>
          <w:b/>
        </w:rPr>
        <w:t>8</w:t>
      </w:r>
      <w:r w:rsidR="006A7BE2">
        <w:rPr>
          <w:rFonts w:ascii="Times New Roman" w:hAnsi="Times New Roman"/>
          <w:b/>
        </w:rPr>
        <w:t>3</w:t>
      </w:r>
      <w:r w:rsidR="001F1378">
        <w:rPr>
          <w:rFonts w:ascii="Times New Roman" w:hAnsi="Times New Roman"/>
          <w:b/>
        </w:rPr>
        <w:t xml:space="preserve"> a 8</w:t>
      </w:r>
      <w:r w:rsidR="006A7BE2">
        <w:rPr>
          <w:rFonts w:ascii="Times New Roman" w:hAnsi="Times New Roman"/>
          <w:b/>
        </w:rPr>
        <w:t>4</w:t>
      </w:r>
      <w:r w:rsidRPr="0045487E">
        <w:rPr>
          <w:rFonts w:ascii="Times New Roman" w:hAnsi="Times New Roman"/>
          <w:b/>
        </w:rPr>
        <w:t xml:space="preserve"> - § 47 ods. 1 a 2</w:t>
      </w:r>
    </w:p>
    <w:p w:rsidR="00474FD9" w:rsidRPr="0045487E" w:rsidP="00210E92">
      <w:pPr>
        <w:shd w:val="clear" w:color="auto" w:fill="FFFFFF"/>
        <w:bidi w:val="0"/>
        <w:jc w:val="both"/>
        <w:rPr>
          <w:rFonts w:ascii="Times New Roman" w:hAnsi="Times New Roman"/>
        </w:rPr>
      </w:pPr>
      <w:r w:rsidRPr="0045487E">
        <w:rPr>
          <w:rFonts w:ascii="Times New Roman" w:hAnsi="Times New Roman"/>
        </w:rPr>
        <w:t>Upravuje sa spôsob zaokrúhľovania podielu 2 % zaplatenej dane (smerom nadol).</w:t>
      </w:r>
    </w:p>
    <w:p w:rsidR="00474FD9" w:rsidRPr="0045487E" w:rsidP="00210E92">
      <w:pPr>
        <w:shd w:val="clear" w:color="auto" w:fill="FFFFFF"/>
        <w:bidi w:val="0"/>
        <w:jc w:val="both"/>
        <w:rPr>
          <w:rFonts w:ascii="Times New Roman" w:hAnsi="Times New Roman"/>
        </w:rPr>
      </w:pPr>
      <w:r w:rsidRPr="0045487E">
        <w:rPr>
          <w:rFonts w:ascii="Times New Roman" w:hAnsi="Times New Roman"/>
        </w:rPr>
        <w:t xml:space="preserve"> </w:t>
      </w:r>
    </w:p>
    <w:p w:rsidR="000042AB"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8</w:t>
      </w:r>
      <w:r w:rsidR="006A7BE2">
        <w:rPr>
          <w:rFonts w:ascii="Times New Roman" w:hAnsi="Times New Roman"/>
          <w:b/>
        </w:rPr>
        <w:t>5</w:t>
      </w:r>
      <w:r w:rsidRPr="0045487E">
        <w:rPr>
          <w:rFonts w:ascii="Times New Roman" w:hAnsi="Times New Roman"/>
          <w:b/>
        </w:rPr>
        <w:t xml:space="preserve"> - § </w:t>
      </w:r>
      <w:r w:rsidRPr="0045487E" w:rsidR="00493504">
        <w:rPr>
          <w:rFonts w:ascii="Times New Roman" w:hAnsi="Times New Roman"/>
          <w:b/>
        </w:rPr>
        <w:t>49 ods. 1</w:t>
      </w:r>
    </w:p>
    <w:p w:rsidR="00493504" w:rsidRPr="0045487E" w:rsidP="00210E92">
      <w:pPr>
        <w:shd w:val="clear" w:color="auto" w:fill="FFFFFF"/>
        <w:bidi w:val="0"/>
        <w:jc w:val="both"/>
        <w:rPr>
          <w:rFonts w:ascii="Times New Roman" w:hAnsi="Times New Roman"/>
        </w:rPr>
      </w:pPr>
      <w:r w:rsidRPr="0045487E">
        <w:rPr>
          <w:rFonts w:ascii="Times New Roman" w:hAnsi="Times New Roman"/>
        </w:rPr>
        <w:t>Legislatívno</w:t>
      </w:r>
      <w:r w:rsidRPr="0045487E" w:rsidR="003B7B98">
        <w:rPr>
          <w:rFonts w:ascii="Times New Roman" w:hAnsi="Times New Roman"/>
        </w:rPr>
        <w:t xml:space="preserve"> </w:t>
      </w:r>
      <w:r w:rsidRPr="0045487E">
        <w:rPr>
          <w:rFonts w:ascii="Times New Roman" w:hAnsi="Times New Roman"/>
        </w:rPr>
        <w:t>-</w:t>
      </w:r>
      <w:r w:rsidRPr="0045487E" w:rsidR="003B7B98">
        <w:rPr>
          <w:rFonts w:ascii="Times New Roman" w:hAnsi="Times New Roman"/>
        </w:rPr>
        <w:t xml:space="preserve"> </w:t>
      </w:r>
      <w:r w:rsidRPr="0045487E">
        <w:rPr>
          <w:rFonts w:ascii="Times New Roman" w:hAnsi="Times New Roman"/>
        </w:rPr>
        <w:t>technická úprava vykonaná v súvislosti s úpravami ustanovenia § 49 ods. 11 zákona s účinnosťou od 1</w:t>
      </w:r>
      <w:r w:rsidRPr="0045487E" w:rsidR="00F941CE">
        <w:rPr>
          <w:rFonts w:ascii="Times New Roman" w:hAnsi="Times New Roman"/>
        </w:rPr>
        <w:t>. 1. 2014</w:t>
      </w:r>
      <w:r w:rsidRPr="0045487E">
        <w:rPr>
          <w:rFonts w:ascii="Times New Roman" w:hAnsi="Times New Roman"/>
        </w:rPr>
        <w:t>.</w:t>
      </w:r>
      <w:r w:rsidRPr="0045487E" w:rsidR="00F941CE">
        <w:rPr>
          <w:rFonts w:ascii="Times New Roman" w:hAnsi="Times New Roman"/>
        </w:rPr>
        <w:t xml:space="preserve"> </w:t>
      </w:r>
    </w:p>
    <w:p w:rsidR="00223730" w:rsidRPr="0045487E" w:rsidP="00210E92">
      <w:pPr>
        <w:shd w:val="clear" w:color="auto" w:fill="FFFFFF"/>
        <w:bidi w:val="0"/>
        <w:jc w:val="both"/>
        <w:rPr>
          <w:rFonts w:ascii="Times New Roman" w:hAnsi="Times New Roman"/>
          <w:b/>
        </w:rPr>
      </w:pPr>
    </w:p>
    <w:p w:rsidR="0086154F"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8</w:t>
      </w:r>
      <w:r w:rsidR="006A7BE2">
        <w:rPr>
          <w:rFonts w:ascii="Times New Roman" w:hAnsi="Times New Roman"/>
          <w:b/>
        </w:rPr>
        <w:t>6</w:t>
      </w:r>
      <w:r w:rsidRPr="0045487E" w:rsidR="00751EF5">
        <w:rPr>
          <w:rFonts w:ascii="Times New Roman" w:hAnsi="Times New Roman"/>
          <w:b/>
        </w:rPr>
        <w:t xml:space="preserve"> </w:t>
      </w:r>
      <w:r w:rsidRPr="0045487E">
        <w:rPr>
          <w:rFonts w:ascii="Times New Roman" w:hAnsi="Times New Roman"/>
          <w:b/>
        </w:rPr>
        <w:t>- § 49 ods. 3</w:t>
      </w:r>
      <w:r w:rsidRPr="0045487E" w:rsidR="00D73987">
        <w:rPr>
          <w:rFonts w:ascii="Times New Roman" w:hAnsi="Times New Roman"/>
          <w:b/>
        </w:rPr>
        <w:t xml:space="preserve"> písm. b)</w:t>
      </w:r>
    </w:p>
    <w:p w:rsidR="0086154F" w:rsidRPr="0045487E" w:rsidP="00210E92">
      <w:pPr>
        <w:shd w:val="clear" w:color="auto" w:fill="FFFFFF"/>
        <w:bidi w:val="0"/>
        <w:jc w:val="both"/>
        <w:rPr>
          <w:rFonts w:ascii="Times New Roman" w:hAnsi="Times New Roman"/>
        </w:rPr>
      </w:pPr>
      <w:r w:rsidRPr="0045487E">
        <w:rPr>
          <w:rFonts w:ascii="Times New Roman" w:hAnsi="Times New Roman"/>
        </w:rPr>
        <w:t>Doplnením sa jasne špecifikuje, že predĺženie lehoty na podanie daňového priznania je umožnené daňovníkovi, ktorý dosahuje príjmy zo zdrojov v zahraničí, ktoré však sú v zahraničí zdaniteľné (t.j. sú predmetom dane a nie sú od dane oslobodené).</w:t>
      </w:r>
      <w:r w:rsidRPr="0045487E" w:rsidR="00A907F6">
        <w:rPr>
          <w:rFonts w:ascii="Times New Roman" w:hAnsi="Times New Roman"/>
        </w:rPr>
        <w:t xml:space="preserve"> Ak by príjmy neboli v zahraničí zdaniteľným príjmom, nie je dôvod na predlžovanie lehoty na území Slovenskej republiky.</w:t>
      </w:r>
    </w:p>
    <w:p w:rsidR="0086154F" w:rsidRPr="0045487E" w:rsidP="00210E92">
      <w:pPr>
        <w:shd w:val="clear" w:color="auto" w:fill="FFFFFF"/>
        <w:bidi w:val="0"/>
        <w:jc w:val="both"/>
        <w:rPr>
          <w:rFonts w:ascii="Times New Roman" w:hAnsi="Times New Roman"/>
        </w:rPr>
      </w:pPr>
    </w:p>
    <w:p w:rsidR="00F941CE" w:rsidRPr="0045487E" w:rsidP="00210E92">
      <w:pPr>
        <w:shd w:val="clear" w:color="auto" w:fill="FFFFFF"/>
        <w:bidi w:val="0"/>
        <w:rPr>
          <w:rFonts w:ascii="Times New Roman" w:hAnsi="Times New Roman"/>
          <w:b/>
        </w:rPr>
      </w:pPr>
      <w:r w:rsidRPr="0045487E" w:rsidR="00DE0EE8">
        <w:rPr>
          <w:rFonts w:ascii="Times New Roman" w:hAnsi="Times New Roman"/>
          <w:b/>
        </w:rPr>
        <w:t xml:space="preserve">K bodu </w:t>
      </w:r>
      <w:r w:rsidR="001F1378">
        <w:rPr>
          <w:rFonts w:ascii="Times New Roman" w:hAnsi="Times New Roman"/>
          <w:b/>
        </w:rPr>
        <w:t>8</w:t>
      </w:r>
      <w:r w:rsidR="006A7BE2">
        <w:rPr>
          <w:rFonts w:ascii="Times New Roman" w:hAnsi="Times New Roman"/>
          <w:b/>
        </w:rPr>
        <w:t>7</w:t>
      </w:r>
      <w:r w:rsidRPr="0045487E" w:rsidR="00751EF5">
        <w:rPr>
          <w:rFonts w:ascii="Times New Roman" w:hAnsi="Times New Roman"/>
          <w:b/>
        </w:rPr>
        <w:t xml:space="preserve"> </w:t>
      </w:r>
      <w:r w:rsidRPr="0045487E" w:rsidR="00CC09EB">
        <w:rPr>
          <w:rFonts w:ascii="Times New Roman" w:hAnsi="Times New Roman"/>
          <w:b/>
        </w:rPr>
        <w:t>- §</w:t>
      </w:r>
      <w:r w:rsidRPr="0045487E">
        <w:rPr>
          <w:rFonts w:ascii="Times New Roman" w:hAnsi="Times New Roman"/>
          <w:b/>
        </w:rPr>
        <w:t xml:space="preserve"> 49 ods. </w:t>
      </w:r>
      <w:r w:rsidRPr="0045487E" w:rsidR="00D73987">
        <w:rPr>
          <w:rFonts w:ascii="Times New Roman" w:hAnsi="Times New Roman"/>
          <w:b/>
        </w:rPr>
        <w:t>4 a 5</w:t>
      </w:r>
    </w:p>
    <w:p w:rsidR="00F941CE" w:rsidRPr="0045487E" w:rsidP="00210E92">
      <w:pPr>
        <w:shd w:val="clear" w:color="auto" w:fill="FFFFFF"/>
        <w:bidi w:val="0"/>
        <w:jc w:val="both"/>
        <w:rPr>
          <w:rFonts w:ascii="Times New Roman" w:hAnsi="Times New Roman"/>
        </w:rPr>
      </w:pPr>
      <w:r w:rsidRPr="0045487E">
        <w:rPr>
          <w:rFonts w:ascii="Times New Roman" w:hAnsi="Times New Roman"/>
        </w:rPr>
        <w:t>Ak daňovník, fyzická osoba zomrie, daňové priznanie v určenej lehote podáva dedič. Ak bol zomrelý daňovník</w:t>
      </w:r>
      <w:r w:rsidRPr="0045487E" w:rsidR="00735B83">
        <w:rPr>
          <w:rFonts w:ascii="Times New Roman" w:hAnsi="Times New Roman"/>
        </w:rPr>
        <w:t xml:space="preserve"> zamestnávateľom, ktorý je</w:t>
      </w:r>
      <w:r w:rsidRPr="0045487E">
        <w:rPr>
          <w:rFonts w:ascii="Times New Roman" w:hAnsi="Times New Roman"/>
        </w:rPr>
        <w:t xml:space="preserve"> platiteľom dane, t.j. mal zamestnancov, aj prehľad a hlásenie podáva po jeho úmrtí dedič v lehote a spôsobom ako daňové priznanie. Prehľad bude dedič povinný podať za tie mesiace, za ktoré vznikla zomrelému táto povinnosť.</w:t>
      </w:r>
    </w:p>
    <w:p w:rsidR="00E852F1" w:rsidRPr="0045487E" w:rsidP="00210E92">
      <w:pPr>
        <w:shd w:val="clear" w:color="auto" w:fill="FFFFFF"/>
        <w:bidi w:val="0"/>
        <w:jc w:val="both"/>
        <w:rPr>
          <w:rFonts w:ascii="Times New Roman" w:hAnsi="Times New Roman"/>
        </w:rPr>
      </w:pPr>
    </w:p>
    <w:p w:rsidR="00B621A0" w:rsidRPr="0045487E" w:rsidP="00B621A0">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8</w:t>
      </w:r>
      <w:r w:rsidR="006A7BE2">
        <w:rPr>
          <w:rFonts w:ascii="Times New Roman" w:hAnsi="Times New Roman"/>
          <w:b/>
        </w:rPr>
        <w:t>8</w:t>
      </w:r>
      <w:r w:rsidR="001F1378">
        <w:rPr>
          <w:rFonts w:ascii="Times New Roman" w:hAnsi="Times New Roman"/>
          <w:b/>
        </w:rPr>
        <w:t xml:space="preserve"> </w:t>
      </w:r>
      <w:r w:rsidRPr="0045487E">
        <w:rPr>
          <w:rFonts w:ascii="Times New Roman" w:hAnsi="Times New Roman"/>
          <w:b/>
        </w:rPr>
        <w:t>- § 49 ods. 7</w:t>
      </w:r>
    </w:p>
    <w:p w:rsidR="00B621A0" w:rsidRPr="0045487E" w:rsidP="00B621A0">
      <w:pPr>
        <w:shd w:val="clear" w:color="auto" w:fill="FFFFFF"/>
        <w:bidi w:val="0"/>
        <w:jc w:val="both"/>
        <w:rPr>
          <w:rFonts w:ascii="Times New Roman" w:hAnsi="Times New Roman"/>
        </w:rPr>
      </w:pPr>
      <w:r w:rsidRPr="0045487E">
        <w:rPr>
          <w:rFonts w:ascii="Times New Roman" w:hAnsi="Times New Roman"/>
        </w:rPr>
        <w:t xml:space="preserve">Úpravou sa spresňuje, že podmienkou pre podanie daňového priznania pri zrušení stálej prevádzkarne v súlade s týmto ustanovením je nielen existencia iných stálych prevádzkarní a iných zdaniteľných príjmov na území Slovenskej republiky, ale aj existencia organizačnej zložky na území Slovenskej republiky.  </w:t>
      </w:r>
    </w:p>
    <w:p w:rsidR="005F586B" w:rsidRPr="0045487E" w:rsidP="00210E92">
      <w:pPr>
        <w:shd w:val="clear" w:color="auto" w:fill="FFFFFF"/>
        <w:bidi w:val="0"/>
        <w:jc w:val="both"/>
        <w:rPr>
          <w:rFonts w:ascii="Times New Roman" w:hAnsi="Times New Roman"/>
        </w:rPr>
      </w:pPr>
    </w:p>
    <w:p w:rsidR="00B621A0" w:rsidRPr="0045487E" w:rsidP="00B621A0">
      <w:pPr>
        <w:shd w:val="clear" w:color="auto" w:fill="FFFFFF"/>
        <w:bidi w:val="0"/>
        <w:jc w:val="both"/>
        <w:rPr>
          <w:rFonts w:ascii="Times New Roman" w:hAnsi="Times New Roman"/>
          <w:b/>
        </w:rPr>
      </w:pPr>
      <w:r w:rsidRPr="0045487E">
        <w:rPr>
          <w:rFonts w:ascii="Times New Roman" w:hAnsi="Times New Roman"/>
          <w:b/>
        </w:rPr>
        <w:t xml:space="preserve">K bodu </w:t>
      </w:r>
      <w:r w:rsidR="006A7BE2">
        <w:rPr>
          <w:rFonts w:ascii="Times New Roman" w:hAnsi="Times New Roman"/>
          <w:b/>
        </w:rPr>
        <w:t>8</w:t>
      </w:r>
      <w:r w:rsidR="001F1378">
        <w:rPr>
          <w:rFonts w:ascii="Times New Roman" w:hAnsi="Times New Roman"/>
          <w:b/>
        </w:rPr>
        <w:t>9</w:t>
      </w:r>
      <w:r w:rsidRPr="0045487E">
        <w:rPr>
          <w:rFonts w:ascii="Times New Roman" w:hAnsi="Times New Roman"/>
          <w:b/>
        </w:rPr>
        <w:t xml:space="preserve"> - § 49 ods. 8</w:t>
      </w:r>
    </w:p>
    <w:p w:rsidR="00B621A0" w:rsidRPr="0045487E" w:rsidP="00B621A0">
      <w:pPr>
        <w:shd w:val="clear" w:color="auto" w:fill="FFFFFF"/>
        <w:bidi w:val="0"/>
        <w:jc w:val="both"/>
        <w:rPr>
          <w:rFonts w:ascii="Times New Roman" w:hAnsi="Times New Roman"/>
        </w:rPr>
      </w:pPr>
      <w:r w:rsidRPr="0045487E">
        <w:rPr>
          <w:rFonts w:ascii="Times New Roman" w:hAnsi="Times New Roman"/>
        </w:rPr>
        <w:t xml:space="preserve">Predmetné ustanovenie sa vzťahuje na daňovníkov s obmedzenou daňovou povinnosťou na území Slovenskej republiky, ktorí zistili vznik stálej prevádzkarne až v zdaňovacom období, ktoré nasleduje po zdaňovacom období, v ktorom im stála prevádzkareň vznikla (z dôvodu zmeny skutočností ovplyvňujúcich vznik stálej prevádzkarne). Zjednocuje sa lehota na podanie daňového priznania v takýchto prípadoch s ostatnými ustanoveniami zákona a navyše sa spresňuje, že daňovník s obmedzenou daňovou povinnosťou – právnická osoba nemá povinnosť podať daňové priznanie v lehote vymedzenej v tomto ustanovení, ak už má na území Slovenskej republiky registrovanú organizačnú zložku, nakoľko takáto právnická osoba podáva daňové priznanie v lehote podľa odseku 2 v § 49 zákona. </w:t>
      </w:r>
    </w:p>
    <w:p w:rsidR="00B621A0" w:rsidRPr="0045487E" w:rsidP="00B621A0">
      <w:pPr>
        <w:shd w:val="clear" w:color="auto" w:fill="FFFFFF"/>
        <w:bidi w:val="0"/>
        <w:jc w:val="both"/>
        <w:rPr>
          <w:rFonts w:ascii="Arial Narrow" w:hAnsi="Arial Narrow"/>
          <w:sz w:val="22"/>
          <w:szCs w:val="22"/>
        </w:rPr>
      </w:pPr>
    </w:p>
    <w:p w:rsidR="00B621A0" w:rsidRPr="0045487E" w:rsidP="00210E92">
      <w:pPr>
        <w:shd w:val="clear" w:color="auto" w:fill="FFFFFF"/>
        <w:bidi w:val="0"/>
        <w:jc w:val="both"/>
        <w:rPr>
          <w:rFonts w:ascii="Times New Roman" w:hAnsi="Times New Roman"/>
          <w:b/>
        </w:rPr>
      </w:pPr>
      <w:r w:rsidRPr="0045487E" w:rsidR="00474FD9">
        <w:rPr>
          <w:rFonts w:ascii="Times New Roman" w:hAnsi="Times New Roman"/>
          <w:b/>
        </w:rPr>
        <w:t>K</w:t>
      </w:r>
      <w:r w:rsidR="001F1378">
        <w:rPr>
          <w:rFonts w:ascii="Times New Roman" w:hAnsi="Times New Roman"/>
          <w:b/>
        </w:rPr>
        <w:t xml:space="preserve"> bodu 9</w:t>
      </w:r>
      <w:r w:rsidR="006A7BE2">
        <w:rPr>
          <w:rFonts w:ascii="Times New Roman" w:hAnsi="Times New Roman"/>
          <w:b/>
        </w:rPr>
        <w:t>0</w:t>
      </w:r>
      <w:r w:rsidRPr="0045487E" w:rsidR="008E0AB9">
        <w:rPr>
          <w:rFonts w:ascii="Times New Roman" w:hAnsi="Times New Roman"/>
          <w:b/>
        </w:rPr>
        <w:t xml:space="preserve"> -</w:t>
      </w:r>
      <w:r w:rsidRPr="0045487E" w:rsidR="00474FD9">
        <w:rPr>
          <w:rFonts w:ascii="Times New Roman" w:hAnsi="Times New Roman"/>
          <w:b/>
        </w:rPr>
        <w:t xml:space="preserve"> § 49 ods. 11</w:t>
      </w:r>
    </w:p>
    <w:p w:rsidR="00474FD9" w:rsidRPr="0045487E" w:rsidP="00474FD9">
      <w:pPr>
        <w:bidi w:val="0"/>
        <w:jc w:val="both"/>
        <w:rPr>
          <w:rFonts w:ascii="Times New Roman" w:hAnsi="Times New Roman"/>
        </w:rPr>
      </w:pPr>
      <w:r w:rsidRPr="0045487E">
        <w:rPr>
          <w:rFonts w:ascii="Times New Roman" w:hAnsi="Times New Roman"/>
        </w:rPr>
        <w:t>Ročná finančná správa emitenta cenných papierov tvorí jeden celok a obsahuje ročnú účtovnú závierku, výročnú správu a vyhlásenie zodpovedných osôb. Lehota na uloženie podľa zákona o burze cenných papierov je štyri mesiace. Účtovnú závierku v súlade so smernicou EP a R č. 2004/109/ES nie je možné vyňať a uložiť v lehote na podanie daňového priznania. Aby bol dodržaný zámer vlády predkladať účtovnú závierku a výročnú správu iba raz povoľuje sa emitentom uložiť účtovnú závierku v súlade s ich zákonom ako súčasť ročnej finančnej správy.</w:t>
      </w:r>
    </w:p>
    <w:p w:rsidR="005F586B" w:rsidRPr="0045487E" w:rsidP="00210E92">
      <w:pPr>
        <w:shd w:val="clear" w:color="auto" w:fill="FFFFFF"/>
        <w:bidi w:val="0"/>
        <w:jc w:val="both"/>
        <w:rPr>
          <w:rFonts w:ascii="Times New Roman" w:hAnsi="Times New Roman"/>
        </w:rPr>
      </w:pPr>
    </w:p>
    <w:p w:rsidR="00E852F1"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9</w:t>
      </w:r>
      <w:r w:rsidR="006A7BE2">
        <w:rPr>
          <w:rFonts w:ascii="Times New Roman" w:hAnsi="Times New Roman"/>
          <w:b/>
        </w:rPr>
        <w:t>1</w:t>
      </w:r>
      <w:r w:rsidRPr="0045487E" w:rsidR="00905AD1">
        <w:rPr>
          <w:rFonts w:ascii="Times New Roman" w:hAnsi="Times New Roman"/>
          <w:b/>
        </w:rPr>
        <w:t xml:space="preserve"> </w:t>
      </w:r>
      <w:r w:rsidRPr="0045487E">
        <w:rPr>
          <w:rFonts w:ascii="Times New Roman" w:hAnsi="Times New Roman"/>
          <w:b/>
        </w:rPr>
        <w:t>- § 49a ods. 8</w:t>
      </w:r>
    </w:p>
    <w:p w:rsidR="00E852F1" w:rsidRPr="0045487E" w:rsidP="00210E92">
      <w:pPr>
        <w:pStyle w:val="ListParagraph"/>
        <w:shd w:val="clear" w:color="auto" w:fill="FFFFFF"/>
        <w:tabs>
          <w:tab w:val="left" w:pos="426"/>
        </w:tabs>
        <w:autoSpaceDE w:val="0"/>
        <w:autoSpaceDN w:val="0"/>
        <w:bidi w:val="0"/>
        <w:adjustRightInd w:val="0"/>
        <w:spacing w:after="0" w:line="240" w:lineRule="auto"/>
        <w:ind w:left="0"/>
        <w:jc w:val="both"/>
        <w:rPr>
          <w:rFonts w:ascii="Times New Roman" w:hAnsi="Times New Roman"/>
          <w:sz w:val="24"/>
          <w:szCs w:val="24"/>
        </w:rPr>
      </w:pPr>
      <w:r w:rsidRPr="0045487E">
        <w:rPr>
          <w:rFonts w:ascii="Times New Roman" w:hAnsi="Times New Roman"/>
          <w:sz w:val="24"/>
          <w:szCs w:val="24"/>
        </w:rPr>
        <w:t>Navrhovanou úpravou sa vypúšťa oznamovacia povinnosť pri platbách v hotovosti v nadväznosti na prijatie zákona obmedzujúceho platby v hotovosti ako aj z dôvodu znižovania administratívnej náročnosti daňovníkov.</w:t>
      </w:r>
    </w:p>
    <w:p w:rsidR="00CC3308" w:rsidRPr="0045487E" w:rsidP="00CC3308">
      <w:pPr>
        <w:shd w:val="clear" w:color="auto" w:fill="FFFFFF"/>
        <w:bidi w:val="0"/>
        <w:jc w:val="both"/>
        <w:rPr>
          <w:rFonts w:ascii="Times New Roman" w:hAnsi="Times New Roman"/>
        </w:rPr>
      </w:pPr>
    </w:p>
    <w:p w:rsidR="00154A9B" w:rsidRPr="0045487E" w:rsidP="00210E92">
      <w:pPr>
        <w:shd w:val="clear" w:color="auto" w:fill="FFFFFF"/>
        <w:bidi w:val="0"/>
        <w:jc w:val="both"/>
        <w:rPr>
          <w:rFonts w:ascii="Times New Roman" w:hAnsi="Times New Roman"/>
          <w:b/>
        </w:rPr>
      </w:pPr>
      <w:r w:rsidRPr="0045487E" w:rsidR="001D21C8">
        <w:rPr>
          <w:rFonts w:ascii="Times New Roman" w:hAnsi="Times New Roman"/>
          <w:b/>
        </w:rPr>
        <w:t xml:space="preserve">K bodu </w:t>
      </w:r>
      <w:r w:rsidR="001F1378">
        <w:rPr>
          <w:rFonts w:ascii="Times New Roman" w:hAnsi="Times New Roman"/>
          <w:b/>
        </w:rPr>
        <w:t>9</w:t>
      </w:r>
      <w:r w:rsidR="006A7BE2">
        <w:rPr>
          <w:rFonts w:ascii="Times New Roman" w:hAnsi="Times New Roman"/>
          <w:b/>
        </w:rPr>
        <w:t>5</w:t>
      </w:r>
      <w:r w:rsidRPr="0045487E" w:rsidR="00A66C11">
        <w:rPr>
          <w:rFonts w:ascii="Times New Roman" w:hAnsi="Times New Roman"/>
          <w:b/>
        </w:rPr>
        <w:t xml:space="preserve"> - § </w:t>
      </w:r>
      <w:r w:rsidRPr="0045487E" w:rsidR="00116DD5">
        <w:rPr>
          <w:rFonts w:ascii="Times New Roman" w:hAnsi="Times New Roman"/>
          <w:b/>
        </w:rPr>
        <w:t>50 ods. 4</w:t>
      </w:r>
    </w:p>
    <w:p w:rsidR="00116DD5" w:rsidRPr="0045487E" w:rsidP="00210E92">
      <w:pPr>
        <w:shd w:val="clear" w:color="auto" w:fill="FFFFFF"/>
        <w:bidi w:val="0"/>
        <w:rPr>
          <w:rFonts w:ascii="Times New Roman" w:hAnsi="Times New Roman"/>
        </w:rPr>
      </w:pPr>
      <w:r w:rsidRPr="0045487E">
        <w:rPr>
          <w:rFonts w:ascii="Times New Roman" w:hAnsi="Times New Roman"/>
        </w:rPr>
        <w:t>Legislatívno</w:t>
      </w:r>
      <w:r w:rsidRPr="0045487E" w:rsidR="003B7B98">
        <w:rPr>
          <w:rFonts w:ascii="Times New Roman" w:hAnsi="Times New Roman"/>
        </w:rPr>
        <w:t xml:space="preserve"> </w:t>
      </w:r>
      <w:r w:rsidRPr="0045487E">
        <w:rPr>
          <w:rFonts w:ascii="Times New Roman" w:hAnsi="Times New Roman"/>
        </w:rPr>
        <w:t>-</w:t>
      </w:r>
      <w:r w:rsidRPr="0045487E" w:rsidR="003B7B98">
        <w:rPr>
          <w:rFonts w:ascii="Times New Roman" w:hAnsi="Times New Roman"/>
        </w:rPr>
        <w:t xml:space="preserve"> </w:t>
      </w:r>
      <w:r w:rsidRPr="0045487E">
        <w:rPr>
          <w:rFonts w:ascii="Times New Roman" w:hAnsi="Times New Roman"/>
        </w:rPr>
        <w:t>technická úprava z dôvodu zrušenia protidrogového fondu.</w:t>
      </w:r>
    </w:p>
    <w:p w:rsidR="00116DD5" w:rsidRPr="0045487E" w:rsidP="00210E92">
      <w:pPr>
        <w:shd w:val="clear" w:color="auto" w:fill="FFFFFF"/>
        <w:bidi w:val="0"/>
        <w:jc w:val="both"/>
        <w:rPr>
          <w:rFonts w:ascii="Times New Roman" w:hAnsi="Times New Roman"/>
        </w:rPr>
      </w:pPr>
    </w:p>
    <w:p w:rsidR="00A66C11" w:rsidRPr="0045487E" w:rsidP="00210E92">
      <w:pPr>
        <w:shd w:val="clear" w:color="auto" w:fill="FFFFFF"/>
        <w:bidi w:val="0"/>
        <w:jc w:val="both"/>
        <w:rPr>
          <w:rFonts w:ascii="Times New Roman" w:hAnsi="Times New Roman"/>
          <w:b/>
        </w:rPr>
      </w:pPr>
      <w:r w:rsidRPr="0045487E" w:rsidR="00116DD5">
        <w:rPr>
          <w:rFonts w:ascii="Times New Roman" w:hAnsi="Times New Roman"/>
          <w:b/>
        </w:rPr>
        <w:t xml:space="preserve">K bodu </w:t>
      </w:r>
      <w:r w:rsidR="001F1378">
        <w:rPr>
          <w:rFonts w:ascii="Times New Roman" w:hAnsi="Times New Roman"/>
          <w:b/>
        </w:rPr>
        <w:t>9</w:t>
      </w:r>
      <w:r w:rsidR="006A7BE2">
        <w:rPr>
          <w:rFonts w:ascii="Times New Roman" w:hAnsi="Times New Roman"/>
          <w:b/>
        </w:rPr>
        <w:t>7</w:t>
      </w:r>
      <w:r w:rsidRPr="0045487E" w:rsidR="007E05AD">
        <w:rPr>
          <w:rFonts w:ascii="Times New Roman" w:hAnsi="Times New Roman"/>
          <w:b/>
        </w:rPr>
        <w:t xml:space="preserve"> </w:t>
      </w:r>
      <w:r w:rsidRPr="0045487E" w:rsidR="00116DD5">
        <w:rPr>
          <w:rFonts w:ascii="Times New Roman" w:hAnsi="Times New Roman"/>
          <w:b/>
        </w:rPr>
        <w:t>- § 50 ods. 8</w:t>
      </w:r>
    </w:p>
    <w:p w:rsidR="00116DD5" w:rsidRPr="0045487E" w:rsidP="00210E92">
      <w:pPr>
        <w:shd w:val="clear" w:color="auto" w:fill="FFFFFF"/>
        <w:bidi w:val="0"/>
        <w:jc w:val="both"/>
        <w:rPr>
          <w:rFonts w:ascii="Times New Roman" w:hAnsi="Times New Roman"/>
        </w:rPr>
      </w:pPr>
      <w:r w:rsidRPr="0045487E">
        <w:rPr>
          <w:rFonts w:ascii="Times New Roman" w:hAnsi="Times New Roman"/>
        </w:rPr>
        <w:t xml:space="preserve">Ustanovenie </w:t>
      </w:r>
      <w:r w:rsidRPr="0045487E" w:rsidR="00223730">
        <w:rPr>
          <w:rFonts w:ascii="Times New Roman" w:hAnsi="Times New Roman"/>
        </w:rPr>
        <w:t xml:space="preserve">sa </w:t>
      </w:r>
      <w:r w:rsidRPr="0045487E">
        <w:rPr>
          <w:rFonts w:ascii="Times New Roman" w:hAnsi="Times New Roman"/>
        </w:rPr>
        <w:t xml:space="preserve">spresňuje tak, aby v prípade, že daňovník  nedostatky uvedené vo výzve v stanovenej lehote neodstráni, správca dane na vyhlásenie o poukázaní podielu zaplatenej dane neprihliada </w:t>
      </w:r>
      <w:bookmarkStart w:id="3" w:name="_GoBack"/>
      <w:bookmarkEnd w:id="3"/>
      <w:r w:rsidRPr="0045487E">
        <w:rPr>
          <w:rFonts w:ascii="Times New Roman" w:hAnsi="Times New Roman"/>
        </w:rPr>
        <w:t>a nárok na poukázanie podielu zaplatenej dane mu  zanikne.</w:t>
      </w:r>
    </w:p>
    <w:p w:rsidR="009714CA" w:rsidRPr="0045487E" w:rsidP="00210E92">
      <w:pPr>
        <w:shd w:val="clear" w:color="auto" w:fill="FFFFFF"/>
        <w:bidi w:val="0"/>
        <w:jc w:val="both"/>
        <w:rPr>
          <w:rFonts w:ascii="Times New Roman" w:hAnsi="Times New Roman"/>
        </w:rPr>
      </w:pPr>
    </w:p>
    <w:p w:rsidR="009714CA"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9</w:t>
      </w:r>
      <w:r w:rsidR="006A7BE2">
        <w:rPr>
          <w:rFonts w:ascii="Times New Roman" w:hAnsi="Times New Roman"/>
          <w:b/>
        </w:rPr>
        <w:t>8</w:t>
      </w:r>
      <w:r w:rsidRPr="0045487E">
        <w:rPr>
          <w:rFonts w:ascii="Times New Roman" w:hAnsi="Times New Roman"/>
          <w:b/>
        </w:rPr>
        <w:t xml:space="preserve"> - § 50 ods. 13</w:t>
      </w:r>
    </w:p>
    <w:p w:rsidR="009714CA" w:rsidRPr="0045487E" w:rsidP="009714CA">
      <w:pPr>
        <w:bidi w:val="0"/>
        <w:jc w:val="both"/>
        <w:rPr>
          <w:rFonts w:ascii="Times New Roman" w:hAnsi="Times New Roman"/>
        </w:rPr>
      </w:pPr>
      <w:r w:rsidRPr="0045487E">
        <w:rPr>
          <w:rFonts w:ascii="Times New Roman" w:hAnsi="Times New Roman"/>
        </w:rPr>
        <w:t>Navrhovanou úpravou bude možné z úrokov, ktoré plynú z finančných prostriedkov z podielov zaplatenej dane vedených na osobitnom účte v súlade s § 50 ods. 13 zákona uhradiť nielen zrazenú daň ale aj náklady vzniknuté v súvislosti s vedením tohto účtu. Zvyšné prostriedky použije prijímateľ podielu zaplatenej dane len na zákonom stanovené verejnoprospešné účely.</w:t>
      </w:r>
    </w:p>
    <w:p w:rsidR="00116DD5" w:rsidRPr="0045487E" w:rsidP="00210E92">
      <w:pPr>
        <w:shd w:val="clear" w:color="auto" w:fill="FFFFFF"/>
        <w:bidi w:val="0"/>
        <w:jc w:val="both"/>
        <w:rPr>
          <w:rFonts w:ascii="Times New Roman" w:hAnsi="Times New Roman"/>
          <w:b/>
        </w:rPr>
      </w:pPr>
    </w:p>
    <w:p w:rsidR="00CC09EB" w:rsidRPr="0045487E" w:rsidP="00210E92">
      <w:pPr>
        <w:shd w:val="clear" w:color="auto" w:fill="FFFFFF"/>
        <w:bidi w:val="0"/>
        <w:rPr>
          <w:rFonts w:ascii="Times New Roman" w:hAnsi="Times New Roman"/>
          <w:b/>
        </w:rPr>
      </w:pPr>
      <w:r w:rsidRPr="0045487E">
        <w:rPr>
          <w:rFonts w:ascii="Times New Roman" w:hAnsi="Times New Roman"/>
          <w:b/>
        </w:rPr>
        <w:t>K</w:t>
      </w:r>
      <w:r w:rsidR="006A7BE2">
        <w:rPr>
          <w:rFonts w:ascii="Times New Roman" w:hAnsi="Times New Roman"/>
          <w:b/>
        </w:rPr>
        <w:t> </w:t>
      </w:r>
      <w:r w:rsidRPr="0045487E">
        <w:rPr>
          <w:rFonts w:ascii="Times New Roman" w:hAnsi="Times New Roman"/>
          <w:b/>
        </w:rPr>
        <w:t>bodu</w:t>
      </w:r>
      <w:r w:rsidR="006A7BE2">
        <w:rPr>
          <w:rFonts w:ascii="Times New Roman" w:hAnsi="Times New Roman"/>
          <w:b/>
        </w:rPr>
        <w:t xml:space="preserve"> 99</w:t>
      </w:r>
      <w:r w:rsidRPr="0045487E" w:rsidR="00751EF5">
        <w:rPr>
          <w:rFonts w:ascii="Times New Roman" w:hAnsi="Times New Roman"/>
          <w:b/>
        </w:rPr>
        <w:t xml:space="preserve"> </w:t>
      </w:r>
      <w:r w:rsidRPr="0045487E">
        <w:rPr>
          <w:rFonts w:ascii="Times New Roman" w:hAnsi="Times New Roman"/>
          <w:b/>
        </w:rPr>
        <w:t xml:space="preserve">- § </w:t>
      </w:r>
      <w:r w:rsidRPr="0045487E" w:rsidR="00116DD5">
        <w:rPr>
          <w:rFonts w:ascii="Times New Roman" w:hAnsi="Times New Roman"/>
          <w:b/>
        </w:rPr>
        <w:t xml:space="preserve"> 50 ods. 16</w:t>
      </w:r>
    </w:p>
    <w:p w:rsidR="00116DD5" w:rsidRPr="0045487E" w:rsidP="00210E92">
      <w:pPr>
        <w:shd w:val="clear" w:color="auto" w:fill="FFFFFF"/>
        <w:bidi w:val="0"/>
        <w:jc w:val="both"/>
        <w:rPr>
          <w:rFonts w:ascii="Times New Roman" w:hAnsi="Times New Roman"/>
        </w:rPr>
      </w:pPr>
      <w:r w:rsidRPr="0045487E">
        <w:rPr>
          <w:rFonts w:ascii="Times New Roman" w:hAnsi="Times New Roman"/>
        </w:rPr>
        <w:t>Navrhnuté ustanovenie spresňuje kompetenciu orgánov, ktoré  vykonávajú vládny audit zákonom stanovených podmienok použitia podielu dane. Takýmito orgánmi sú Ministerstvo financií SR a Správy finančnej kontroly Bratislava, Zvolen a Košice ,ktoré vykonávajú vládny audit v súlade so zákonom č. 502/2001 Z. z. o finančnej kontrole a vnútornom audite a o zmene a doplnení niektorých zákonov v znení neskorších predpisov.</w:t>
      </w:r>
    </w:p>
    <w:p w:rsidR="00116DD5" w:rsidRPr="0045487E" w:rsidP="00210E92">
      <w:pPr>
        <w:shd w:val="clear" w:color="auto" w:fill="FFFFFF"/>
        <w:bidi w:val="0"/>
        <w:rPr>
          <w:rFonts w:ascii="Times New Roman" w:hAnsi="Times New Roman"/>
          <w:b/>
        </w:rPr>
      </w:pPr>
    </w:p>
    <w:p w:rsidR="009F1266" w:rsidRPr="0045487E" w:rsidP="00210E92">
      <w:pPr>
        <w:shd w:val="clear" w:color="auto" w:fill="FFFFFF"/>
        <w:bidi w:val="0"/>
        <w:jc w:val="both"/>
        <w:rPr>
          <w:rFonts w:ascii="Times New Roman" w:hAnsi="Times New Roman"/>
          <w:b/>
        </w:rPr>
      </w:pPr>
      <w:r w:rsidRPr="0045487E">
        <w:rPr>
          <w:rFonts w:ascii="Times New Roman" w:hAnsi="Times New Roman"/>
          <w:b/>
        </w:rPr>
        <w:t xml:space="preserve">K bodu </w:t>
      </w:r>
      <w:r w:rsidR="001F1378">
        <w:rPr>
          <w:rFonts w:ascii="Times New Roman" w:hAnsi="Times New Roman"/>
          <w:b/>
        </w:rPr>
        <w:t>10</w:t>
      </w:r>
      <w:r w:rsidR="006A7BE2">
        <w:rPr>
          <w:rFonts w:ascii="Times New Roman" w:hAnsi="Times New Roman"/>
          <w:b/>
        </w:rPr>
        <w:t>0</w:t>
      </w:r>
      <w:r w:rsidRPr="0045487E" w:rsidR="006F1CB2">
        <w:rPr>
          <w:rFonts w:ascii="Times New Roman" w:hAnsi="Times New Roman"/>
          <w:b/>
        </w:rPr>
        <w:t xml:space="preserve"> </w:t>
      </w:r>
      <w:r w:rsidRPr="0045487E" w:rsidR="00F756C0">
        <w:rPr>
          <w:rFonts w:ascii="Times New Roman" w:hAnsi="Times New Roman"/>
          <w:b/>
        </w:rPr>
        <w:t xml:space="preserve">- § </w:t>
      </w:r>
      <w:r w:rsidRPr="0045487E" w:rsidR="00116DD5">
        <w:rPr>
          <w:rFonts w:ascii="Times New Roman" w:hAnsi="Times New Roman"/>
          <w:b/>
        </w:rPr>
        <w:t>52</w:t>
      </w:r>
      <w:r w:rsidRPr="0045487E" w:rsidR="00905AD1">
        <w:rPr>
          <w:rFonts w:ascii="Times New Roman" w:hAnsi="Times New Roman"/>
          <w:b/>
        </w:rPr>
        <w:t>w</w:t>
      </w:r>
    </w:p>
    <w:p w:rsidR="00865041" w:rsidP="00210E92">
      <w:pPr>
        <w:shd w:val="clear" w:color="auto" w:fill="FFFFFF"/>
        <w:bidi w:val="0"/>
        <w:jc w:val="both"/>
        <w:rPr>
          <w:rFonts w:ascii="Times New Roman" w:hAnsi="Times New Roman"/>
        </w:rPr>
      </w:pPr>
      <w:r w:rsidRPr="0045487E" w:rsidR="00116DD5">
        <w:rPr>
          <w:rFonts w:ascii="Times New Roman" w:hAnsi="Times New Roman"/>
          <w:b/>
        </w:rPr>
        <w:t>Odsek 1</w:t>
      </w:r>
      <w:r w:rsidRPr="0045487E" w:rsidR="00116DD5">
        <w:rPr>
          <w:rFonts w:ascii="Times New Roman" w:hAnsi="Times New Roman"/>
        </w:rPr>
        <w:t xml:space="preserve"> - Od nadobudnuti</w:t>
      </w:r>
      <w:r w:rsidRPr="0045487E" w:rsidR="00DC50BB">
        <w:rPr>
          <w:rFonts w:ascii="Times New Roman" w:hAnsi="Times New Roman"/>
        </w:rPr>
        <w:t>a</w:t>
      </w:r>
      <w:r w:rsidRPr="0045487E" w:rsidR="00116DD5">
        <w:rPr>
          <w:rFonts w:ascii="Times New Roman" w:hAnsi="Times New Roman"/>
        </w:rPr>
        <w:t xml:space="preserve"> účinnosti zákona sa </w:t>
      </w:r>
      <w:r w:rsidRPr="0045487E">
        <w:rPr>
          <w:rFonts w:ascii="Times New Roman" w:hAnsi="Times New Roman"/>
        </w:rPr>
        <w:t>b</w:t>
      </w:r>
      <w:r w:rsidRPr="0045487E" w:rsidR="00116DD5">
        <w:rPr>
          <w:rFonts w:ascii="Times New Roman" w:hAnsi="Times New Roman"/>
        </w:rPr>
        <w:t xml:space="preserve">ude pri vyčísľovaní nepeňažného príjmu plynúceho z používania motorového vozidla zamestnávateľa, ktoré sa používa aj na súkromné účely zohľadňovať jeho opotrebenie. </w:t>
      </w:r>
      <w:r w:rsidRPr="0045487E" w:rsidR="00DC50BB">
        <w:rPr>
          <w:rFonts w:ascii="Times New Roman" w:hAnsi="Times New Roman"/>
        </w:rPr>
        <w:t>Ak sa tak</w:t>
      </w:r>
      <w:r w:rsidRPr="0045487E" w:rsidR="00167EAA">
        <w:rPr>
          <w:rFonts w:ascii="Times New Roman" w:hAnsi="Times New Roman"/>
        </w:rPr>
        <w:t>éto</w:t>
      </w:r>
      <w:r w:rsidRPr="0045487E" w:rsidR="00DC50BB">
        <w:rPr>
          <w:rFonts w:ascii="Times New Roman" w:hAnsi="Times New Roman"/>
        </w:rPr>
        <w:t xml:space="preserve"> </w:t>
      </w:r>
      <w:r w:rsidRPr="0045487E" w:rsidR="00167EAA">
        <w:rPr>
          <w:rFonts w:ascii="Times New Roman" w:hAnsi="Times New Roman"/>
        </w:rPr>
        <w:t>motorové vozidlo</w:t>
      </w:r>
      <w:r w:rsidRPr="0045487E" w:rsidR="00DC50BB">
        <w:rPr>
          <w:rFonts w:ascii="Times New Roman" w:hAnsi="Times New Roman"/>
        </w:rPr>
        <w:t xml:space="preserve"> zamestnávateľa používal aj na súkromné účely pred nadobudnutím účinnosti tohto zákona, základňa pre výpočet nepeňažného príjmu už za mesiac január 2014 sa vypočíta (prepočíta) novým postupom uvedeným v § 5 ods. 3 zákona.</w:t>
      </w:r>
    </w:p>
    <w:p w:rsidR="00E875F8" w:rsidRPr="0085091E" w:rsidP="00E875F8">
      <w:pPr>
        <w:shd w:val="clear" w:color="auto" w:fill="FFFFFF"/>
        <w:bidi w:val="0"/>
        <w:jc w:val="both"/>
        <w:rPr>
          <w:rFonts w:ascii="Times New Roman" w:hAnsi="Times New Roman"/>
        </w:rPr>
      </w:pPr>
      <w:r w:rsidRPr="00E875F8">
        <w:rPr>
          <w:rFonts w:ascii="Times New Roman" w:hAnsi="Times New Roman"/>
          <w:b/>
        </w:rPr>
        <w:t>Odsek 2</w:t>
      </w:r>
      <w:r>
        <w:rPr>
          <w:rFonts w:ascii="Times New Roman" w:hAnsi="Times New Roman"/>
        </w:rPr>
        <w:t xml:space="preserve"> - </w:t>
      </w:r>
      <w:r w:rsidRPr="0085091E">
        <w:rPr>
          <w:rFonts w:ascii="Times New Roman" w:hAnsi="Times New Roman"/>
        </w:rPr>
        <w:t>V </w:t>
      </w:r>
      <w:r>
        <w:rPr>
          <w:rFonts w:ascii="Times New Roman" w:hAnsi="Times New Roman"/>
        </w:rPr>
        <w:t>rámci právnej istoty daňovníkov sa dopĺňa prechodné ustanovenie vo vzťahu k doplneniu § 17 ods. 1 písm. e) zákona. Pri zisťovaní základu dane alebo daňovej straty bude daňovník s obmedzenou daňovou povinnosťou (právnická osoba), ktorý má stálu prevádzkareň alebo viacero stálych prevádzkarní na území Slovenskej republiky, avšak nie je účtovnou jednotkou podľa zákona o účtovníctve, vychádzať z výsledku hospodárenia v súlade s opatrením Ministerstva financií SR vyhláseným podľa zákona o účtovníctve až za zdaňovacie obdobia začínajúce od 1. januára 2014.</w:t>
      </w:r>
    </w:p>
    <w:p w:rsidR="0056281B" w:rsidP="00210E92">
      <w:pPr>
        <w:shd w:val="clear" w:color="auto" w:fill="FFFFFF"/>
        <w:bidi w:val="0"/>
        <w:jc w:val="both"/>
        <w:rPr>
          <w:rFonts w:ascii="Times New Roman" w:hAnsi="Times New Roman"/>
        </w:rPr>
      </w:pPr>
      <w:r w:rsidRPr="0045487E" w:rsidR="002E6EDE">
        <w:rPr>
          <w:rFonts w:ascii="Times New Roman" w:hAnsi="Times New Roman"/>
          <w:b/>
        </w:rPr>
        <w:t xml:space="preserve">Odsek </w:t>
      </w:r>
      <w:r w:rsidR="00E875F8">
        <w:rPr>
          <w:rFonts w:ascii="Times New Roman" w:hAnsi="Times New Roman"/>
          <w:b/>
        </w:rPr>
        <w:t>4</w:t>
      </w:r>
      <w:r w:rsidRPr="0045487E" w:rsidR="002E6EDE">
        <w:rPr>
          <w:rFonts w:ascii="Times New Roman" w:hAnsi="Times New Roman"/>
        </w:rPr>
        <w:t xml:space="preserve"> – Zamestnávatelia budú už </w:t>
      </w:r>
      <w:r w:rsidRPr="0045487E" w:rsidR="00DC50BB">
        <w:rPr>
          <w:rFonts w:ascii="Times New Roman" w:hAnsi="Times New Roman"/>
        </w:rPr>
        <w:t xml:space="preserve">v ročnom hlásení </w:t>
      </w:r>
      <w:r w:rsidRPr="0045487E" w:rsidR="002E6EDE">
        <w:rPr>
          <w:rFonts w:ascii="Times New Roman" w:hAnsi="Times New Roman"/>
        </w:rPr>
        <w:t xml:space="preserve">za rok 2013 uvádzať </w:t>
      </w:r>
      <w:r w:rsidRPr="0045487E" w:rsidR="00DC50BB">
        <w:rPr>
          <w:rFonts w:ascii="Times New Roman" w:hAnsi="Times New Roman"/>
        </w:rPr>
        <w:t>údaje na zabezpečenie postupu podľa § 50</w:t>
      </w:r>
      <w:r w:rsidRPr="0045487E" w:rsidR="00735B83">
        <w:rPr>
          <w:rFonts w:ascii="Times New Roman" w:hAnsi="Times New Roman"/>
        </w:rPr>
        <w:t xml:space="preserve"> zákona</w:t>
      </w:r>
      <w:r w:rsidRPr="0045487E" w:rsidR="00DC50BB">
        <w:rPr>
          <w:rFonts w:ascii="Times New Roman" w:hAnsi="Times New Roman"/>
        </w:rPr>
        <w:t xml:space="preserve"> za zamestnancov, ktorým budú vykonávať za toto zdaňovacie obdobie ročné zúčtovanie, ale len v prípade, ak zamestnanec splní podmienky a požiada zamestnávateľa o uplatnenie postupu podľa § 50 zákona (použitie podielu zaplatenej dane na osobitné účely)</w:t>
      </w:r>
      <w:r w:rsidR="00D77F4D">
        <w:rPr>
          <w:rFonts w:ascii="Times New Roman" w:hAnsi="Times New Roman"/>
        </w:rPr>
        <w:t>.</w:t>
      </w:r>
    </w:p>
    <w:p w:rsidR="0011564A" w:rsidRPr="0045487E" w:rsidP="00210E92">
      <w:pPr>
        <w:shd w:val="clear" w:color="auto" w:fill="FFFFFF"/>
        <w:bidi w:val="0"/>
        <w:rPr>
          <w:rFonts w:ascii="Times New Roman" w:hAnsi="Times New Roman"/>
          <w:b/>
        </w:rPr>
      </w:pPr>
    </w:p>
    <w:p w:rsidR="00CC09EB" w:rsidRPr="0045487E" w:rsidP="00210E92">
      <w:pPr>
        <w:shd w:val="clear" w:color="auto" w:fill="FFFFFF"/>
        <w:bidi w:val="0"/>
        <w:rPr>
          <w:rStyle w:val="PlaceholderText"/>
          <w:color w:val="auto"/>
        </w:rPr>
      </w:pPr>
      <w:r w:rsidRPr="0045487E" w:rsidR="009F1266">
        <w:rPr>
          <w:rFonts w:ascii="Times New Roman" w:hAnsi="Times New Roman"/>
          <w:b/>
        </w:rPr>
        <w:t>K bod</w:t>
      </w:r>
      <w:r w:rsidRPr="0045487E" w:rsidR="00116DD5">
        <w:rPr>
          <w:rFonts w:ascii="Times New Roman" w:hAnsi="Times New Roman"/>
          <w:b/>
        </w:rPr>
        <w:t>om</w:t>
      </w:r>
      <w:r w:rsidRPr="0045487E" w:rsidR="009F1266">
        <w:rPr>
          <w:rFonts w:ascii="Times New Roman" w:hAnsi="Times New Roman"/>
          <w:b/>
        </w:rPr>
        <w:t xml:space="preserve"> </w:t>
      </w:r>
      <w:r w:rsidRPr="0045487E" w:rsidR="008E0AB9">
        <w:rPr>
          <w:rFonts w:ascii="Times New Roman" w:hAnsi="Times New Roman"/>
          <w:b/>
        </w:rPr>
        <w:t>10</w:t>
      </w:r>
      <w:r w:rsidR="006A7BE2">
        <w:rPr>
          <w:rFonts w:ascii="Times New Roman" w:hAnsi="Times New Roman"/>
          <w:b/>
        </w:rPr>
        <w:t>1</w:t>
      </w:r>
      <w:r w:rsidRPr="0045487E" w:rsidR="007E05AD">
        <w:rPr>
          <w:rFonts w:ascii="Times New Roman" w:hAnsi="Times New Roman"/>
          <w:b/>
        </w:rPr>
        <w:t xml:space="preserve"> </w:t>
      </w:r>
      <w:r w:rsidRPr="0045487E" w:rsidR="00116DD5">
        <w:rPr>
          <w:rFonts w:ascii="Times New Roman" w:hAnsi="Times New Roman"/>
          <w:b/>
        </w:rPr>
        <w:t xml:space="preserve">a </w:t>
      </w:r>
      <w:r w:rsidRPr="0045487E" w:rsidR="008E0AB9">
        <w:rPr>
          <w:rFonts w:ascii="Times New Roman" w:hAnsi="Times New Roman"/>
          <w:b/>
        </w:rPr>
        <w:t>10</w:t>
      </w:r>
      <w:r w:rsidR="006A7BE2">
        <w:rPr>
          <w:rFonts w:ascii="Times New Roman" w:hAnsi="Times New Roman"/>
          <w:b/>
        </w:rPr>
        <w:t>2</w:t>
      </w:r>
      <w:r w:rsidRPr="0045487E">
        <w:rPr>
          <w:rFonts w:ascii="Times New Roman" w:hAnsi="Times New Roman"/>
          <w:b/>
        </w:rPr>
        <w:t xml:space="preserve"> – </w:t>
      </w:r>
      <w:r w:rsidRPr="0045487E" w:rsidR="00116DD5">
        <w:rPr>
          <w:rFonts w:ascii="Times New Roman" w:hAnsi="Times New Roman"/>
          <w:b/>
        </w:rPr>
        <w:t>príloha č. 3 a 4</w:t>
      </w:r>
      <w:r w:rsidRPr="0045487E" w:rsidR="00EB4961">
        <w:rPr>
          <w:rFonts w:ascii="Times New Roman" w:hAnsi="Times New Roman"/>
          <w:b/>
        </w:rPr>
        <w:t xml:space="preserve"> </w:t>
      </w:r>
    </w:p>
    <w:p w:rsidR="00CC09EB" w:rsidRPr="0045487E" w:rsidP="00210E92">
      <w:pPr>
        <w:shd w:val="clear" w:color="auto" w:fill="FFFFFF"/>
        <w:bidi w:val="0"/>
        <w:rPr>
          <w:rFonts w:ascii="Times New Roman" w:hAnsi="Times New Roman"/>
        </w:rPr>
      </w:pPr>
      <w:r w:rsidRPr="0045487E" w:rsidR="00116DD5">
        <w:rPr>
          <w:rFonts w:ascii="Times New Roman" w:hAnsi="Times New Roman"/>
        </w:rPr>
        <w:t>Z dôvodu potreby aktualizácie zoznamu štátov na súčasný stav.</w:t>
      </w:r>
    </w:p>
    <w:p w:rsidR="00EB4961" w:rsidP="00210E92">
      <w:pPr>
        <w:shd w:val="clear" w:color="auto" w:fill="FFFFFF"/>
        <w:bidi w:val="0"/>
        <w:rPr>
          <w:rFonts w:ascii="Times New Roman" w:hAnsi="Times New Roman"/>
          <w:b/>
        </w:rPr>
      </w:pPr>
    </w:p>
    <w:p w:rsidR="00EB4961" w:rsidRPr="0045487E" w:rsidP="00210E92">
      <w:pPr>
        <w:shd w:val="clear" w:color="auto" w:fill="FFFFFF"/>
        <w:bidi w:val="0"/>
        <w:rPr>
          <w:rFonts w:ascii="Times New Roman" w:hAnsi="Times New Roman"/>
          <w:b/>
        </w:rPr>
      </w:pPr>
      <w:r w:rsidRPr="0045487E">
        <w:rPr>
          <w:rFonts w:ascii="Times New Roman" w:hAnsi="Times New Roman"/>
          <w:b/>
        </w:rPr>
        <w:t>K Čl. II</w:t>
      </w:r>
    </w:p>
    <w:p w:rsidR="00F96EC2" w:rsidRPr="0045487E" w:rsidP="00F96EC2">
      <w:pPr>
        <w:pStyle w:val="ListParagraph"/>
        <w:bidi w:val="0"/>
        <w:spacing w:after="240" w:line="240" w:lineRule="auto"/>
        <w:ind w:left="0"/>
        <w:jc w:val="both"/>
        <w:rPr>
          <w:rFonts w:ascii="Times New Roman" w:hAnsi="Times New Roman"/>
          <w:sz w:val="24"/>
          <w:szCs w:val="24"/>
        </w:rPr>
      </w:pPr>
      <w:r w:rsidRPr="0045487E">
        <w:rPr>
          <w:rFonts w:ascii="Times New Roman" w:hAnsi="Times New Roman"/>
          <w:sz w:val="24"/>
          <w:szCs w:val="24"/>
        </w:rPr>
        <w:t xml:space="preserve">Úprava v § 4 ods. 4 stanovuje termín pre akceptovanie opráv údajov poskytovaných ministerstvu prostredníctvom Štatistického úradu Slovenskej republiky, čo bude mať pozitívny vplyv na stabilitu prerozdeľovania podielu na výnose dane z príjmu fyzických osôb v priebehu roka. </w:t>
      </w:r>
    </w:p>
    <w:p w:rsidR="00735B83" w:rsidRPr="0045487E" w:rsidP="00210E92">
      <w:pPr>
        <w:shd w:val="clear" w:color="auto" w:fill="FFFFFF"/>
        <w:bidi w:val="0"/>
        <w:rPr>
          <w:rFonts w:ascii="Times New Roman" w:hAnsi="Times New Roman"/>
          <w:b/>
        </w:rPr>
      </w:pPr>
      <w:r w:rsidRPr="0045487E">
        <w:rPr>
          <w:rFonts w:ascii="Times New Roman" w:hAnsi="Times New Roman"/>
          <w:b/>
        </w:rPr>
        <w:t>K Čl. III</w:t>
      </w:r>
    </w:p>
    <w:p w:rsidR="00EB4961" w:rsidRPr="0045487E" w:rsidP="00210E92">
      <w:pPr>
        <w:pStyle w:val="BodyText2"/>
        <w:shd w:val="clear" w:color="auto" w:fill="FFFFFF"/>
        <w:bidi w:val="0"/>
        <w:spacing w:after="0" w:line="240" w:lineRule="auto"/>
        <w:jc w:val="both"/>
        <w:rPr>
          <w:rFonts w:ascii="Times New Roman" w:hAnsi="Times New Roman"/>
        </w:rPr>
      </w:pPr>
      <w:r w:rsidRPr="0045487E">
        <w:rPr>
          <w:rFonts w:ascii="Times New Roman" w:hAnsi="Times New Roman"/>
        </w:rPr>
        <w:t>Tento zákon nadobúda účinnosť 1. januára 201</w:t>
      </w:r>
      <w:r w:rsidRPr="0045487E" w:rsidR="00E65036">
        <w:rPr>
          <w:rFonts w:ascii="Times New Roman" w:hAnsi="Times New Roman"/>
        </w:rPr>
        <w:t>4</w:t>
      </w:r>
      <w:r w:rsidRPr="0045487E">
        <w:rPr>
          <w:rFonts w:ascii="Times New Roman" w:hAnsi="Times New Roman"/>
        </w:rPr>
        <w:t xml:space="preserve">.  </w:t>
      </w:r>
    </w:p>
    <w:p w:rsidR="00EB4961" w:rsidP="00210E92">
      <w:pPr>
        <w:shd w:val="clear" w:color="auto" w:fill="FFFFFF"/>
        <w:bidi w:val="0"/>
        <w:rPr>
          <w:rFonts w:ascii="Arial Narrow" w:hAnsi="Arial Narrow"/>
          <w:b/>
          <w:sz w:val="22"/>
          <w:szCs w:val="22"/>
        </w:rPr>
      </w:pPr>
    </w:p>
    <w:p w:rsidR="00FB73D8" w:rsidP="00FB73D8">
      <w:pPr>
        <w:bidi w:val="0"/>
        <w:rPr>
          <w:rFonts w:ascii="Times New Roman" w:hAnsi="Times New Roman"/>
        </w:rPr>
      </w:pPr>
      <w:r w:rsidRPr="00C22376">
        <w:rPr>
          <w:rFonts w:ascii="Times New Roman" w:hAnsi="Times New Roman"/>
        </w:rPr>
        <w:t xml:space="preserve">Schválené uznesením vlády Slovenskej republiky dňa </w:t>
      </w:r>
      <w:r>
        <w:rPr>
          <w:rFonts w:ascii="Times New Roman" w:hAnsi="Times New Roman"/>
        </w:rPr>
        <w:t>10</w:t>
      </w:r>
      <w:r w:rsidRPr="00C22376">
        <w:rPr>
          <w:rFonts w:ascii="Times New Roman" w:hAnsi="Times New Roman"/>
        </w:rPr>
        <w:t xml:space="preserve">. </w:t>
      </w:r>
      <w:r>
        <w:rPr>
          <w:rFonts w:ascii="Times New Roman" w:hAnsi="Times New Roman"/>
        </w:rPr>
        <w:t>júla 2013</w:t>
      </w:r>
      <w:r w:rsidRPr="00C22376">
        <w:rPr>
          <w:rFonts w:ascii="Times New Roman" w:hAnsi="Times New Roman"/>
        </w:rPr>
        <w:t>.</w:t>
      </w: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pStyle w:val="Heading3"/>
        <w:bidi w:val="0"/>
        <w:spacing w:before="0" w:after="0"/>
        <w:jc w:val="center"/>
        <w:rPr>
          <w:rFonts w:ascii="Times New Roman" w:hAnsi="Times New Roman"/>
          <w:bCs w:val="0"/>
          <w:sz w:val="24"/>
        </w:rPr>
      </w:pPr>
      <w:r>
        <w:rPr>
          <w:rFonts w:ascii="Times New Roman" w:hAnsi="Times New Roman"/>
          <w:bCs w:val="0"/>
          <w:sz w:val="24"/>
        </w:rPr>
        <w:t>Robert Fico, v.r.</w:t>
      </w:r>
    </w:p>
    <w:p w:rsidR="00FB73D8" w:rsidRPr="0025414D" w:rsidP="00FB73D8">
      <w:pPr>
        <w:bidi w:val="0"/>
        <w:rPr>
          <w:rFonts w:ascii="Times New Roman" w:hAnsi="Times New Roman"/>
        </w:rPr>
      </w:pPr>
    </w:p>
    <w:p w:rsidR="00FB73D8" w:rsidP="00FB73D8">
      <w:pPr>
        <w:bidi w:val="0"/>
        <w:jc w:val="center"/>
        <w:rPr>
          <w:rFonts w:ascii="Times New Roman" w:hAnsi="Times New Roman"/>
        </w:rPr>
      </w:pPr>
      <w:r>
        <w:rPr>
          <w:rFonts w:ascii="Times New Roman" w:hAnsi="Times New Roman"/>
        </w:rPr>
        <w:t>predseda vlády Slovenskej republiky</w:t>
      </w: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pStyle w:val="Heading1"/>
        <w:bidi w:val="0"/>
        <w:jc w:val="center"/>
        <w:rPr>
          <w:rFonts w:hint="default"/>
          <w:sz w:val="24"/>
        </w:rPr>
      </w:pPr>
      <w:r>
        <w:rPr>
          <w:rFonts w:hint="default"/>
          <w:sz w:val="24"/>
        </w:rPr>
        <w:t>Peter Kaž</w:t>
      </w:r>
      <w:r>
        <w:rPr>
          <w:rFonts w:hint="default"/>
          <w:sz w:val="24"/>
        </w:rPr>
        <w:t>imí</w:t>
      </w:r>
      <w:r>
        <w:rPr>
          <w:rFonts w:hint="default"/>
          <w:sz w:val="24"/>
        </w:rPr>
        <w:t>r,</w:t>
      </w:r>
      <w:r>
        <w:rPr>
          <w:rFonts w:hint="default"/>
          <w:sz w:val="24"/>
        </w:rPr>
        <w:t xml:space="preserve"> </w:t>
      </w:r>
      <w:r>
        <w:rPr>
          <w:rFonts w:hint="default"/>
          <w:sz w:val="24"/>
        </w:rPr>
        <w:t>v.</w:t>
      </w:r>
      <w:r>
        <w:rPr>
          <w:rFonts w:hint="default"/>
          <w:sz w:val="24"/>
        </w:rPr>
        <w:t>r.</w:t>
      </w:r>
    </w:p>
    <w:p w:rsidR="00FB73D8" w:rsidRPr="0025414D" w:rsidP="00FB73D8">
      <w:pPr>
        <w:bidi w:val="0"/>
        <w:rPr>
          <w:rFonts w:ascii="Times New Roman" w:hAnsi="Times New Roman"/>
        </w:rPr>
      </w:pPr>
    </w:p>
    <w:p w:rsidR="00FB73D8" w:rsidP="00FB73D8">
      <w:pPr>
        <w:bidi w:val="0"/>
        <w:jc w:val="center"/>
        <w:rPr>
          <w:rFonts w:ascii="Times New Roman" w:hAnsi="Times New Roman"/>
        </w:rPr>
      </w:pPr>
      <w:r>
        <w:rPr>
          <w:rFonts w:ascii="Times New Roman" w:hAnsi="Times New Roman"/>
        </w:rPr>
        <w:t xml:space="preserve">podpredseda vlády a minister financií </w:t>
      </w:r>
    </w:p>
    <w:p w:rsidR="00FB73D8" w:rsidP="00FB73D8">
      <w:pPr>
        <w:bidi w:val="0"/>
        <w:jc w:val="center"/>
        <w:rPr>
          <w:rFonts w:ascii="Times New Roman" w:hAnsi="Times New Roman"/>
        </w:rPr>
      </w:pPr>
      <w:r>
        <w:rPr>
          <w:rFonts w:ascii="Times New Roman" w:hAnsi="Times New Roman"/>
        </w:rPr>
        <w:t>Slovenskej republiky</w:t>
      </w:r>
    </w:p>
    <w:p w:rsidR="00FB73D8" w:rsidRPr="0045487E" w:rsidP="00210E92">
      <w:pPr>
        <w:shd w:val="clear" w:color="auto" w:fill="FFFFFF"/>
        <w:bidi w:val="0"/>
        <w:rPr>
          <w:rFonts w:ascii="Arial Narrow" w:hAnsi="Arial Narrow"/>
          <w:b/>
          <w:sz w:val="22"/>
          <w:szCs w:val="22"/>
        </w:rPr>
      </w:pPr>
    </w:p>
    <w:sectPr w:rsidSect="00D3362A">
      <w:footerReference w:type="default" r:id="rId6"/>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D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6C3A8C">
      <w:rPr>
        <w:rFonts w:ascii="Times New Roman" w:hAnsi="Times New Roman"/>
        <w:noProof/>
      </w:rPr>
      <w:t>30</w:t>
    </w:r>
    <w:r>
      <w:rPr>
        <w:rFonts w:ascii="Times New Roman" w:hAnsi="Times New Roman"/>
      </w:rPr>
      <w:fldChar w:fldCharType="end"/>
    </w:r>
  </w:p>
  <w:p w:rsidR="00FB73D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01A40FCF"/>
    <w:multiLevelType w:val="hybridMultilevel"/>
    <w:tmpl w:val="78608D7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2">
    <w:nsid w:val="13A83C25"/>
    <w:multiLevelType w:val="hybridMultilevel"/>
    <w:tmpl w:val="A32A2824"/>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3">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1923137A"/>
    <w:multiLevelType w:val="hybridMultilevel"/>
    <w:tmpl w:val="86644D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C41EF0"/>
    <w:multiLevelType w:val="hybridMultilevel"/>
    <w:tmpl w:val="C646ECA6"/>
    <w:lvl w:ilvl="0">
      <w:start w:val="4"/>
      <w:numFmt w:val="bullet"/>
      <w:lvlText w:val="-"/>
      <w:lvlJc w:val="left"/>
      <w:pPr>
        <w:ind w:left="720" w:hanging="360"/>
      </w:pPr>
      <w:rPr>
        <w:rFonts w:ascii="Calibri" w:eastAsia="Times New Roman" w:hAnsi="Calibri"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5430316"/>
    <w:multiLevelType w:val="hybridMultilevel"/>
    <w:tmpl w:val="4D563140"/>
    <w:lvl w:ilvl="0">
      <w:start w:val="2"/>
      <w:numFmt w:val="bullet"/>
      <w:lvlText w:val="-"/>
      <w:lvlJc w:val="left"/>
      <w:pPr>
        <w:ind w:left="786" w:hanging="360"/>
      </w:pPr>
      <w:rPr>
        <w:rFonts w:ascii="Arial Narrow" w:eastAsia="Times New Roman" w:hAnsi="Arial Narrow"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7">
    <w:nsid w:val="3E4D517B"/>
    <w:multiLevelType w:val="hybridMultilevel"/>
    <w:tmpl w:val="49BE7FEE"/>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E5B7174"/>
    <w:multiLevelType w:val="hybridMultilevel"/>
    <w:tmpl w:val="F7A8A5E8"/>
    <w:lvl w:ilvl="0">
      <w:start w:val="3"/>
      <w:numFmt w:val="bullet"/>
      <w:lvlText w:val="-"/>
      <w:lvlJc w:val="left"/>
      <w:pPr>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F850B32"/>
    <w:multiLevelType w:val="hybridMultilevel"/>
    <w:tmpl w:val="586A431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409B3F2C"/>
    <w:multiLevelType w:val="hybridMultilevel"/>
    <w:tmpl w:val="97FAE3E4"/>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3">
    <w:nsid w:val="4F4D70F9"/>
    <w:multiLevelType w:val="hybridMultilevel"/>
    <w:tmpl w:val="C2D4D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5C9B77D4"/>
    <w:multiLevelType w:val="multilevel"/>
    <w:tmpl w:val="C262C0B0"/>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ascii="Times New Roman" w:eastAsia="Times New Roman" w:hAnsi="Times New Roman" w:cs="Times New Roman"/>
        <w:b w:val="0"/>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6">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10"/>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1"/>
  </w:num>
  <w:num w:numId="8">
    <w:abstractNumId w:val="12"/>
  </w:num>
  <w:num w:numId="9">
    <w:abstractNumId w:val="7"/>
  </w:num>
  <w:num w:numId="10">
    <w:abstractNumId w:val="15"/>
  </w:num>
  <w:num w:numId="11">
    <w:abstractNumId w:val="19"/>
    <w:lvlOverride w:ilvl="0"/>
    <w:lvlOverride w:ilvl="1"/>
    <w:lvlOverride w:ilvl="2"/>
    <w:lvlOverride w:ilvl="3"/>
    <w:lvlOverride w:ilvl="4"/>
    <w:lvlOverride w:ilvl="5"/>
    <w:lvlOverride w:ilvl="6"/>
    <w:lvlOverride w:ilvl="7"/>
    <w:lvlOverride w:ilvl="8"/>
  </w:num>
  <w:num w:numId="12">
    <w:abstractNumId w:val="14"/>
    <w:lvlOverride w:ilvl="0"/>
    <w:lvlOverride w:ilvl="1"/>
    <w:lvlOverride w:ilvl="2"/>
    <w:lvlOverride w:ilvl="3"/>
    <w:lvlOverride w:ilvl="4"/>
    <w:lvlOverride w:ilvl="5"/>
    <w:lvlOverride w:ilvl="6"/>
    <w:lvlOverride w:ilvl="7"/>
    <w:lvlOverride w:ilvl="8"/>
  </w:num>
  <w:num w:numId="13">
    <w:abstractNumId w:val="18"/>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16"/>
  </w:num>
  <w:num w:numId="19">
    <w:abstractNumId w:val="20"/>
  </w:num>
  <w:num w:numId="20">
    <w:abstractNumId w:val="17"/>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6E0690"/>
    <w:rsid w:val="000010ED"/>
    <w:rsid w:val="00002BE3"/>
    <w:rsid w:val="000042AB"/>
    <w:rsid w:val="00005508"/>
    <w:rsid w:val="00014224"/>
    <w:rsid w:val="000147D6"/>
    <w:rsid w:val="00030E29"/>
    <w:rsid w:val="000356A4"/>
    <w:rsid w:val="00040607"/>
    <w:rsid w:val="000452BE"/>
    <w:rsid w:val="0005566C"/>
    <w:rsid w:val="0005720E"/>
    <w:rsid w:val="000627E0"/>
    <w:rsid w:val="00064552"/>
    <w:rsid w:val="000725F5"/>
    <w:rsid w:val="000B4854"/>
    <w:rsid w:val="000B6BD2"/>
    <w:rsid w:val="000C39FB"/>
    <w:rsid w:val="000D0B69"/>
    <w:rsid w:val="000D5CB2"/>
    <w:rsid w:val="000E1B71"/>
    <w:rsid w:val="000E479A"/>
    <w:rsid w:val="000E550D"/>
    <w:rsid w:val="000F3983"/>
    <w:rsid w:val="000F615A"/>
    <w:rsid w:val="000F698D"/>
    <w:rsid w:val="00102694"/>
    <w:rsid w:val="001034D2"/>
    <w:rsid w:val="00106287"/>
    <w:rsid w:val="0011564A"/>
    <w:rsid w:val="00116DD5"/>
    <w:rsid w:val="0012135C"/>
    <w:rsid w:val="0012245E"/>
    <w:rsid w:val="00127475"/>
    <w:rsid w:val="00127A36"/>
    <w:rsid w:val="001301F3"/>
    <w:rsid w:val="00146613"/>
    <w:rsid w:val="00154A9B"/>
    <w:rsid w:val="00154C23"/>
    <w:rsid w:val="001567E0"/>
    <w:rsid w:val="00167EAA"/>
    <w:rsid w:val="00175349"/>
    <w:rsid w:val="00180E66"/>
    <w:rsid w:val="001819D4"/>
    <w:rsid w:val="00187697"/>
    <w:rsid w:val="001A50BF"/>
    <w:rsid w:val="001B6560"/>
    <w:rsid w:val="001C4D51"/>
    <w:rsid w:val="001D06E7"/>
    <w:rsid w:val="001D127A"/>
    <w:rsid w:val="001D21C8"/>
    <w:rsid w:val="001D2C76"/>
    <w:rsid w:val="001D3FED"/>
    <w:rsid w:val="001E4364"/>
    <w:rsid w:val="001F09BE"/>
    <w:rsid w:val="001F1378"/>
    <w:rsid w:val="002027A5"/>
    <w:rsid w:val="00205B08"/>
    <w:rsid w:val="00207C1A"/>
    <w:rsid w:val="00210E92"/>
    <w:rsid w:val="00223730"/>
    <w:rsid w:val="002425CD"/>
    <w:rsid w:val="00246D0F"/>
    <w:rsid w:val="00253B48"/>
    <w:rsid w:val="0025414D"/>
    <w:rsid w:val="00264EAC"/>
    <w:rsid w:val="002710E2"/>
    <w:rsid w:val="00272C40"/>
    <w:rsid w:val="00284C11"/>
    <w:rsid w:val="00285631"/>
    <w:rsid w:val="002857DB"/>
    <w:rsid w:val="00286A81"/>
    <w:rsid w:val="0029455C"/>
    <w:rsid w:val="002A0DDB"/>
    <w:rsid w:val="002B3869"/>
    <w:rsid w:val="002E650F"/>
    <w:rsid w:val="002E6EDE"/>
    <w:rsid w:val="00301E98"/>
    <w:rsid w:val="003109A0"/>
    <w:rsid w:val="00312984"/>
    <w:rsid w:val="0031439D"/>
    <w:rsid w:val="00317121"/>
    <w:rsid w:val="00321E48"/>
    <w:rsid w:val="00323053"/>
    <w:rsid w:val="00325560"/>
    <w:rsid w:val="003276BC"/>
    <w:rsid w:val="0036581A"/>
    <w:rsid w:val="00390983"/>
    <w:rsid w:val="00392DDF"/>
    <w:rsid w:val="003B38DC"/>
    <w:rsid w:val="003B7B98"/>
    <w:rsid w:val="003C0779"/>
    <w:rsid w:val="003C1066"/>
    <w:rsid w:val="003C2FB8"/>
    <w:rsid w:val="003C76F2"/>
    <w:rsid w:val="003E7770"/>
    <w:rsid w:val="003F3B01"/>
    <w:rsid w:val="004017A6"/>
    <w:rsid w:val="0040303F"/>
    <w:rsid w:val="00430DF6"/>
    <w:rsid w:val="0043120B"/>
    <w:rsid w:val="004321B9"/>
    <w:rsid w:val="00435173"/>
    <w:rsid w:val="0043579A"/>
    <w:rsid w:val="00437ED1"/>
    <w:rsid w:val="004402D4"/>
    <w:rsid w:val="00444065"/>
    <w:rsid w:val="0045487E"/>
    <w:rsid w:val="004606FC"/>
    <w:rsid w:val="00463D31"/>
    <w:rsid w:val="00465AE1"/>
    <w:rsid w:val="0047032D"/>
    <w:rsid w:val="00474FD9"/>
    <w:rsid w:val="00493504"/>
    <w:rsid w:val="00495317"/>
    <w:rsid w:val="00496DB9"/>
    <w:rsid w:val="00496E2E"/>
    <w:rsid w:val="0049774D"/>
    <w:rsid w:val="004A39FC"/>
    <w:rsid w:val="004A4E0D"/>
    <w:rsid w:val="004B1A49"/>
    <w:rsid w:val="004C6FC7"/>
    <w:rsid w:val="004E335D"/>
    <w:rsid w:val="004E3FE9"/>
    <w:rsid w:val="004F5C63"/>
    <w:rsid w:val="004F6503"/>
    <w:rsid w:val="004F6BD6"/>
    <w:rsid w:val="004F774A"/>
    <w:rsid w:val="004F7CDA"/>
    <w:rsid w:val="00502CD0"/>
    <w:rsid w:val="00515F3B"/>
    <w:rsid w:val="00525984"/>
    <w:rsid w:val="00531156"/>
    <w:rsid w:val="005311FC"/>
    <w:rsid w:val="00534A92"/>
    <w:rsid w:val="0054013B"/>
    <w:rsid w:val="00541858"/>
    <w:rsid w:val="00542DBA"/>
    <w:rsid w:val="0054483F"/>
    <w:rsid w:val="005451BE"/>
    <w:rsid w:val="005529FE"/>
    <w:rsid w:val="0056176D"/>
    <w:rsid w:val="0056281B"/>
    <w:rsid w:val="00567693"/>
    <w:rsid w:val="0057390F"/>
    <w:rsid w:val="00574811"/>
    <w:rsid w:val="005819D1"/>
    <w:rsid w:val="00586376"/>
    <w:rsid w:val="00586F9E"/>
    <w:rsid w:val="005957D4"/>
    <w:rsid w:val="005A0241"/>
    <w:rsid w:val="005A0519"/>
    <w:rsid w:val="005A14AC"/>
    <w:rsid w:val="005A4C35"/>
    <w:rsid w:val="005B3417"/>
    <w:rsid w:val="005B416D"/>
    <w:rsid w:val="005D3BE6"/>
    <w:rsid w:val="005D453E"/>
    <w:rsid w:val="005D5DEA"/>
    <w:rsid w:val="005F4C10"/>
    <w:rsid w:val="005F586B"/>
    <w:rsid w:val="00601DAA"/>
    <w:rsid w:val="006058D3"/>
    <w:rsid w:val="00620E17"/>
    <w:rsid w:val="00627A0C"/>
    <w:rsid w:val="00634470"/>
    <w:rsid w:val="00634F4E"/>
    <w:rsid w:val="00642C83"/>
    <w:rsid w:val="00646F72"/>
    <w:rsid w:val="00654F52"/>
    <w:rsid w:val="00666382"/>
    <w:rsid w:val="00672E4C"/>
    <w:rsid w:val="00675E05"/>
    <w:rsid w:val="00683B29"/>
    <w:rsid w:val="00692D56"/>
    <w:rsid w:val="00697CB2"/>
    <w:rsid w:val="006A3015"/>
    <w:rsid w:val="006A5B43"/>
    <w:rsid w:val="006A6E33"/>
    <w:rsid w:val="006A7BE2"/>
    <w:rsid w:val="006B1F81"/>
    <w:rsid w:val="006C0675"/>
    <w:rsid w:val="006C0EEB"/>
    <w:rsid w:val="006C3A8C"/>
    <w:rsid w:val="006D1951"/>
    <w:rsid w:val="006E0690"/>
    <w:rsid w:val="006E1FAD"/>
    <w:rsid w:val="006E22A4"/>
    <w:rsid w:val="006E49C9"/>
    <w:rsid w:val="006F115D"/>
    <w:rsid w:val="006F1CB2"/>
    <w:rsid w:val="006F2E2F"/>
    <w:rsid w:val="006F796D"/>
    <w:rsid w:val="00700856"/>
    <w:rsid w:val="00707E33"/>
    <w:rsid w:val="0071127A"/>
    <w:rsid w:val="00712B70"/>
    <w:rsid w:val="007202CF"/>
    <w:rsid w:val="007321AF"/>
    <w:rsid w:val="007353C5"/>
    <w:rsid w:val="00735B83"/>
    <w:rsid w:val="007369B0"/>
    <w:rsid w:val="00736EB2"/>
    <w:rsid w:val="00743DE6"/>
    <w:rsid w:val="00746D2A"/>
    <w:rsid w:val="00751EF5"/>
    <w:rsid w:val="00762A31"/>
    <w:rsid w:val="007767CE"/>
    <w:rsid w:val="00776D17"/>
    <w:rsid w:val="007905FD"/>
    <w:rsid w:val="00791FF6"/>
    <w:rsid w:val="00796DFC"/>
    <w:rsid w:val="00797D66"/>
    <w:rsid w:val="007B0C4C"/>
    <w:rsid w:val="007B300C"/>
    <w:rsid w:val="007C4E00"/>
    <w:rsid w:val="007D1877"/>
    <w:rsid w:val="007D7D2A"/>
    <w:rsid w:val="007E05AD"/>
    <w:rsid w:val="007E5AD2"/>
    <w:rsid w:val="007F01CF"/>
    <w:rsid w:val="008067A8"/>
    <w:rsid w:val="00807300"/>
    <w:rsid w:val="00807931"/>
    <w:rsid w:val="00815F88"/>
    <w:rsid w:val="00821432"/>
    <w:rsid w:val="00825A32"/>
    <w:rsid w:val="008278B7"/>
    <w:rsid w:val="0084524A"/>
    <w:rsid w:val="008474C5"/>
    <w:rsid w:val="0085091E"/>
    <w:rsid w:val="00853065"/>
    <w:rsid w:val="008572D1"/>
    <w:rsid w:val="00860707"/>
    <w:rsid w:val="0086154F"/>
    <w:rsid w:val="00865041"/>
    <w:rsid w:val="00865AB4"/>
    <w:rsid w:val="00873912"/>
    <w:rsid w:val="00881011"/>
    <w:rsid w:val="0088150B"/>
    <w:rsid w:val="00884C06"/>
    <w:rsid w:val="008902C3"/>
    <w:rsid w:val="00892C2E"/>
    <w:rsid w:val="00894931"/>
    <w:rsid w:val="008A0B0B"/>
    <w:rsid w:val="008D2DFD"/>
    <w:rsid w:val="008D3FAF"/>
    <w:rsid w:val="008E0AB9"/>
    <w:rsid w:val="008E5B01"/>
    <w:rsid w:val="008F31E2"/>
    <w:rsid w:val="00904CFF"/>
    <w:rsid w:val="00904DCA"/>
    <w:rsid w:val="00905AD1"/>
    <w:rsid w:val="009107A4"/>
    <w:rsid w:val="009217A0"/>
    <w:rsid w:val="0092753C"/>
    <w:rsid w:val="009431D5"/>
    <w:rsid w:val="009521EF"/>
    <w:rsid w:val="00966AD9"/>
    <w:rsid w:val="009714CA"/>
    <w:rsid w:val="00971B98"/>
    <w:rsid w:val="009878B0"/>
    <w:rsid w:val="00991D40"/>
    <w:rsid w:val="00993B39"/>
    <w:rsid w:val="0099742D"/>
    <w:rsid w:val="009A23BC"/>
    <w:rsid w:val="009A6655"/>
    <w:rsid w:val="009A74A7"/>
    <w:rsid w:val="009C7A8B"/>
    <w:rsid w:val="009D622E"/>
    <w:rsid w:val="009E6010"/>
    <w:rsid w:val="009F1266"/>
    <w:rsid w:val="009F79B7"/>
    <w:rsid w:val="00A04E03"/>
    <w:rsid w:val="00A1322E"/>
    <w:rsid w:val="00A406D8"/>
    <w:rsid w:val="00A419EB"/>
    <w:rsid w:val="00A4226B"/>
    <w:rsid w:val="00A44EC0"/>
    <w:rsid w:val="00A541D1"/>
    <w:rsid w:val="00A577B3"/>
    <w:rsid w:val="00A61A9A"/>
    <w:rsid w:val="00A66C11"/>
    <w:rsid w:val="00A76A1F"/>
    <w:rsid w:val="00A8025E"/>
    <w:rsid w:val="00A907F6"/>
    <w:rsid w:val="00A92E2C"/>
    <w:rsid w:val="00A94157"/>
    <w:rsid w:val="00A970FF"/>
    <w:rsid w:val="00AA6D10"/>
    <w:rsid w:val="00AC7399"/>
    <w:rsid w:val="00AC758B"/>
    <w:rsid w:val="00AD32A0"/>
    <w:rsid w:val="00AD41B0"/>
    <w:rsid w:val="00AE5A38"/>
    <w:rsid w:val="00AE652F"/>
    <w:rsid w:val="00AE677D"/>
    <w:rsid w:val="00B050CB"/>
    <w:rsid w:val="00B20476"/>
    <w:rsid w:val="00B26991"/>
    <w:rsid w:val="00B31994"/>
    <w:rsid w:val="00B32FBF"/>
    <w:rsid w:val="00B44BD0"/>
    <w:rsid w:val="00B53EA1"/>
    <w:rsid w:val="00B621A0"/>
    <w:rsid w:val="00B90EEB"/>
    <w:rsid w:val="00B925F7"/>
    <w:rsid w:val="00B95515"/>
    <w:rsid w:val="00B97EA8"/>
    <w:rsid w:val="00BA117D"/>
    <w:rsid w:val="00BA13EB"/>
    <w:rsid w:val="00BA17AD"/>
    <w:rsid w:val="00BA2607"/>
    <w:rsid w:val="00BB65EA"/>
    <w:rsid w:val="00BB7EF4"/>
    <w:rsid w:val="00BC0B57"/>
    <w:rsid w:val="00BC62BF"/>
    <w:rsid w:val="00BD063F"/>
    <w:rsid w:val="00BD0F40"/>
    <w:rsid w:val="00BE03FB"/>
    <w:rsid w:val="00BF31E1"/>
    <w:rsid w:val="00BF59E8"/>
    <w:rsid w:val="00C003B1"/>
    <w:rsid w:val="00C0389A"/>
    <w:rsid w:val="00C04FA3"/>
    <w:rsid w:val="00C0561E"/>
    <w:rsid w:val="00C140C8"/>
    <w:rsid w:val="00C17117"/>
    <w:rsid w:val="00C22376"/>
    <w:rsid w:val="00C25B4C"/>
    <w:rsid w:val="00C360D6"/>
    <w:rsid w:val="00C53D95"/>
    <w:rsid w:val="00C60F99"/>
    <w:rsid w:val="00C721C7"/>
    <w:rsid w:val="00C74C86"/>
    <w:rsid w:val="00C81A4B"/>
    <w:rsid w:val="00C8385C"/>
    <w:rsid w:val="00C87351"/>
    <w:rsid w:val="00C876F0"/>
    <w:rsid w:val="00C9387A"/>
    <w:rsid w:val="00C9540E"/>
    <w:rsid w:val="00C97AEF"/>
    <w:rsid w:val="00CA0F26"/>
    <w:rsid w:val="00CA4A29"/>
    <w:rsid w:val="00CA6473"/>
    <w:rsid w:val="00CC09EB"/>
    <w:rsid w:val="00CC3308"/>
    <w:rsid w:val="00CC3312"/>
    <w:rsid w:val="00CD1623"/>
    <w:rsid w:val="00CE1929"/>
    <w:rsid w:val="00D14DFF"/>
    <w:rsid w:val="00D232EB"/>
    <w:rsid w:val="00D256A9"/>
    <w:rsid w:val="00D27BBC"/>
    <w:rsid w:val="00D317F3"/>
    <w:rsid w:val="00D3362A"/>
    <w:rsid w:val="00D3433A"/>
    <w:rsid w:val="00D42ED3"/>
    <w:rsid w:val="00D71865"/>
    <w:rsid w:val="00D73987"/>
    <w:rsid w:val="00D73B46"/>
    <w:rsid w:val="00D74165"/>
    <w:rsid w:val="00D764F8"/>
    <w:rsid w:val="00D77F4D"/>
    <w:rsid w:val="00D9536A"/>
    <w:rsid w:val="00D9652D"/>
    <w:rsid w:val="00DA3FDF"/>
    <w:rsid w:val="00DA60C8"/>
    <w:rsid w:val="00DA748B"/>
    <w:rsid w:val="00DC50BB"/>
    <w:rsid w:val="00DC6F34"/>
    <w:rsid w:val="00DE0EE8"/>
    <w:rsid w:val="00DE244B"/>
    <w:rsid w:val="00DF2B61"/>
    <w:rsid w:val="00E17B6D"/>
    <w:rsid w:val="00E20D29"/>
    <w:rsid w:val="00E21B5B"/>
    <w:rsid w:val="00E27753"/>
    <w:rsid w:val="00E31BC8"/>
    <w:rsid w:val="00E321EF"/>
    <w:rsid w:val="00E4173C"/>
    <w:rsid w:val="00E430AE"/>
    <w:rsid w:val="00E4494A"/>
    <w:rsid w:val="00E44DE8"/>
    <w:rsid w:val="00E52E68"/>
    <w:rsid w:val="00E6246F"/>
    <w:rsid w:val="00E6356F"/>
    <w:rsid w:val="00E65036"/>
    <w:rsid w:val="00E711C7"/>
    <w:rsid w:val="00E74081"/>
    <w:rsid w:val="00E852F1"/>
    <w:rsid w:val="00E875F8"/>
    <w:rsid w:val="00E90D1C"/>
    <w:rsid w:val="00E918F7"/>
    <w:rsid w:val="00E924C7"/>
    <w:rsid w:val="00E94458"/>
    <w:rsid w:val="00E95FCF"/>
    <w:rsid w:val="00EA0893"/>
    <w:rsid w:val="00EB471A"/>
    <w:rsid w:val="00EB4961"/>
    <w:rsid w:val="00EC1DC5"/>
    <w:rsid w:val="00EC5DE4"/>
    <w:rsid w:val="00ED324C"/>
    <w:rsid w:val="00EE0CFF"/>
    <w:rsid w:val="00EE0D02"/>
    <w:rsid w:val="00EE1993"/>
    <w:rsid w:val="00EE4CFB"/>
    <w:rsid w:val="00EE68D8"/>
    <w:rsid w:val="00EF34C5"/>
    <w:rsid w:val="00EF79CA"/>
    <w:rsid w:val="00F057B9"/>
    <w:rsid w:val="00F10150"/>
    <w:rsid w:val="00F10436"/>
    <w:rsid w:val="00F105F7"/>
    <w:rsid w:val="00F12F3D"/>
    <w:rsid w:val="00F21446"/>
    <w:rsid w:val="00F26834"/>
    <w:rsid w:val="00F27549"/>
    <w:rsid w:val="00F32430"/>
    <w:rsid w:val="00F41208"/>
    <w:rsid w:val="00F427B9"/>
    <w:rsid w:val="00F471C3"/>
    <w:rsid w:val="00F50A8C"/>
    <w:rsid w:val="00F5256F"/>
    <w:rsid w:val="00F539C0"/>
    <w:rsid w:val="00F61A3E"/>
    <w:rsid w:val="00F6568C"/>
    <w:rsid w:val="00F65F2C"/>
    <w:rsid w:val="00F6701D"/>
    <w:rsid w:val="00F7297B"/>
    <w:rsid w:val="00F7433E"/>
    <w:rsid w:val="00F756C0"/>
    <w:rsid w:val="00F85EBF"/>
    <w:rsid w:val="00F941CE"/>
    <w:rsid w:val="00F96EC2"/>
    <w:rsid w:val="00FA18CE"/>
    <w:rsid w:val="00FB640A"/>
    <w:rsid w:val="00FB73D8"/>
    <w:rsid w:val="00FC4AF5"/>
    <w:rsid w:val="00FD0A34"/>
    <w:rsid w:val="00FD4534"/>
    <w:rsid w:val="00FD5885"/>
    <w:rsid w:val="00FE38BA"/>
    <w:rsid w:val="00FE4042"/>
    <w:rsid w:val="00FE48B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B73D8"/>
    <w:pPr>
      <w:keepNext/>
      <w:spacing w:before="240" w:after="6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Nadpis2Char"/>
    <w:uiPriority w:val="99"/>
    <w:qFormat/>
    <w:rsid w:val="00444065"/>
    <w:pPr>
      <w:keepNext/>
      <w:keepLines/>
      <w:widowControl w:val="0"/>
      <w:adjustRightInd w:val="0"/>
      <w:spacing w:before="200"/>
      <w:jc w:val="left"/>
      <w:outlineLvl w:val="1"/>
    </w:pPr>
    <w:rPr>
      <w:rFonts w:ascii="Cambria" w:hAnsi="Cambria"/>
      <w:b/>
      <w:bCs/>
      <w:color w:val="4F81BD"/>
      <w:sz w:val="26"/>
      <w:szCs w:val="26"/>
    </w:rPr>
  </w:style>
  <w:style w:type="paragraph" w:styleId="Heading3">
    <w:name w:val="heading 3"/>
    <w:basedOn w:val="Normal"/>
    <w:next w:val="Normal"/>
    <w:link w:val="Nadpis3Char"/>
    <w:uiPriority w:val="9"/>
    <w:semiHidden/>
    <w:unhideWhenUsed/>
    <w:qFormat/>
    <w:rsid w:val="00FB73D8"/>
    <w:pPr>
      <w:keepNext/>
      <w:spacing w:before="240" w:after="60"/>
      <w:jc w:val="left"/>
      <w:outlineLvl w:val="2"/>
    </w:pPr>
    <w:rPr>
      <w:rFonts w:ascii="Cambria" w:hAnsi="Cambria"/>
      <w:b/>
      <w:bCs/>
      <w:sz w:val="26"/>
      <w:szCs w:val="26"/>
    </w:rPr>
  </w:style>
  <w:style w:type="paragraph" w:styleId="Heading4">
    <w:name w:val="heading 4"/>
    <w:basedOn w:val="Normal"/>
    <w:next w:val="Normal"/>
    <w:link w:val="Nadpis4Char"/>
    <w:uiPriority w:val="99"/>
    <w:qFormat/>
    <w:rsid w:val="00444065"/>
    <w:pPr>
      <w:keepNext/>
      <w:spacing w:before="240" w:after="60"/>
      <w:jc w:val="left"/>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444065"/>
    <w:rPr>
      <w:rFonts w:ascii="Cambria" w:hAnsi="Cambria" w:cs="Times New Roman"/>
      <w:b/>
      <w:bCs/>
      <w:color w:val="4F81BD"/>
      <w:sz w:val="26"/>
      <w:szCs w:val="26"/>
      <w:rtl w:val="0"/>
      <w:cs w:val="0"/>
    </w:rPr>
  </w:style>
  <w:style w:type="character" w:customStyle="1" w:styleId="Nadpis4Char">
    <w:name w:val="Nadpis 4 Char"/>
    <w:basedOn w:val="DefaultParagraphFont"/>
    <w:link w:val="Heading4"/>
    <w:uiPriority w:val="99"/>
    <w:locked/>
    <w:rsid w:val="00444065"/>
    <w:rPr>
      <w:rFonts w:ascii="Times New Roman" w:hAnsi="Times New Roman" w:cs="Times New Roman"/>
      <w:b/>
      <w:bCs/>
      <w:sz w:val="28"/>
      <w:szCs w:val="28"/>
      <w:rtl w:val="0"/>
      <w:cs w:val="0"/>
      <w:lang w:val="en-US" w:eastAsia="x-none"/>
    </w:rPr>
  </w:style>
  <w:style w:type="character" w:styleId="PlaceholderText">
    <w:name w:val="Placeholder Text"/>
    <w:basedOn w:val="DefaultParagraphFont"/>
    <w:uiPriority w:val="99"/>
    <w:semiHidden/>
    <w:rsid w:val="00CC09EB"/>
    <w:rPr>
      <w:rFonts w:ascii="Times New Roman" w:hAnsi="Times New Roman" w:cs="Times New Roman"/>
      <w:color w:val="808080"/>
      <w:rtl w:val="0"/>
      <w:cs w:val="0"/>
    </w:rPr>
  </w:style>
  <w:style w:type="paragraph" w:styleId="ListParagraph">
    <w:name w:val="List Paragraph"/>
    <w:basedOn w:val="Normal"/>
    <w:link w:val="OdsekzoznamuChar"/>
    <w:uiPriority w:val="34"/>
    <w:qFormat/>
    <w:rsid w:val="00CC09EB"/>
    <w:pPr>
      <w:spacing w:after="200" w:line="276" w:lineRule="auto"/>
      <w:ind w:left="720"/>
      <w:contextualSpacing/>
      <w:jc w:val="left"/>
    </w:pPr>
    <w:rPr>
      <w:rFonts w:ascii="Calibri" w:hAnsi="Calibri"/>
      <w:sz w:val="22"/>
      <w:szCs w:val="22"/>
      <w:lang w:eastAsia="en-US"/>
    </w:rPr>
  </w:style>
  <w:style w:type="paragraph" w:styleId="BodyText2">
    <w:name w:val="Body Text 2"/>
    <w:basedOn w:val="Normal"/>
    <w:link w:val="Zkladntext2Char"/>
    <w:uiPriority w:val="99"/>
    <w:rsid w:val="00EB4961"/>
    <w:pPr>
      <w:spacing w:after="120" w:line="480" w:lineRule="auto"/>
      <w:jc w:val="left"/>
    </w:pPr>
  </w:style>
  <w:style w:type="character" w:customStyle="1" w:styleId="Zkladntext2Char">
    <w:name w:val="Základný text 2 Char"/>
    <w:basedOn w:val="DefaultParagraphFont"/>
    <w:link w:val="BodyText2"/>
    <w:uiPriority w:val="99"/>
    <w:locked/>
    <w:rsid w:val="00EB4961"/>
    <w:rPr>
      <w:rFonts w:ascii="Times New Roman" w:hAnsi="Times New Roman" w:cs="Times New Roman"/>
      <w:sz w:val="24"/>
      <w:rtl w:val="0"/>
      <w:cs w:val="0"/>
    </w:rPr>
  </w:style>
  <w:style w:type="paragraph" w:styleId="BalloonText">
    <w:name w:val="Balloon Text"/>
    <w:basedOn w:val="Normal"/>
    <w:link w:val="TextbublinyChar"/>
    <w:uiPriority w:val="99"/>
    <w:semiHidden/>
    <w:unhideWhenUsed/>
    <w:rsid w:val="00BA117D"/>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BA117D"/>
    <w:rPr>
      <w:rFonts w:ascii="Tahoma" w:hAnsi="Tahoma" w:cs="Times New Roman"/>
      <w:sz w:val="16"/>
      <w:rtl w:val="0"/>
      <w:cs w:val="0"/>
    </w:rPr>
  </w:style>
  <w:style w:type="paragraph" w:styleId="BodyText">
    <w:name w:val="Body Text"/>
    <w:basedOn w:val="Normal"/>
    <w:link w:val="ZkladntextChar"/>
    <w:uiPriority w:val="99"/>
    <w:unhideWhenUsed/>
    <w:rsid w:val="0043579A"/>
    <w:pPr>
      <w:spacing w:after="120"/>
      <w:jc w:val="left"/>
    </w:pPr>
  </w:style>
  <w:style w:type="character" w:customStyle="1" w:styleId="ZkladntextChar">
    <w:name w:val="Základný text Char"/>
    <w:basedOn w:val="DefaultParagraphFont"/>
    <w:link w:val="BodyText"/>
    <w:uiPriority w:val="99"/>
    <w:semiHidden/>
    <w:locked/>
    <w:rsid w:val="0043579A"/>
    <w:rPr>
      <w:rFonts w:ascii="Times New Roman" w:hAnsi="Times New Roman" w:cs="Times New Roman"/>
      <w:sz w:val="24"/>
      <w:rtl w:val="0"/>
      <w:cs w:val="0"/>
    </w:rPr>
  </w:style>
  <w:style w:type="paragraph" w:styleId="Header">
    <w:name w:val="header"/>
    <w:basedOn w:val="Normal"/>
    <w:link w:val="HlavikaChar"/>
    <w:uiPriority w:val="99"/>
    <w:unhideWhenUsed/>
    <w:rsid w:val="00884C06"/>
    <w:pPr>
      <w:tabs>
        <w:tab w:val="center" w:pos="4536"/>
        <w:tab w:val="right" w:pos="9072"/>
      </w:tabs>
      <w:jc w:val="left"/>
    </w:pPr>
  </w:style>
  <w:style w:type="character" w:customStyle="1" w:styleId="HlavikaChar">
    <w:name w:val="Hlavička Char"/>
    <w:basedOn w:val="DefaultParagraphFont"/>
    <w:link w:val="Header"/>
    <w:uiPriority w:val="99"/>
    <w:semiHidden/>
    <w:locked/>
    <w:rsid w:val="00884C06"/>
    <w:rPr>
      <w:rFonts w:ascii="Times New Roman" w:hAnsi="Times New Roman" w:cs="Times New Roman"/>
      <w:sz w:val="24"/>
      <w:rtl w:val="0"/>
      <w:cs w:val="0"/>
    </w:rPr>
  </w:style>
  <w:style w:type="paragraph" w:styleId="Footer">
    <w:name w:val="footer"/>
    <w:basedOn w:val="Normal"/>
    <w:link w:val="PtaChar"/>
    <w:uiPriority w:val="99"/>
    <w:unhideWhenUsed/>
    <w:rsid w:val="00884C06"/>
    <w:pPr>
      <w:tabs>
        <w:tab w:val="center" w:pos="4536"/>
        <w:tab w:val="right" w:pos="9072"/>
      </w:tabs>
      <w:jc w:val="left"/>
    </w:pPr>
  </w:style>
  <w:style w:type="character" w:customStyle="1" w:styleId="PtaChar">
    <w:name w:val="Päta Char"/>
    <w:basedOn w:val="DefaultParagraphFont"/>
    <w:link w:val="Footer"/>
    <w:uiPriority w:val="99"/>
    <w:locked/>
    <w:rsid w:val="00884C06"/>
    <w:rPr>
      <w:rFonts w:ascii="Times New Roman" w:hAnsi="Times New Roman" w:cs="Times New Roman"/>
      <w:sz w:val="24"/>
      <w:rtl w:val="0"/>
      <w:cs w:val="0"/>
    </w:rPr>
  </w:style>
  <w:style w:type="character" w:styleId="CommentReference">
    <w:name w:val="annotation reference"/>
    <w:basedOn w:val="DefaultParagraphFont"/>
    <w:uiPriority w:val="99"/>
    <w:semiHidden/>
    <w:unhideWhenUsed/>
    <w:rsid w:val="00E31BC8"/>
    <w:rPr>
      <w:rFonts w:cs="Times New Roman"/>
      <w:sz w:val="16"/>
      <w:rtl w:val="0"/>
      <w:cs w:val="0"/>
    </w:rPr>
  </w:style>
  <w:style w:type="paragraph" w:styleId="CommentText">
    <w:name w:val="annotation text"/>
    <w:basedOn w:val="Normal"/>
    <w:link w:val="TextkomentraChar"/>
    <w:uiPriority w:val="99"/>
    <w:semiHidden/>
    <w:unhideWhenUsed/>
    <w:rsid w:val="00E31BC8"/>
    <w:pPr>
      <w:jc w:val="left"/>
    </w:pPr>
    <w:rPr>
      <w:sz w:val="20"/>
      <w:szCs w:val="20"/>
    </w:rPr>
  </w:style>
  <w:style w:type="character" w:customStyle="1" w:styleId="TextkomentraChar">
    <w:name w:val="Text komentára Char"/>
    <w:basedOn w:val="DefaultParagraphFont"/>
    <w:link w:val="CommentText"/>
    <w:uiPriority w:val="99"/>
    <w:semiHidden/>
    <w:locked/>
    <w:rsid w:val="00E31BC8"/>
    <w:rPr>
      <w:rFonts w:ascii="Times New Roman" w:hAnsi="Times New Roman" w:cs="Times New Roman"/>
      <w:rtl w:val="0"/>
      <w:cs w:val="0"/>
    </w:rPr>
  </w:style>
  <w:style w:type="paragraph" w:styleId="CommentSubject">
    <w:name w:val="annotation subject"/>
    <w:basedOn w:val="CommentText"/>
    <w:next w:val="CommentText"/>
    <w:link w:val="PredmetkomentraChar"/>
    <w:uiPriority w:val="99"/>
    <w:semiHidden/>
    <w:unhideWhenUsed/>
    <w:rsid w:val="00E31BC8"/>
    <w:pPr>
      <w:jc w:val="left"/>
    </w:pPr>
    <w:rPr>
      <w:b/>
      <w:bCs/>
    </w:rPr>
  </w:style>
  <w:style w:type="character" w:customStyle="1" w:styleId="PredmetkomentraChar">
    <w:name w:val="Predmet komentára Char"/>
    <w:basedOn w:val="TextkomentraChar"/>
    <w:link w:val="CommentSubject"/>
    <w:uiPriority w:val="99"/>
    <w:semiHidden/>
    <w:locked/>
    <w:rsid w:val="00E31BC8"/>
    <w:rPr>
      <w:b/>
    </w:rPr>
  </w:style>
  <w:style w:type="character" w:styleId="Hyperlink">
    <w:name w:val="Hyperlink"/>
    <w:basedOn w:val="DefaultParagraphFont"/>
    <w:uiPriority w:val="99"/>
    <w:unhideWhenUsed/>
    <w:rsid w:val="009878B0"/>
    <w:rPr>
      <w:rFonts w:cs="Times New Roman"/>
      <w:color w:val="0000FF"/>
      <w:u w:val="single"/>
      <w:rtl w:val="0"/>
      <w:cs w:val="0"/>
    </w:rPr>
  </w:style>
  <w:style w:type="paragraph" w:styleId="FootnoteText">
    <w:name w:val="footnote text"/>
    <w:basedOn w:val="Normal"/>
    <w:link w:val="TextpoznmkypodiarouChar"/>
    <w:uiPriority w:val="99"/>
    <w:semiHidden/>
    <w:unhideWhenUsed/>
    <w:rsid w:val="00223730"/>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223730"/>
    <w:rPr>
      <w:rFonts w:ascii="Times New Roman" w:hAnsi="Times New Roman" w:cs="Times New Roman"/>
      <w:rtl w:val="0"/>
      <w:cs w:val="0"/>
    </w:rPr>
  </w:style>
  <w:style w:type="character" w:styleId="FootnoteReference">
    <w:name w:val="footnote reference"/>
    <w:basedOn w:val="DefaultParagraphFont"/>
    <w:uiPriority w:val="99"/>
    <w:semiHidden/>
    <w:unhideWhenUsed/>
    <w:rsid w:val="00223730"/>
    <w:rPr>
      <w:rFonts w:cs="Times New Roman"/>
      <w:vertAlign w:val="superscript"/>
      <w:rtl w:val="0"/>
      <w:cs w:val="0"/>
    </w:rPr>
  </w:style>
  <w:style w:type="paragraph" w:styleId="NormalWeb">
    <w:name w:val="Normal (Web)"/>
    <w:aliases w:val="webb"/>
    <w:basedOn w:val="Normal"/>
    <w:uiPriority w:val="99"/>
    <w:rsid w:val="001D127A"/>
    <w:pPr>
      <w:spacing w:before="100" w:beforeAutospacing="1" w:after="100" w:afterAutospacing="1"/>
      <w:jc w:val="left"/>
    </w:pPr>
  </w:style>
  <w:style w:type="character" w:styleId="PageNumber">
    <w:name w:val="page number"/>
    <w:basedOn w:val="DefaultParagraphFont"/>
    <w:uiPriority w:val="99"/>
    <w:rsid w:val="00444065"/>
    <w:rPr>
      <w:rFonts w:cs="Times New Roman"/>
      <w:rtl w:val="0"/>
      <w:cs w:val="0"/>
    </w:rPr>
  </w:style>
  <w:style w:type="paragraph" w:styleId="BodyTextIndent">
    <w:name w:val="Body Text Indent"/>
    <w:basedOn w:val="Normal"/>
    <w:link w:val="ZarkazkladnhotextuChar"/>
    <w:uiPriority w:val="99"/>
    <w:rsid w:val="00444065"/>
    <w:pPr>
      <w:spacing w:after="120"/>
      <w:ind w:left="283"/>
      <w:jc w:val="left"/>
    </w:pPr>
  </w:style>
  <w:style w:type="character" w:customStyle="1" w:styleId="ZarkazkladnhotextuChar">
    <w:name w:val="Zarážka základného textu Char"/>
    <w:basedOn w:val="DefaultParagraphFont"/>
    <w:link w:val="BodyTextIndent"/>
    <w:uiPriority w:val="99"/>
    <w:locked/>
    <w:rsid w:val="00444065"/>
    <w:rPr>
      <w:rFonts w:ascii="Times New Roman" w:hAnsi="Times New Roman" w:cs="Times New Roman"/>
      <w:sz w:val="24"/>
      <w:szCs w:val="24"/>
      <w:rtl w:val="0"/>
      <w:cs w:val="0"/>
    </w:rPr>
  </w:style>
  <w:style w:type="paragraph" w:styleId="Title">
    <w:name w:val="Title"/>
    <w:basedOn w:val="Normal"/>
    <w:link w:val="NzovChar"/>
    <w:uiPriority w:val="99"/>
    <w:qFormat/>
    <w:rsid w:val="00444065"/>
    <w:pPr>
      <w:jc w:val="center"/>
    </w:pPr>
    <w:rPr>
      <w:sz w:val="28"/>
      <w:szCs w:val="20"/>
    </w:rPr>
  </w:style>
  <w:style w:type="character" w:customStyle="1" w:styleId="NzovChar">
    <w:name w:val="Názov Char"/>
    <w:basedOn w:val="DefaultParagraphFont"/>
    <w:link w:val="Title"/>
    <w:uiPriority w:val="99"/>
    <w:locked/>
    <w:rsid w:val="00444065"/>
    <w:rPr>
      <w:rFonts w:ascii="Times New Roman" w:hAnsi="Times New Roman" w:cs="Times New Roman"/>
      <w:sz w:val="28"/>
      <w:rtl w:val="0"/>
      <w:cs w:val="0"/>
    </w:rPr>
  </w:style>
  <w:style w:type="paragraph" w:styleId="BodyTextIndent3">
    <w:name w:val="Body Text Indent 3"/>
    <w:basedOn w:val="Normal"/>
    <w:link w:val="Zarkazkladnhotextu3Char"/>
    <w:uiPriority w:val="99"/>
    <w:rsid w:val="00444065"/>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444065"/>
    <w:rPr>
      <w:rFonts w:ascii="Times New Roman" w:hAnsi="Times New Roman" w:cs="Times New Roman"/>
      <w:sz w:val="16"/>
      <w:szCs w:val="16"/>
      <w:rtl w:val="0"/>
      <w:cs w:val="0"/>
    </w:rPr>
  </w:style>
  <w:style w:type="paragraph" w:customStyle="1" w:styleId="Action">
    <w:name w:val="Action"/>
    <w:basedOn w:val="BodyText"/>
    <w:uiPriority w:val="99"/>
    <w:rsid w:val="00444065"/>
    <w:pPr>
      <w:numPr>
        <w:numId w:val="8"/>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basedOn w:val="DefaultParagraphFont"/>
    <w:uiPriority w:val="99"/>
    <w:rsid w:val="00444065"/>
    <w:rPr>
      <w:rFonts w:ascii="Verdana" w:hAnsi="Verdana" w:cs="Verdana"/>
      <w:kern w:val="20"/>
      <w:sz w:val="22"/>
      <w:szCs w:val="22"/>
      <w:u w:val="single"/>
      <w:rtl w:val="0"/>
      <w:cs w:val="0"/>
      <w:lang w:val="en-US" w:eastAsia="en-US"/>
    </w:rPr>
  </w:style>
  <w:style w:type="character" w:styleId="Emphasis">
    <w:name w:val="Emphasis"/>
    <w:basedOn w:val="DefaultParagraphFont"/>
    <w:uiPriority w:val="20"/>
    <w:qFormat/>
    <w:rsid w:val="00525984"/>
    <w:rPr>
      <w:rFonts w:cs="Times New Roman"/>
      <w:i/>
      <w:rtl w:val="0"/>
      <w:cs w:val="0"/>
    </w:rPr>
  </w:style>
  <w:style w:type="character" w:customStyle="1" w:styleId="OdsekzoznamuChar">
    <w:name w:val="Odsek zoznamu Char"/>
    <w:link w:val="ListParagraph"/>
    <w:uiPriority w:val="34"/>
    <w:locked/>
    <w:rsid w:val="009714CA"/>
    <w:rPr>
      <w:rFonts w:ascii="Calibri" w:hAnsi="Calibri" w:cs="Calibri"/>
      <w:sz w:val="22"/>
      <w:lang w:val="x-none" w:eastAsia="en-US"/>
    </w:rPr>
  </w:style>
  <w:style w:type="character" w:customStyle="1" w:styleId="Nadpis1Char">
    <w:name w:val="Nadpis 1 Char"/>
    <w:basedOn w:val="DefaultParagraphFont"/>
    <w:link w:val="Heading1"/>
    <w:uiPriority w:val="9"/>
    <w:locked/>
    <w:rsid w:val="00FB73D8"/>
    <w:rPr>
      <w:rFonts w:asciiTheme="majorHAnsi" w:eastAsiaTheme="majorEastAsia" w:hAnsiTheme="majorHAnsi" w:cstheme="majorBidi"/>
      <w:b/>
      <w:bCs/>
      <w:kern w:val="32"/>
      <w:sz w:val="32"/>
      <w:szCs w:val="32"/>
      <w:rtl w:val="0"/>
      <w:cs w:val="0"/>
    </w:rPr>
  </w:style>
  <w:style w:type="character" w:customStyle="1" w:styleId="Nadpis3Char">
    <w:name w:val="Nadpis 3 Char"/>
    <w:basedOn w:val="DefaultParagraphFont"/>
    <w:link w:val="Heading3"/>
    <w:uiPriority w:val="9"/>
    <w:semiHidden/>
    <w:locked/>
    <w:rsid w:val="00FB73D8"/>
    <w:rPr>
      <w:rFonts w:ascii="Cambria" w:hAnsi="Cambria" w:cs="Times New Roman"/>
      <w:b/>
      <w:bCs/>
      <w:sz w:val="26"/>
      <w:szCs w:val="2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Main/Default.aspx?Template=~/Main/TArticles.ascx&amp;zzsrlnkid=12612982&amp;phContent=~/ZzSR/ShowRule.ascx&amp;RuleId=3213432&amp;Version=1&amp;key="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6EE50-A7AF-46EC-A623-3A4BBAD7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30</Pages>
  <Words>9768</Words>
  <Characters>55681</Characters>
  <Application>Microsoft Office Word</Application>
  <DocSecurity>0</DocSecurity>
  <Lines>0</Lines>
  <Paragraphs>0</Paragraphs>
  <ScaleCrop>false</ScaleCrop>
  <Company>MF SR</Company>
  <LinksUpToDate>false</LinksUpToDate>
  <CharactersWithSpaces>65319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mvidova</dc:creator>
  <cp:lastModifiedBy>Vidova Michaela</cp:lastModifiedBy>
  <cp:revision>2</cp:revision>
  <cp:lastPrinted>2013-07-10T11:55:00Z</cp:lastPrinted>
  <dcterms:created xsi:type="dcterms:W3CDTF">2013-07-10T11:57:00Z</dcterms:created>
  <dcterms:modified xsi:type="dcterms:W3CDTF">2013-07-10T11:57:00Z</dcterms:modified>
</cp:coreProperties>
</file>