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jc w:val="both"/>
        <w:rPr>
          <w:rFonts w:ascii="Arial" w:hAnsi="Arial" w:cs="Arial"/>
          <w:i/>
        </w:rPr>
      </w:pPr>
      <w:r w:rsidRPr="00F046BA">
        <w:rPr>
          <w:rFonts w:ascii="Arial" w:hAnsi="Arial" w:cs="Arial"/>
          <w:i/>
        </w:rPr>
        <w:t xml:space="preserve"> Národnej rady Slovenskej republiky</w:t>
      </w:r>
    </w:p>
    <w:p w:rsidR="00C34355" w:rsidP="003F758D">
      <w:pPr>
        <w:jc w:val="both"/>
        <w:rPr>
          <w:rFonts w:ascii="Arial" w:hAnsi="Arial" w:cs="Arial"/>
          <w:i/>
        </w:rPr>
      </w:pPr>
      <w:r w:rsidRPr="00F046BA" w:rsidR="00EA5DC2">
        <w:rPr>
          <w:rFonts w:ascii="Arial" w:hAnsi="Arial" w:cs="Arial"/>
          <w:i/>
        </w:rPr>
        <w:t xml:space="preserve">      pre hospodárske záležitosti</w:t>
      </w:r>
    </w:p>
    <w:p w:rsidR="00EA5DC2" w:rsidRPr="00F046BA" w:rsidP="003F758D">
      <w:pPr>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6863BB">
        <w:rPr>
          <w:rFonts w:ascii="Arial" w:hAnsi="Arial" w:cs="Arial"/>
        </w:rPr>
        <w:t>44</w:t>
      </w:r>
      <w:r w:rsidRPr="00F046BA">
        <w:rPr>
          <w:rFonts w:ascii="Arial" w:hAnsi="Arial" w:cs="Arial"/>
        </w:rPr>
        <w:t>. schôdza výboru</w:t>
      </w:r>
    </w:p>
    <w:p w:rsidR="00C34355" w:rsidP="003F758D">
      <w:pPr>
        <w:pStyle w:val="BodyTextIndent"/>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D377E2">
        <w:rPr>
          <w:rFonts w:ascii="Arial" w:hAnsi="Arial" w:cs="Arial"/>
          <w:color w:val="auto"/>
          <w:lang w:val="sk-SK"/>
        </w:rPr>
        <w:t>1</w:t>
      </w:r>
      <w:r w:rsidR="00722CF7">
        <w:rPr>
          <w:rFonts w:ascii="Arial" w:hAnsi="Arial" w:cs="Arial"/>
          <w:color w:val="auto"/>
          <w:lang w:val="sk-SK"/>
        </w:rPr>
        <w:t>9</w:t>
      </w:r>
      <w:r w:rsidR="00774EDD">
        <w:rPr>
          <w:rFonts w:ascii="Arial" w:hAnsi="Arial" w:cs="Arial"/>
          <w:color w:val="auto"/>
          <w:lang w:val="sk-SK"/>
        </w:rPr>
        <w:t>17</w:t>
      </w:r>
      <w:r w:rsidRPr="00F046BA" w:rsidR="00EA5DC2">
        <w:rPr>
          <w:rFonts w:ascii="Arial" w:hAnsi="Arial" w:cs="Arial"/>
          <w:iCs/>
          <w:color w:val="auto"/>
          <w:lang w:val="sk-SK"/>
        </w:rPr>
        <w:t>/201</w:t>
      </w:r>
      <w:r w:rsidR="00722CF7">
        <w:rPr>
          <w:rFonts w:ascii="Arial" w:hAnsi="Arial" w:cs="Arial"/>
          <w:iCs/>
          <w:color w:val="auto"/>
          <w:lang w:val="sk-SK"/>
        </w:rPr>
        <w:t>3</w:t>
      </w:r>
      <w:r w:rsidRPr="00F046BA" w:rsidR="00EA5DC2">
        <w:rPr>
          <w:rFonts w:ascii="Arial" w:hAnsi="Arial" w:cs="Arial"/>
          <w:iCs/>
          <w:color w:val="auto"/>
          <w:lang w:val="sk-SK"/>
        </w:rPr>
        <w:t xml:space="preserve"> - VHZ </w:t>
      </w:r>
    </w:p>
    <w:p w:rsidR="00EA5DC2" w:rsidRPr="00F046BA" w:rsidP="003F758D">
      <w:pPr>
        <w:pStyle w:val="BodyTextIndent"/>
        <w:rPr>
          <w:rFonts w:ascii="Arial" w:hAnsi="Arial" w:cs="Arial"/>
          <w:color w:val="auto"/>
          <w:lang w:val="sk-SK"/>
        </w:rPr>
      </w:pPr>
    </w:p>
    <w:p w:rsidR="00EA5DC2" w:rsidRPr="00F046BA" w:rsidP="003F758D">
      <w:pPr>
        <w:jc w:val="center"/>
        <w:rPr>
          <w:rFonts w:ascii="Arial" w:hAnsi="Arial" w:cs="Arial"/>
          <w:b/>
          <w:sz w:val="32"/>
          <w:szCs w:val="28"/>
        </w:rPr>
      </w:pPr>
      <w:r w:rsidR="006863BB">
        <w:rPr>
          <w:rFonts w:ascii="Arial" w:hAnsi="Arial" w:cs="Arial"/>
          <w:b/>
          <w:sz w:val="32"/>
          <w:szCs w:val="28"/>
        </w:rPr>
        <w:t>232</w:t>
      </w:r>
    </w:p>
    <w:p w:rsidR="00EA5DC2" w:rsidRPr="00F046BA" w:rsidP="003F758D">
      <w:pPr>
        <w:pStyle w:val="Heading2"/>
        <w:spacing w:line="240" w:lineRule="auto"/>
        <w:rPr>
          <w:b/>
          <w:color w:val="auto"/>
          <w:lang w:val="sk-SK"/>
        </w:rPr>
      </w:pPr>
      <w:r w:rsidRPr="00F046BA">
        <w:rPr>
          <w:b/>
          <w:color w:val="auto"/>
          <w:lang w:val="sk-SK"/>
        </w:rPr>
        <w:t>U z n e s e n i e</w:t>
      </w:r>
    </w:p>
    <w:p w:rsidR="00EA5DC2" w:rsidRPr="00F046BA" w:rsidP="003F758D">
      <w:pPr>
        <w:jc w:val="center"/>
        <w:rPr>
          <w:rFonts w:ascii="Arial" w:hAnsi="Arial" w:cs="Arial"/>
          <w:b/>
        </w:rPr>
      </w:pPr>
      <w:r w:rsidRPr="00F046BA">
        <w:rPr>
          <w:rFonts w:ascii="Arial" w:hAnsi="Arial" w:cs="Arial"/>
          <w:b/>
        </w:rPr>
        <w:t>Výboru Národnej rady Slovenskej republiky</w:t>
      </w:r>
    </w:p>
    <w:p w:rsidR="00EA5DC2" w:rsidRPr="00F046BA" w:rsidP="003F758D">
      <w:pPr>
        <w:jc w:val="center"/>
        <w:rPr>
          <w:rFonts w:ascii="Arial" w:hAnsi="Arial" w:cs="Arial"/>
          <w:b/>
        </w:rPr>
      </w:pPr>
      <w:r w:rsidRPr="00F046BA">
        <w:rPr>
          <w:rFonts w:ascii="Arial" w:hAnsi="Arial" w:cs="Arial"/>
          <w:b/>
        </w:rPr>
        <w:t>pre hospodárske záležitosti</w:t>
      </w:r>
    </w:p>
    <w:p w:rsidR="005242C8" w:rsidP="00C34355">
      <w:pPr>
        <w:jc w:val="center"/>
        <w:rPr>
          <w:rFonts w:ascii="Arial" w:hAnsi="Arial" w:cs="Arial"/>
        </w:rPr>
      </w:pPr>
      <w:r w:rsidR="00444C9D">
        <w:rPr>
          <w:rFonts w:ascii="Arial" w:hAnsi="Arial" w:cs="Arial"/>
        </w:rPr>
        <w:t>z</w:t>
      </w:r>
      <w:r w:rsidR="00D468A0">
        <w:rPr>
          <w:rFonts w:ascii="Arial" w:hAnsi="Arial" w:cs="Arial"/>
        </w:rPr>
        <w:t> </w:t>
      </w:r>
      <w:r w:rsidR="00722CF7">
        <w:rPr>
          <w:rFonts w:ascii="Arial" w:hAnsi="Arial" w:cs="Arial"/>
        </w:rPr>
        <w:t>12</w:t>
      </w:r>
      <w:r w:rsidR="00D468A0">
        <w:rPr>
          <w:rFonts w:ascii="Arial" w:hAnsi="Arial" w:cs="Arial"/>
        </w:rPr>
        <w:t>.</w:t>
      </w:r>
      <w:r w:rsidRPr="00F046BA" w:rsidR="00EA5DC2">
        <w:rPr>
          <w:rFonts w:ascii="Arial" w:hAnsi="Arial" w:cs="Arial"/>
        </w:rPr>
        <w:t xml:space="preserve"> </w:t>
      </w:r>
      <w:r w:rsidR="006D6597">
        <w:rPr>
          <w:rFonts w:ascii="Arial" w:hAnsi="Arial" w:cs="Arial"/>
        </w:rPr>
        <w:t>novembra</w:t>
      </w:r>
      <w:r w:rsidR="00444C9D">
        <w:rPr>
          <w:rFonts w:ascii="Arial" w:hAnsi="Arial" w:cs="Arial"/>
        </w:rPr>
        <w:t xml:space="preserve"> </w:t>
      </w:r>
      <w:r w:rsidRPr="00F046BA" w:rsidR="00EA5DC2">
        <w:rPr>
          <w:rFonts w:ascii="Arial" w:hAnsi="Arial" w:cs="Arial"/>
        </w:rPr>
        <w:t>201</w:t>
      </w:r>
      <w:r w:rsidR="00722CF7">
        <w:rPr>
          <w:rFonts w:ascii="Arial" w:hAnsi="Arial" w:cs="Arial"/>
        </w:rPr>
        <w:t>3</w:t>
      </w:r>
    </w:p>
    <w:p w:rsidR="00C34355" w:rsidRPr="00F046BA" w:rsidP="00C34355">
      <w:pPr>
        <w:jc w:val="center"/>
        <w:rPr>
          <w:rFonts w:ascii="Arial" w:hAnsi="Arial" w:cs="Arial"/>
        </w:rPr>
      </w:pPr>
    </w:p>
    <w:p w:rsidR="00D377E2" w:rsidRPr="00722CF7" w:rsidP="00D377E2">
      <w:pPr>
        <w:pStyle w:val="BodyTextIndent2"/>
        <w:rPr>
          <w:rFonts w:ascii="Arial" w:hAnsi="Arial" w:cs="Arial"/>
          <w:color w:val="auto"/>
        </w:rPr>
      </w:pPr>
      <w:r w:rsidRPr="00722CF7" w:rsidR="005242C8">
        <w:rPr>
          <w:rFonts w:ascii="Arial" w:hAnsi="Arial" w:cs="Arial"/>
          <w:color w:val="auto"/>
          <w:lang w:val="sk-SK"/>
        </w:rPr>
        <w:t>k</w:t>
      </w:r>
      <w:r w:rsidRPr="00722CF7" w:rsidR="00722CF7">
        <w:rPr>
          <w:rFonts w:ascii="Arial" w:hAnsi="Arial" w:cs="Arial"/>
          <w:color w:val="auto"/>
          <w:lang w:val="sk-SK"/>
        </w:rPr>
        <w:t xml:space="preserve"> vládnemu </w:t>
      </w:r>
      <w:r w:rsidRPr="00722CF7">
        <w:rPr>
          <w:rFonts w:ascii="Arial" w:hAnsi="Arial" w:cs="Arial"/>
          <w:color w:val="auto"/>
        </w:rPr>
        <w:t xml:space="preserve">návrhu </w:t>
      </w:r>
      <w:r w:rsidRPr="00774EDD" w:rsidR="00774EDD">
        <w:rPr>
          <w:rFonts w:ascii="Arial" w:hAnsi="Arial" w:cs="Arial"/>
          <w:noProof/>
          <w:color w:val="auto"/>
        </w:rPr>
        <w:t xml:space="preserve">zákona, ktorým sa mení a dopĺňa zákon č. 513/2009 Z. z. o dráhach a o zmene a doplnení niektorých zákonov v znení neskorších predpisov a ktorým sa menia a dopĺňajú niektoré zákony </w:t>
      </w:r>
      <w:r w:rsidRPr="00774EDD" w:rsidR="00774EDD">
        <w:rPr>
          <w:rFonts w:ascii="Arial" w:hAnsi="Arial" w:cs="Arial"/>
          <w:color w:val="auto"/>
        </w:rPr>
        <w:t xml:space="preserve">(tlač </w:t>
      </w:r>
      <w:r w:rsidRPr="00774EDD" w:rsidR="00774EDD">
        <w:rPr>
          <w:rFonts w:ascii="Arial" w:hAnsi="Arial" w:cs="Arial"/>
          <w:b/>
          <w:color w:val="auto"/>
        </w:rPr>
        <w:t>722</w:t>
      </w:r>
      <w:r w:rsidRPr="00774EDD" w:rsidR="00774EDD">
        <w:rPr>
          <w:rFonts w:ascii="Arial" w:hAnsi="Arial" w:cs="Arial"/>
          <w:color w:val="auto"/>
        </w:rPr>
        <w:t>)</w:t>
      </w:r>
    </w:p>
    <w:p w:rsidR="005242C8" w:rsidRPr="00F046BA" w:rsidP="003F758D">
      <w:pPr>
        <w:pStyle w:val="BodyTextIndent"/>
        <w:ind w:firstLine="360"/>
        <w:rPr>
          <w:rFonts w:ascii="Arial" w:hAnsi="Arial" w:cs="Arial"/>
          <w:b/>
          <w:bCs/>
          <w:color w:val="auto"/>
          <w:lang w:val="sk-SK"/>
        </w:rPr>
      </w:pPr>
    </w:p>
    <w:p w:rsidR="005242C8" w:rsidRPr="00F046BA" w:rsidP="003F758D">
      <w:pPr>
        <w:pStyle w:val="BodyTextIndent"/>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5242C8" w:rsidRPr="006A16E4" w:rsidP="006A16E4">
      <w:pPr>
        <w:pStyle w:val="BodyTextIndent2"/>
        <w:numPr>
          <w:ilvl w:val="0"/>
          <w:numId w:val="17"/>
        </w:numPr>
        <w:rPr>
          <w:rFonts w:ascii="Arial" w:hAnsi="Arial" w:cs="Arial"/>
          <w:b/>
          <w:color w:val="auto"/>
          <w:lang w:val="sk-SK"/>
        </w:rPr>
      </w:pPr>
      <w:r w:rsidRPr="006A16E4">
        <w:rPr>
          <w:rFonts w:ascii="Arial" w:hAnsi="Arial" w:cs="Arial"/>
          <w:b/>
          <w:color w:val="auto"/>
          <w:lang w:val="sk-SK"/>
        </w:rPr>
        <w:t>s ú h l a s</w:t>
      </w:r>
      <w:r w:rsidRPr="006A16E4" w:rsidR="00722CF7">
        <w:rPr>
          <w:rFonts w:ascii="Arial" w:hAnsi="Arial" w:cs="Arial"/>
          <w:b/>
          <w:color w:val="auto"/>
          <w:lang w:val="sk-SK"/>
        </w:rPr>
        <w:t> </w:t>
      </w:r>
      <w:r w:rsidRPr="006A16E4">
        <w:rPr>
          <w:rFonts w:ascii="Arial" w:hAnsi="Arial" w:cs="Arial"/>
          <w:b/>
          <w:color w:val="auto"/>
          <w:lang w:val="sk-SK"/>
        </w:rPr>
        <w:t>í</w:t>
      </w:r>
    </w:p>
    <w:p w:rsidR="00D377E2" w:rsidRPr="00D377E2" w:rsidP="00722CF7">
      <w:pPr>
        <w:pStyle w:val="BodyTextIndent2"/>
        <w:rPr>
          <w:rFonts w:ascii="Arial" w:hAnsi="Arial" w:cs="Arial"/>
          <w:color w:val="auto"/>
        </w:rPr>
      </w:pPr>
      <w:r w:rsidRPr="00722CF7" w:rsidR="005242C8">
        <w:rPr>
          <w:rFonts w:ascii="Arial" w:hAnsi="Arial" w:cs="Arial"/>
          <w:color w:val="auto"/>
          <w:lang w:val="sk-SK"/>
        </w:rPr>
        <w:t>s</w:t>
      </w:r>
      <w:r w:rsidR="00722CF7">
        <w:rPr>
          <w:rFonts w:ascii="Arial" w:hAnsi="Arial" w:cs="Arial"/>
          <w:color w:val="auto"/>
          <w:lang w:val="sk-SK"/>
        </w:rPr>
        <w:t xml:space="preserve"> vládnym</w:t>
      </w:r>
      <w:r w:rsidRPr="00722CF7" w:rsidR="00F046BA">
        <w:rPr>
          <w:rFonts w:ascii="Arial" w:hAnsi="Arial" w:cs="Arial"/>
          <w:color w:val="auto"/>
          <w:lang w:val="sk-SK"/>
        </w:rPr>
        <w:t xml:space="preserve"> </w:t>
      </w:r>
      <w:r w:rsidRPr="00722CF7">
        <w:rPr>
          <w:rFonts w:ascii="Arial" w:hAnsi="Arial" w:cs="Arial"/>
          <w:color w:val="auto"/>
        </w:rPr>
        <w:t>návrhom</w:t>
      </w:r>
      <w:r w:rsidRPr="00D377E2">
        <w:rPr>
          <w:rFonts w:ascii="Arial" w:hAnsi="Arial" w:cs="Arial"/>
          <w:b/>
          <w:color w:val="auto"/>
        </w:rPr>
        <w:t xml:space="preserve"> </w:t>
      </w:r>
      <w:r w:rsidRPr="00774EDD" w:rsidR="00774EDD">
        <w:rPr>
          <w:rFonts w:ascii="Arial" w:hAnsi="Arial" w:cs="Arial"/>
          <w:noProof/>
          <w:color w:val="auto"/>
        </w:rPr>
        <w:t xml:space="preserve">zákona, ktorým sa mení a dopĺňa zákon č. 513/2009 Z. z. o dráhach a o zmene a doplnení niektorých zákonov v znení neskorších predpisov a ktorým sa menia a dopĺňajú niektoré zákony </w:t>
      </w:r>
      <w:r w:rsidRPr="00774EDD" w:rsidR="00774EDD">
        <w:rPr>
          <w:rFonts w:ascii="Arial" w:hAnsi="Arial" w:cs="Arial"/>
          <w:color w:val="auto"/>
        </w:rPr>
        <w:t xml:space="preserve">(tlač </w:t>
      </w:r>
      <w:r w:rsidRPr="00774EDD" w:rsidR="00774EDD">
        <w:rPr>
          <w:rFonts w:ascii="Arial" w:hAnsi="Arial" w:cs="Arial"/>
          <w:b/>
          <w:color w:val="auto"/>
        </w:rPr>
        <w:t>722</w:t>
      </w:r>
      <w:r w:rsidRPr="00774EDD" w:rsidR="00774EDD">
        <w:rPr>
          <w:rFonts w:ascii="Arial" w:hAnsi="Arial" w:cs="Arial"/>
          <w:color w:val="auto"/>
        </w:rPr>
        <w:t>)</w:t>
      </w:r>
      <w:r>
        <w:rPr>
          <w:rFonts w:ascii="Arial" w:hAnsi="Arial" w:cs="Arial"/>
          <w:color w:val="auto"/>
        </w:rPr>
        <w:t>;</w:t>
      </w:r>
    </w:p>
    <w:p w:rsidR="005242C8" w:rsidRPr="00F046BA" w:rsidP="00D377E2">
      <w:pPr>
        <w:pStyle w:val="BodyTextIndent2"/>
        <w:ind w:firstLine="720"/>
        <w:rPr>
          <w:rFonts w:ascii="Arial" w:hAnsi="Arial" w:cs="Arial"/>
        </w:rPr>
      </w:pPr>
    </w:p>
    <w:p w:rsidR="005242C8" w:rsidRPr="00F046BA" w:rsidP="00B76013">
      <w:pPr>
        <w:pStyle w:val="Heading4"/>
        <w:numPr>
          <w:ilvl w:val="0"/>
          <w:numId w:val="5"/>
        </w:numPr>
        <w:rPr>
          <w:rFonts w:ascii="Arial" w:hAnsi="Arial" w:cs="Arial"/>
          <w:color w:val="auto"/>
          <w:lang w:val="sk-SK"/>
        </w:rPr>
      </w:pPr>
      <w:r w:rsidRPr="00F046BA">
        <w:rPr>
          <w:rFonts w:ascii="Arial" w:hAnsi="Arial" w:cs="Arial"/>
          <w:color w:val="auto"/>
          <w:lang w:val="sk-SK"/>
        </w:rPr>
        <w:t>o d p o r ú č a</w:t>
      </w:r>
    </w:p>
    <w:p w:rsidR="005242C8" w:rsidP="003F758D">
      <w:pPr>
        <w:pStyle w:val="Heading1"/>
        <w:spacing w:line="240" w:lineRule="auto"/>
        <w:ind w:firstLine="360"/>
        <w:rPr>
          <w:rFonts w:ascii="Arial" w:hAnsi="Arial" w:cs="Arial"/>
        </w:rPr>
      </w:pPr>
      <w:r w:rsidRPr="00F046BA">
        <w:rPr>
          <w:rFonts w:ascii="Arial" w:hAnsi="Arial" w:cs="Arial"/>
        </w:rPr>
        <w:t xml:space="preserve">     Národnej rade Slovenskej republiky</w:t>
      </w:r>
    </w:p>
    <w:p w:rsidR="005242C8" w:rsidRPr="00EF7E70" w:rsidP="00722CF7">
      <w:pPr>
        <w:pStyle w:val="BodyTextIndent2"/>
        <w:rPr>
          <w:rFonts w:ascii="Arial" w:hAnsi="Arial" w:cs="Arial"/>
          <w:color w:val="auto"/>
        </w:rPr>
      </w:pPr>
      <w:r w:rsidRPr="00722CF7" w:rsidR="00722CF7">
        <w:rPr>
          <w:rFonts w:ascii="Arial" w:hAnsi="Arial" w:cs="Arial"/>
          <w:color w:val="auto"/>
        </w:rPr>
        <w:t xml:space="preserve">vládny </w:t>
      </w:r>
      <w:r w:rsidRPr="00722CF7" w:rsidR="00D377E2">
        <w:rPr>
          <w:rFonts w:ascii="Arial" w:hAnsi="Arial" w:cs="Arial"/>
          <w:color w:val="auto"/>
        </w:rPr>
        <w:t>návrh</w:t>
      </w:r>
      <w:r w:rsidRPr="00D377E2" w:rsidR="00D377E2">
        <w:rPr>
          <w:rFonts w:ascii="Arial" w:hAnsi="Arial" w:cs="Arial"/>
          <w:b/>
          <w:color w:val="auto"/>
        </w:rPr>
        <w:t xml:space="preserve"> </w:t>
      </w:r>
      <w:r w:rsidRPr="00774EDD" w:rsidR="00774EDD">
        <w:rPr>
          <w:rFonts w:ascii="Arial" w:hAnsi="Arial" w:cs="Arial"/>
          <w:noProof/>
          <w:color w:val="auto"/>
        </w:rPr>
        <w:t xml:space="preserve">zákona, ktorým sa mení a dopĺňa zákon č. 513/2009 Z. z. o dráhach a o zmene a doplnení niektorých zákonov v znení neskorších predpisov a ktorým sa menia a dopĺňajú niektoré zákony </w:t>
      </w:r>
      <w:r w:rsidRPr="00774EDD" w:rsidR="00774EDD">
        <w:rPr>
          <w:rFonts w:ascii="Arial" w:hAnsi="Arial" w:cs="Arial"/>
          <w:color w:val="auto"/>
        </w:rPr>
        <w:t xml:space="preserve">(tlač </w:t>
      </w:r>
      <w:r w:rsidRPr="00774EDD" w:rsidR="00774EDD">
        <w:rPr>
          <w:rFonts w:ascii="Arial" w:hAnsi="Arial" w:cs="Arial"/>
          <w:b/>
          <w:color w:val="auto"/>
        </w:rPr>
        <w:t>722</w:t>
      </w:r>
      <w:r w:rsidRPr="00774EDD" w:rsidR="00774EDD">
        <w:rPr>
          <w:rFonts w:ascii="Arial" w:hAnsi="Arial" w:cs="Arial"/>
          <w:color w:val="auto"/>
        </w:rPr>
        <w:t>)</w:t>
      </w:r>
      <w:r w:rsidR="00D377E2">
        <w:rPr>
          <w:rFonts w:ascii="Arial" w:hAnsi="Arial" w:cs="Arial"/>
          <w:color w:val="auto"/>
        </w:rPr>
        <w:t xml:space="preserve"> </w:t>
      </w:r>
      <w:r w:rsidRPr="00444C9D" w:rsidR="00444C9D">
        <w:rPr>
          <w:rFonts w:ascii="Arial" w:hAnsi="Arial" w:cs="Arial"/>
          <w:color w:val="auto"/>
          <w:szCs w:val="22"/>
        </w:rPr>
        <w:t xml:space="preserve"> </w:t>
      </w:r>
      <w:r w:rsidRPr="00EF7E70">
        <w:rPr>
          <w:rFonts w:ascii="Arial" w:hAnsi="Arial" w:cs="Arial"/>
          <w:color w:val="auto"/>
          <w:lang w:val="sk-SK"/>
        </w:rPr>
        <w:t>s</w:t>
      </w:r>
      <w:r w:rsidRPr="00EF7E70">
        <w:rPr>
          <w:rFonts w:ascii="Arial" w:hAnsi="Arial" w:cs="Arial"/>
          <w:bCs/>
          <w:color w:val="auto"/>
          <w:lang w:val="sk-SK"/>
        </w:rPr>
        <w:t xml:space="preserve">chváliť s pozmeňujúcimi a doplňujúcimi návrhmi; </w:t>
      </w:r>
    </w:p>
    <w:p w:rsidR="00C34355" w:rsidRPr="00F046BA" w:rsidP="003F758D">
      <w:pPr>
        <w:ind w:firstLine="360"/>
        <w:jc w:val="both"/>
        <w:rPr>
          <w:rFonts w:ascii="Arial" w:hAnsi="Arial" w:cs="Arial"/>
        </w:rPr>
      </w:pPr>
    </w:p>
    <w:p w:rsidR="005242C8" w:rsidRPr="00F046BA" w:rsidP="00B76013">
      <w:pPr>
        <w:pStyle w:val="Heading4"/>
        <w:numPr>
          <w:ilvl w:val="0"/>
          <w:numId w:val="4"/>
        </w:numPr>
        <w:rPr>
          <w:rFonts w:ascii="Arial" w:hAnsi="Arial" w:cs="Arial"/>
          <w:color w:val="auto"/>
          <w:lang w:val="sk-SK"/>
        </w:rPr>
      </w:pPr>
      <w:r w:rsidRPr="00F046BA">
        <w:rPr>
          <w:rFonts w:ascii="Arial" w:hAnsi="Arial" w:cs="Arial"/>
          <w:color w:val="auto"/>
          <w:lang w:val="sk-SK"/>
        </w:rPr>
        <w:t>p o v e r u j e</w:t>
      </w:r>
    </w:p>
    <w:p w:rsidR="005242C8" w:rsidP="003F758D">
      <w:pPr>
        <w:numPr>
          <w:ilvl w:val="0"/>
          <w:numId w:val="3"/>
        </w:numPr>
        <w:jc w:val="both"/>
        <w:rPr>
          <w:rFonts w:ascii="Arial" w:hAnsi="Arial" w:cs="Arial"/>
        </w:rPr>
      </w:pPr>
      <w:r w:rsidRPr="00F046BA">
        <w:rPr>
          <w:rFonts w:ascii="Arial" w:hAnsi="Arial" w:cs="Arial"/>
        </w:rPr>
        <w:t>predsedu výboru, aby výsledky rokovania  výboru  v  druhom čítaní z</w:t>
      </w:r>
      <w:r w:rsidR="00415004">
        <w:rPr>
          <w:rFonts w:ascii="Arial" w:hAnsi="Arial" w:cs="Arial"/>
        </w:rPr>
        <w:t>o</w:t>
      </w:r>
      <w:r w:rsidRPr="00F046BA">
        <w:rPr>
          <w:rFonts w:ascii="Arial" w:hAnsi="Arial" w:cs="Arial"/>
        </w:rPr>
        <w:t> </w:t>
      </w:r>
      <w:r w:rsidR="009B349B">
        <w:rPr>
          <w:rFonts w:ascii="Arial" w:hAnsi="Arial" w:cs="Arial"/>
        </w:rPr>
        <w:t xml:space="preserve">dňa </w:t>
      </w:r>
      <w:r w:rsidR="00722CF7">
        <w:rPr>
          <w:rFonts w:ascii="Arial" w:hAnsi="Arial" w:cs="Arial"/>
        </w:rPr>
        <w:t>12</w:t>
      </w:r>
      <w:r w:rsidRPr="00F046BA" w:rsidR="00C62C12">
        <w:rPr>
          <w:rFonts w:ascii="Arial" w:hAnsi="Arial" w:cs="Arial"/>
        </w:rPr>
        <w:t>.</w:t>
      </w:r>
      <w:r w:rsidRPr="00F046BA">
        <w:rPr>
          <w:rFonts w:ascii="Arial" w:hAnsi="Arial" w:cs="Arial"/>
        </w:rPr>
        <w:t xml:space="preserve"> </w:t>
      </w:r>
      <w:r w:rsidR="006D6597">
        <w:rPr>
          <w:rFonts w:ascii="Arial" w:hAnsi="Arial" w:cs="Arial"/>
        </w:rPr>
        <w:t>novembra</w:t>
      </w:r>
      <w:r w:rsidR="009B349B">
        <w:rPr>
          <w:rFonts w:ascii="Arial" w:hAnsi="Arial" w:cs="Arial"/>
        </w:rPr>
        <w:t xml:space="preserve"> </w:t>
      </w:r>
      <w:r w:rsidRPr="00F046BA" w:rsidR="004B21BB">
        <w:rPr>
          <w:rFonts w:ascii="Arial" w:hAnsi="Arial" w:cs="Arial"/>
        </w:rPr>
        <w:t xml:space="preserve"> 201</w:t>
      </w:r>
      <w:r w:rsidR="00722CF7">
        <w:rPr>
          <w:rFonts w:ascii="Arial" w:hAnsi="Arial" w:cs="Arial"/>
        </w:rPr>
        <w:t>3</w:t>
      </w:r>
      <w:r w:rsidRPr="00F046BA">
        <w:rPr>
          <w:rFonts w:ascii="Arial" w:hAnsi="Arial" w:cs="Arial"/>
        </w:rPr>
        <w:t xml:space="preserve"> spolu s výsledkami rokovania ostatných výborov spracoval do písomnej spoločnej správy výborov v súlade s § 79 ods. 1 zákona Národnej rady Slovenskej republiky </w:t>
      </w:r>
      <w:r w:rsidRPr="00F046BA">
        <w:rPr>
          <w:rFonts w:ascii="Arial" w:hAnsi="Arial" w:cs="Arial"/>
          <w:bCs/>
        </w:rPr>
        <w:t>č. 350/1996 Z. z. o</w:t>
      </w:r>
      <w:r w:rsidRPr="00F046BA">
        <w:rPr>
          <w:rFonts w:ascii="Arial" w:hAnsi="Arial" w:cs="Arial"/>
        </w:rPr>
        <w:t xml:space="preserve"> rokovacom poriadku Národnej rady Slovenskej republiky v znení neskorších predpisov a predložil ju na schválenie gestorskému výboru,</w:t>
      </w:r>
    </w:p>
    <w:p w:rsidR="005242C8" w:rsidRPr="00F046BA" w:rsidP="003F758D">
      <w:pPr>
        <w:numPr>
          <w:ilvl w:val="0"/>
          <w:numId w:val="3"/>
        </w:numPr>
        <w:jc w:val="both"/>
        <w:rPr>
          <w:rFonts w:ascii="Arial" w:hAnsi="Arial" w:cs="Arial"/>
          <w:bCs/>
        </w:rPr>
      </w:pPr>
      <w:r w:rsidRPr="00F046BA">
        <w:rPr>
          <w:rFonts w:ascii="Arial" w:hAnsi="Arial" w:cs="Arial"/>
          <w:bCs/>
        </w:rPr>
        <w:t xml:space="preserve">spoločného spravodajcu výborov </w:t>
      </w:r>
      <w:r w:rsidR="00F046BA">
        <w:rPr>
          <w:rFonts w:ascii="Arial" w:hAnsi="Arial" w:cs="Arial"/>
          <w:bCs/>
        </w:rPr>
        <w:t>A</w:t>
      </w:r>
      <w:r w:rsidRPr="00F046BA" w:rsidR="00D51767">
        <w:rPr>
          <w:rFonts w:ascii="Arial" w:hAnsi="Arial" w:cs="Arial"/>
          <w:bCs/>
        </w:rPr>
        <w:t>.</w:t>
      </w:r>
      <w:r w:rsidR="00C23FBD">
        <w:rPr>
          <w:rFonts w:ascii="Arial" w:hAnsi="Arial" w:cs="Arial"/>
          <w:b/>
          <w:bCs/>
        </w:rPr>
        <w:t>Kolesíka</w:t>
      </w:r>
      <w:r w:rsidR="00A75F98">
        <w:rPr>
          <w:rFonts w:ascii="Arial" w:hAnsi="Arial" w:cs="Arial"/>
          <w:b/>
          <w:bCs/>
        </w:rPr>
        <w:t xml:space="preserve"> (</w:t>
      </w:r>
      <w:r w:rsidR="00A75F98">
        <w:rPr>
          <w:rFonts w:ascii="Arial" w:hAnsi="Arial" w:cs="Arial"/>
          <w:bCs/>
        </w:rPr>
        <w:t xml:space="preserve">V. </w:t>
      </w:r>
      <w:r w:rsidR="00A75F98">
        <w:rPr>
          <w:rFonts w:ascii="Arial" w:hAnsi="Arial" w:cs="Arial"/>
          <w:b/>
          <w:bCs/>
        </w:rPr>
        <w:t>Holevu</w:t>
      </w:r>
      <w:r w:rsidR="00722CF7">
        <w:rPr>
          <w:rFonts w:ascii="Arial" w:hAnsi="Arial" w:cs="Arial"/>
          <w:b/>
          <w:bCs/>
        </w:rPr>
        <w:t xml:space="preserve"> / </w:t>
      </w:r>
      <w:r w:rsidRPr="00722CF7" w:rsidR="00722CF7">
        <w:rPr>
          <w:rFonts w:ascii="Arial" w:hAnsi="Arial" w:cs="Arial"/>
          <w:bCs/>
        </w:rPr>
        <w:t>J</w:t>
      </w:r>
      <w:r w:rsidR="00722CF7">
        <w:rPr>
          <w:rFonts w:ascii="Arial" w:hAnsi="Arial" w:cs="Arial"/>
          <w:b/>
          <w:bCs/>
        </w:rPr>
        <w:t>. Miškova</w:t>
      </w:r>
      <w:r w:rsidRPr="00F046BA">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w:t>
      </w:r>
      <w:r w:rsidRPr="00F046BA">
        <w:rPr>
          <w:rFonts w:ascii="Arial" w:hAnsi="Arial" w:cs="Arial"/>
          <w:bCs/>
        </w:rPr>
        <w:t>i Národnej rady Slovenskej republiky.</w:t>
      </w:r>
    </w:p>
    <w:p w:rsidR="005242C8" w:rsidP="003F758D">
      <w:pPr>
        <w:jc w:val="both"/>
        <w:rPr>
          <w:rFonts w:ascii="Arial" w:hAnsi="Arial" w:cs="Arial"/>
          <w:bCs/>
        </w:rPr>
      </w:pPr>
    </w:p>
    <w:p w:rsidR="00911B3A" w:rsidP="003F758D">
      <w:pPr>
        <w:jc w:val="both"/>
        <w:rPr>
          <w:rFonts w:ascii="Arial" w:hAnsi="Arial" w:cs="Arial"/>
          <w:bCs/>
        </w:rPr>
      </w:pPr>
    </w:p>
    <w:p w:rsidR="000F2A65" w:rsidP="003F758D">
      <w:pPr>
        <w:jc w:val="both"/>
        <w:rPr>
          <w:rFonts w:ascii="Arial" w:hAnsi="Arial" w:cs="Arial"/>
          <w:bCs/>
        </w:rPr>
      </w:pPr>
    </w:p>
    <w:p w:rsidR="00EA5DC2" w:rsidRPr="00F046BA" w:rsidP="003F758D">
      <w:pPr>
        <w:jc w:val="both"/>
        <w:rPr>
          <w:rFonts w:ascii="Arial" w:hAnsi="Arial" w:cs="Arial"/>
          <w:b/>
        </w:rPr>
      </w:pPr>
      <w:r w:rsidRPr="00F046BA">
        <w:rPr>
          <w:rFonts w:ascii="Arial" w:hAnsi="Arial" w:cs="Arial"/>
        </w:rPr>
        <w:t xml:space="preserve">                                                                                                   Ján  </w:t>
      </w:r>
      <w:r w:rsidRPr="00F046BA">
        <w:rPr>
          <w:rFonts w:ascii="Arial" w:hAnsi="Arial" w:cs="Arial"/>
          <w:b/>
          <w:bCs/>
        </w:rPr>
        <w:t>H u d a c k</w:t>
      </w:r>
      <w:r w:rsidR="00392897">
        <w:rPr>
          <w:rFonts w:ascii="Arial" w:hAnsi="Arial" w:cs="Arial"/>
          <w:b/>
          <w:bCs/>
        </w:rPr>
        <w:t> </w:t>
      </w:r>
      <w:r w:rsidRPr="00F046BA">
        <w:rPr>
          <w:rFonts w:ascii="Arial" w:hAnsi="Arial" w:cs="Arial"/>
          <w:b/>
          <w:bCs/>
        </w:rPr>
        <w:t>ý</w:t>
      </w:r>
      <w:r w:rsidR="00392897">
        <w:rPr>
          <w:rFonts w:ascii="Arial" w:hAnsi="Arial" w:cs="Arial"/>
          <w:b/>
          <w:bCs/>
        </w:rPr>
        <w:t xml:space="preserve"> </w:t>
      </w:r>
      <w:r w:rsidRPr="00F046BA">
        <w:rPr>
          <w:rFonts w:ascii="Arial" w:hAnsi="Arial" w:cs="Arial"/>
          <w:b/>
        </w:rPr>
        <w:t xml:space="preserve"> v.r.</w:t>
      </w:r>
    </w:p>
    <w:p w:rsidR="00EA5DC2" w:rsidP="003F758D">
      <w:pPr>
        <w:jc w:val="both"/>
        <w:rPr>
          <w:rFonts w:ascii="Arial" w:hAnsi="Arial" w:cs="Arial"/>
        </w:rPr>
      </w:pPr>
      <w:r w:rsidRPr="00F046BA">
        <w:rPr>
          <w:rFonts w:ascii="Arial" w:hAnsi="Arial" w:cs="Arial"/>
        </w:rPr>
        <w:t xml:space="preserve">                                                                                                       predseda výboru</w:t>
      </w:r>
    </w:p>
    <w:p w:rsidR="00EA5DC2" w:rsidRPr="00F046BA" w:rsidP="00911B3A">
      <w:pPr>
        <w:jc w:val="both"/>
        <w:rPr>
          <w:rFonts w:ascii="Arial" w:hAnsi="Arial" w:cs="Arial"/>
        </w:rPr>
      </w:pPr>
      <w:r w:rsidR="00C34355">
        <w:rPr>
          <w:rFonts w:ascii="Arial" w:hAnsi="Arial" w:cs="Arial"/>
        </w:rPr>
        <w:t xml:space="preserve"> </w:t>
      </w:r>
      <w:r w:rsidRPr="00F046BA">
        <w:rPr>
          <w:rFonts w:ascii="Arial" w:hAnsi="Arial" w:cs="Arial"/>
        </w:rPr>
        <w:t>overovateľ výboru</w:t>
      </w:r>
    </w:p>
    <w:p w:rsidR="00911B3A" w:rsidP="003F758D">
      <w:pPr>
        <w:jc w:val="both"/>
        <w:rPr>
          <w:rFonts w:ascii="Arial" w:hAnsi="Arial" w:cs="Arial"/>
          <w:b/>
          <w:bCs/>
        </w:rPr>
      </w:pPr>
      <w:r w:rsidRPr="00F046BA" w:rsidR="00EA5DC2">
        <w:rPr>
          <w:rFonts w:ascii="Arial" w:hAnsi="Arial" w:cs="Arial"/>
          <w:bCs/>
        </w:rPr>
        <w:t>Michal</w:t>
      </w:r>
      <w:r w:rsidRPr="00F046BA" w:rsidR="00EA5DC2">
        <w:rPr>
          <w:rFonts w:ascii="Arial" w:hAnsi="Arial" w:cs="Arial"/>
          <w:b/>
          <w:bCs/>
        </w:rPr>
        <w:t xml:space="preserve">  B a g a č k a  </w:t>
      </w:r>
    </w:p>
    <w:p w:rsidR="00EA5DC2" w:rsidRPr="00F046BA" w:rsidP="003F758D">
      <w:pPr>
        <w:pStyle w:val="Heading1"/>
        <w:spacing w:line="240" w:lineRule="auto"/>
        <w:ind w:firstLine="540"/>
        <w:rPr>
          <w:rFonts w:ascii="Arial" w:hAnsi="Arial" w:cs="Arial"/>
          <w:b w:val="0"/>
          <w:bCs/>
          <w:i/>
          <w:iCs/>
        </w:rPr>
      </w:pPr>
      <w:r w:rsidRPr="00F046BA">
        <w:rPr>
          <w:rFonts w:ascii="Arial" w:hAnsi="Arial" w:cs="Arial"/>
          <w:b w:val="0"/>
          <w:bCs/>
          <w:i/>
          <w:iCs/>
        </w:rPr>
        <w:t xml:space="preserve">              Výbor</w:t>
      </w:r>
    </w:p>
    <w:p w:rsidR="00EA5DC2" w:rsidRPr="00F046BA" w:rsidP="003F758D">
      <w:pPr>
        <w:jc w:val="both"/>
        <w:rPr>
          <w:rFonts w:ascii="Arial" w:hAnsi="Arial" w:cs="Arial"/>
          <w:i/>
        </w:rPr>
      </w:pPr>
      <w:r w:rsidRPr="00F046BA">
        <w:rPr>
          <w:rFonts w:ascii="Arial" w:hAnsi="Arial" w:cs="Arial"/>
          <w:i/>
        </w:rPr>
        <w:t xml:space="preserve"> Národnej rady Slovenskej republiky</w:t>
      </w:r>
    </w:p>
    <w:p w:rsidR="00EA5DC2" w:rsidRPr="00F046BA" w:rsidP="003F758D">
      <w:pPr>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EA5DC2" w:rsidRPr="00F046BA" w:rsidP="003F758D">
      <w:pPr>
        <w:jc w:val="both"/>
        <w:rPr>
          <w:rFonts w:ascii="Arial" w:hAnsi="Arial" w:cs="Arial"/>
        </w:rPr>
      </w:pPr>
      <w:r w:rsidRPr="00F046BA">
        <w:rPr>
          <w:rFonts w:ascii="Arial" w:hAnsi="Arial" w:cs="Arial"/>
        </w:rPr>
        <w:t xml:space="preserve">                                                                                              </w:t>
      </w:r>
      <w:r w:rsidR="006863BB">
        <w:rPr>
          <w:rFonts w:ascii="Arial" w:hAnsi="Arial" w:cs="Arial"/>
        </w:rPr>
        <w:t>44</w:t>
      </w:r>
      <w:r w:rsidRPr="00F046BA">
        <w:rPr>
          <w:rFonts w:ascii="Arial" w:hAnsi="Arial" w:cs="Arial"/>
        </w:rPr>
        <w:t>. schôdza výb</w:t>
      </w:r>
      <w:r w:rsidRPr="00F046BA">
        <w:rPr>
          <w:rFonts w:ascii="Arial" w:hAnsi="Arial" w:cs="Arial"/>
        </w:rPr>
        <w:t>oru</w:t>
      </w:r>
    </w:p>
    <w:p w:rsidR="00EA5DC2" w:rsidRPr="00F046BA" w:rsidP="003F758D">
      <w:pPr>
        <w:jc w:val="both"/>
        <w:rPr>
          <w:rFonts w:ascii="Arial" w:hAnsi="Arial" w:cs="Arial"/>
          <w:bCs/>
        </w:rPr>
      </w:pPr>
      <w:r w:rsidRPr="00F046BA">
        <w:rPr>
          <w:rFonts w:ascii="Arial" w:hAnsi="Arial" w:cs="Arial"/>
        </w:rPr>
        <w:t xml:space="preserve">                                                                                             </w:t>
      </w:r>
      <w:r w:rsidRPr="00F046BA">
        <w:rPr>
          <w:rFonts w:ascii="Arial" w:hAnsi="Arial" w:cs="Arial"/>
          <w:bCs/>
        </w:rPr>
        <w:t xml:space="preserve">Príloha k uzneseniu č. </w:t>
      </w:r>
      <w:r w:rsidR="006863BB">
        <w:rPr>
          <w:rFonts w:ascii="Arial" w:hAnsi="Arial" w:cs="Arial"/>
          <w:bCs/>
        </w:rPr>
        <w:t>232</w:t>
      </w:r>
    </w:p>
    <w:p w:rsidR="00EA5DC2" w:rsidRPr="00F046BA" w:rsidP="003F758D">
      <w:pPr>
        <w:pStyle w:val="BodyTextIndent"/>
        <w:rPr>
          <w:rFonts w:ascii="Arial" w:hAnsi="Arial" w:cs="Arial"/>
          <w:color w:val="auto"/>
          <w:lang w:val="sk-SK"/>
        </w:rPr>
      </w:pPr>
      <w:r w:rsidRPr="00F046BA">
        <w:rPr>
          <w:rFonts w:ascii="Arial" w:hAnsi="Arial" w:cs="Arial"/>
          <w:iCs/>
          <w:color w:val="auto"/>
          <w:lang w:val="sk-SK"/>
        </w:rPr>
        <w:t xml:space="preserve">  </w:t>
      </w:r>
    </w:p>
    <w:p w:rsidR="00EA5DC2" w:rsidRPr="00F046BA" w:rsidP="003F758D">
      <w:pPr>
        <w:jc w:val="center"/>
        <w:rPr>
          <w:rFonts w:ascii="Arial" w:hAnsi="Arial" w:cs="Arial"/>
          <w:b/>
          <w:sz w:val="32"/>
          <w:szCs w:val="28"/>
        </w:rPr>
      </w:pPr>
    </w:p>
    <w:p w:rsidR="005242C8" w:rsidRPr="00F046BA" w:rsidP="003F758D">
      <w:pPr>
        <w:pStyle w:val="Heading5"/>
        <w:spacing w:line="240" w:lineRule="auto"/>
        <w:rPr>
          <w:rFonts w:ascii="Arial" w:hAnsi="Arial" w:cs="Arial"/>
          <w:bCs/>
        </w:rPr>
      </w:pPr>
      <w:r w:rsidRPr="00F046BA">
        <w:rPr>
          <w:rFonts w:ascii="Arial" w:hAnsi="Arial" w:cs="Arial"/>
        </w:rPr>
        <w:t>Z m e n y  a  d o p l n k y</w:t>
      </w:r>
    </w:p>
    <w:p w:rsidR="003E1A13" w:rsidRPr="003F758D" w:rsidP="00BD2238">
      <w:pPr>
        <w:pBdr>
          <w:bottom w:val="single" w:sz="12" w:space="1" w:color="auto"/>
        </w:pBdr>
        <w:tabs>
          <w:tab w:val="left" w:pos="-1985"/>
          <w:tab w:val="left" w:pos="709"/>
          <w:tab w:val="left" w:pos="1077"/>
        </w:tabs>
        <w:jc w:val="center"/>
        <w:rPr>
          <w:rFonts w:ascii="Arial" w:hAnsi="Arial" w:cs="Arial"/>
        </w:rPr>
      </w:pPr>
      <w:r w:rsidR="00DB239F">
        <w:rPr>
          <w:rFonts w:ascii="Arial" w:hAnsi="Arial" w:cs="Arial"/>
        </w:rPr>
        <w:t>k</w:t>
      </w:r>
      <w:r w:rsidR="000F2A65">
        <w:rPr>
          <w:rFonts w:ascii="Arial" w:hAnsi="Arial" w:cs="Arial"/>
        </w:rPr>
        <w:t xml:space="preserve"> vládnemu </w:t>
      </w:r>
      <w:r w:rsidRPr="000F2A65" w:rsidR="00BD2238">
        <w:rPr>
          <w:rFonts w:ascii="Arial" w:hAnsi="Arial" w:cs="Arial"/>
        </w:rPr>
        <w:t>návrhu</w:t>
      </w:r>
      <w:r w:rsidRPr="00D377E2" w:rsidR="00BD2238">
        <w:rPr>
          <w:rFonts w:ascii="Arial" w:hAnsi="Arial" w:cs="Arial"/>
          <w:b/>
        </w:rPr>
        <w:t xml:space="preserve"> </w:t>
      </w:r>
      <w:r w:rsidRPr="00774EDD" w:rsidR="000F2A65">
        <w:rPr>
          <w:rFonts w:ascii="Arial" w:hAnsi="Arial" w:cs="Arial"/>
          <w:noProof/>
        </w:rPr>
        <w:t xml:space="preserve">zákona, ktorým sa mení a dopĺňa zákon č. 513/2009 Z. z. o dráhach a o zmene a doplnení niektorých zákonov v znení neskorších predpisov a ktorým sa menia a dopĺňajú niektoré zákony </w:t>
      </w:r>
      <w:r w:rsidRPr="00774EDD" w:rsidR="000F2A65">
        <w:rPr>
          <w:rFonts w:ascii="Arial" w:hAnsi="Arial" w:cs="Arial"/>
        </w:rPr>
        <w:t xml:space="preserve">(tlač </w:t>
      </w:r>
      <w:r w:rsidRPr="00774EDD" w:rsidR="000F2A65">
        <w:rPr>
          <w:rFonts w:ascii="Arial" w:hAnsi="Arial" w:cs="Arial"/>
          <w:b/>
        </w:rPr>
        <w:t>722</w:t>
      </w:r>
      <w:r w:rsidRPr="00774EDD" w:rsidR="000F2A65">
        <w:rPr>
          <w:rFonts w:ascii="Arial" w:hAnsi="Arial" w:cs="Arial"/>
        </w:rPr>
        <w:t>)</w:t>
      </w:r>
    </w:p>
    <w:p w:rsidR="00EF7E70" w:rsidRPr="00EF7E70" w:rsidP="00EF7E70">
      <w:pPr>
        <w:jc w:val="both"/>
        <w:rPr>
          <w:rFonts w:ascii="Arial" w:hAnsi="Arial" w:cs="Arial"/>
        </w:rPr>
      </w:pPr>
    </w:p>
    <w:p w:rsidR="00EF7E70" w:rsidRPr="00EF7E70" w:rsidP="00EF7E70">
      <w:pPr>
        <w:numPr>
          <w:ilvl w:val="0"/>
          <w:numId w:val="21"/>
        </w:numPr>
        <w:ind w:left="426"/>
        <w:jc w:val="both"/>
        <w:rPr>
          <w:rFonts w:ascii="Arial" w:hAnsi="Arial" w:cs="Arial"/>
          <w:u w:val="single"/>
        </w:rPr>
      </w:pPr>
      <w:r w:rsidRPr="00EF7E70">
        <w:rPr>
          <w:rFonts w:ascii="Arial" w:hAnsi="Arial" w:cs="Arial"/>
          <w:u w:val="single"/>
        </w:rPr>
        <w:t>V čl. I sa vkladá nový 1. bod, ktorý znie:</w:t>
      </w:r>
    </w:p>
    <w:p w:rsidR="00EF7E70" w:rsidRPr="00EF7E70" w:rsidP="00EF7E70">
      <w:pPr>
        <w:ind w:left="426"/>
        <w:jc w:val="both"/>
        <w:rPr>
          <w:rFonts w:ascii="Arial" w:hAnsi="Arial" w:cs="Arial"/>
        </w:rPr>
      </w:pPr>
      <w:r w:rsidRPr="00EF7E70">
        <w:rPr>
          <w:rFonts w:ascii="Arial" w:hAnsi="Arial" w:cs="Arial"/>
        </w:rPr>
        <w:t>„1. V § 1 ods. 2 sa za slová „priemyselné dráhy“ vkladajú slová „v súkromnom vlastníctve slúžiace pre nákladnú dopravu vlastníka dráhy“.“.</w:t>
      </w:r>
    </w:p>
    <w:p w:rsidR="00EF7E70" w:rsidRPr="00EF7E70" w:rsidP="00EF7E70">
      <w:pPr>
        <w:pStyle w:val="NoSpacing"/>
        <w:ind w:left="567"/>
        <w:jc w:val="both"/>
        <w:rPr>
          <w:rFonts w:ascii="Arial" w:hAnsi="Arial" w:cs="Arial"/>
          <w:b/>
          <w:sz w:val="24"/>
          <w:szCs w:val="24"/>
        </w:rPr>
      </w:pPr>
    </w:p>
    <w:p w:rsidR="00EF7E70" w:rsidRPr="00EF7E70" w:rsidP="00EF7E70">
      <w:pPr>
        <w:ind w:left="426"/>
        <w:rPr>
          <w:rFonts w:ascii="Arial" w:hAnsi="Arial" w:cs="Arial"/>
          <w:bCs/>
        </w:rPr>
      </w:pPr>
      <w:r w:rsidRPr="00EF7E70">
        <w:rPr>
          <w:rFonts w:ascii="Arial" w:hAnsi="Arial" w:cs="Arial"/>
          <w:bCs/>
        </w:rPr>
        <w:t>Nasledujúce body sa prečíslujú.</w:t>
      </w:r>
    </w:p>
    <w:p w:rsidR="00EF7E70" w:rsidRPr="00EF7E70" w:rsidP="00EF7E70">
      <w:pPr>
        <w:tabs>
          <w:tab w:val="left" w:pos="6420"/>
        </w:tabs>
        <w:jc w:val="both"/>
        <w:rPr>
          <w:rFonts w:ascii="Arial" w:hAnsi="Arial" w:cs="Arial"/>
          <w:b/>
        </w:rPr>
      </w:pPr>
    </w:p>
    <w:p w:rsidR="00EF7E70" w:rsidRPr="00EF7E70" w:rsidP="00EF7E70">
      <w:pPr>
        <w:ind w:left="2268"/>
        <w:jc w:val="both"/>
        <w:rPr>
          <w:rFonts w:ascii="Arial" w:hAnsi="Arial" w:cs="Arial"/>
        </w:rPr>
      </w:pPr>
      <w:r w:rsidRPr="00EF7E70">
        <w:rPr>
          <w:rFonts w:ascii="Arial" w:hAnsi="Arial" w:cs="Arial"/>
        </w:rPr>
        <w:t>Navrhované znenie náležite spresňuje účel smernice Európskeho parlamentu a Rady 2004/49/ES z 29. apríla 2004 o bezpečnosti železníc Spoločenstva a o zmene a doplnení smernice Rady 95/18/ES o udeľovaní licencií železničným podnikom a smernice 2001/14/ES o prideľovaní kapacity železničnej infraštruktúry, vyberaní poplatkov za používanie železničnej infraštruktúry a bezpečnostnej certifikácii (Smernica o bezpečnosti železníc), v tejto časti smernice.</w:t>
      </w:r>
    </w:p>
    <w:p w:rsidR="00EF7E70" w:rsidRPr="00EF7E70" w:rsidP="00EF7E70">
      <w:pPr>
        <w:jc w:val="both"/>
        <w:rPr>
          <w:rFonts w:ascii="Arial" w:hAnsi="Arial" w:cs="Arial"/>
        </w:rPr>
      </w:pPr>
    </w:p>
    <w:p w:rsidR="00EF7E70" w:rsidRPr="00EF7E70" w:rsidP="00EF7E70">
      <w:pPr>
        <w:numPr>
          <w:ilvl w:val="0"/>
          <w:numId w:val="21"/>
        </w:numPr>
        <w:ind w:left="426"/>
        <w:jc w:val="both"/>
        <w:rPr>
          <w:rFonts w:ascii="Arial" w:hAnsi="Arial" w:cs="Arial"/>
        </w:rPr>
      </w:pPr>
      <w:r w:rsidRPr="00EF7E70">
        <w:rPr>
          <w:rFonts w:ascii="Arial" w:hAnsi="Arial" w:cs="Arial"/>
          <w:u w:val="single"/>
        </w:rPr>
        <w:t>V čl. I, 4. bode v § 14 ods. 3 a v čl. I, 19. bode v § 30 ods. 1 písm. e)</w:t>
      </w:r>
      <w:r w:rsidRPr="00EF7E70">
        <w:rPr>
          <w:rFonts w:ascii="Arial" w:hAnsi="Arial" w:cs="Arial"/>
        </w:rPr>
        <w:t xml:space="preserve"> sa slová „v koho záujme“ nahrádzajú slovami „z koho podnetu“.</w:t>
      </w:r>
    </w:p>
    <w:p w:rsidR="00EF7E70" w:rsidRPr="00EF7E70" w:rsidP="00EF7E70">
      <w:pPr>
        <w:ind w:left="3261"/>
        <w:jc w:val="both"/>
        <w:rPr>
          <w:rFonts w:ascii="Arial" w:hAnsi="Arial" w:cs="Arial"/>
        </w:rPr>
      </w:pPr>
    </w:p>
    <w:p w:rsidR="00EF7E70" w:rsidRPr="00EF7E70" w:rsidP="00EF7E70">
      <w:pPr>
        <w:pStyle w:val="NoSpacing"/>
        <w:ind w:left="2268"/>
        <w:jc w:val="both"/>
        <w:rPr>
          <w:rFonts w:ascii="Arial" w:hAnsi="Arial" w:cs="Arial"/>
          <w:bCs/>
          <w:sz w:val="24"/>
          <w:szCs w:val="24"/>
        </w:rPr>
      </w:pPr>
      <w:r w:rsidRPr="00EF7E70">
        <w:rPr>
          <w:rFonts w:ascii="Arial" w:hAnsi="Arial" w:cs="Arial"/>
          <w:sz w:val="24"/>
          <w:szCs w:val="24"/>
        </w:rPr>
        <w:t xml:space="preserve"> „Podnet“ ako rozlišovacie kritérium pre zabezpečenie križovania dráhy s cestnou komunikáciou presnejšie vystihuje subjekt, ktorý bude povinný zabezpečovať križovanie dráh s cestnými komunikáciami.</w:t>
      </w:r>
    </w:p>
    <w:p w:rsidR="00EF7E70" w:rsidP="00EF7E70">
      <w:pPr>
        <w:pStyle w:val="NoSpacing"/>
        <w:jc w:val="both"/>
        <w:rPr>
          <w:rFonts w:ascii="Arial" w:hAnsi="Arial" w:cs="Arial"/>
          <w:sz w:val="24"/>
          <w:szCs w:val="24"/>
          <w:highlight w:val="yellow"/>
        </w:rPr>
      </w:pPr>
    </w:p>
    <w:p w:rsidR="00FB7C57" w:rsidRPr="00FB7C57" w:rsidP="00FB7C57">
      <w:pPr>
        <w:pStyle w:val="ListParagraph"/>
        <w:numPr>
          <w:ilvl w:val="0"/>
          <w:numId w:val="21"/>
        </w:numPr>
        <w:ind w:left="426"/>
        <w:jc w:val="both"/>
        <w:rPr>
          <w:rFonts w:ascii="Arial" w:hAnsi="Arial" w:cs="Arial"/>
        </w:rPr>
      </w:pPr>
      <w:r w:rsidRPr="00FB7C57">
        <w:rPr>
          <w:rFonts w:ascii="Arial" w:hAnsi="Arial" w:cs="Arial"/>
          <w:u w:val="single"/>
        </w:rPr>
        <w:t xml:space="preserve">V čl. I, </w:t>
      </w:r>
      <w:r>
        <w:rPr>
          <w:rFonts w:ascii="Arial" w:hAnsi="Arial" w:cs="Arial"/>
          <w:u w:val="single"/>
        </w:rPr>
        <w:t xml:space="preserve">11 </w:t>
      </w:r>
      <w:r w:rsidRPr="00FB7C57">
        <w:rPr>
          <w:rFonts w:ascii="Arial" w:hAnsi="Arial" w:cs="Arial"/>
          <w:u w:val="single"/>
        </w:rPr>
        <w:t>bode</w:t>
      </w:r>
      <w:r w:rsidRPr="00FB7C57">
        <w:rPr>
          <w:rFonts w:ascii="Arial" w:hAnsi="Arial" w:cs="Arial"/>
        </w:rPr>
        <w:t xml:space="preserve"> sa za slovami „dráhového vozidla“ slovo „aj“ nahrádza slovom „a“ a slová „je platný“ sa nahrádzajú slovami „sú platné“.</w:t>
      </w:r>
    </w:p>
    <w:p w:rsidR="00FB7C57" w:rsidP="00FB7C57">
      <w:pPr>
        <w:ind w:left="2268" w:firstLine="4"/>
        <w:jc w:val="both"/>
        <w:rPr>
          <w:rFonts w:ascii="Arial" w:hAnsi="Arial" w:cs="Arial"/>
        </w:rPr>
      </w:pPr>
    </w:p>
    <w:p w:rsidR="00FB7C57" w:rsidRPr="00FB7C57" w:rsidP="00FB7C57">
      <w:pPr>
        <w:ind w:left="2268" w:firstLine="4"/>
        <w:jc w:val="both"/>
        <w:rPr>
          <w:rFonts w:ascii="Arial" w:hAnsi="Arial" w:cs="Arial"/>
        </w:rPr>
      </w:pPr>
      <w:r w:rsidRPr="00FB7C57">
        <w:rPr>
          <w:rFonts w:ascii="Arial" w:hAnsi="Arial" w:cs="Arial"/>
        </w:rPr>
        <w:t>Ide o formulačnú úpravu textu.</w:t>
      </w:r>
    </w:p>
    <w:p w:rsidR="00FB7C57" w:rsidRPr="00FB7C57" w:rsidP="00FB7C57">
      <w:pPr>
        <w:ind w:left="4395"/>
        <w:jc w:val="both"/>
        <w:rPr>
          <w:rFonts w:ascii="Arial" w:hAnsi="Arial" w:cs="Arial"/>
        </w:rPr>
      </w:pPr>
    </w:p>
    <w:p w:rsidR="00FB7C57" w:rsidRPr="00FB7C57" w:rsidP="00FB7C57">
      <w:pPr>
        <w:pStyle w:val="ListParagraph"/>
        <w:numPr>
          <w:ilvl w:val="0"/>
          <w:numId w:val="21"/>
        </w:numPr>
        <w:ind w:left="426"/>
        <w:jc w:val="both"/>
        <w:rPr>
          <w:rFonts w:ascii="Arial" w:hAnsi="Arial" w:cs="Arial"/>
        </w:rPr>
      </w:pPr>
      <w:r w:rsidRPr="00FB7C57">
        <w:rPr>
          <w:rFonts w:ascii="Arial" w:hAnsi="Arial" w:cs="Arial"/>
          <w:u w:val="single"/>
        </w:rPr>
        <w:t xml:space="preserve">V čl. I, </w:t>
      </w:r>
      <w:r>
        <w:rPr>
          <w:rFonts w:ascii="Arial" w:hAnsi="Arial" w:cs="Arial"/>
          <w:u w:val="single"/>
        </w:rPr>
        <w:t xml:space="preserve">26 </w:t>
      </w:r>
      <w:r w:rsidRPr="00FB7C57">
        <w:rPr>
          <w:rFonts w:ascii="Arial" w:hAnsi="Arial" w:cs="Arial"/>
          <w:u w:val="single"/>
        </w:rPr>
        <w:t>bode</w:t>
      </w:r>
      <w:r w:rsidRPr="00FB7C57">
        <w:rPr>
          <w:rFonts w:ascii="Arial" w:hAnsi="Arial" w:cs="Arial"/>
        </w:rPr>
        <w:t xml:space="preserve"> sa v celom bode slová „27aa“ nahrádzajú slovami „27b“ .</w:t>
      </w:r>
    </w:p>
    <w:p w:rsidR="00FB7C57" w:rsidP="00FB7C57">
      <w:pPr>
        <w:pStyle w:val="ListParagraph"/>
        <w:jc w:val="both"/>
        <w:rPr>
          <w:rFonts w:ascii="Arial" w:hAnsi="Arial" w:cs="Arial"/>
        </w:rPr>
      </w:pPr>
    </w:p>
    <w:p w:rsidR="00FB7C57" w:rsidP="00FB7C57">
      <w:pPr>
        <w:pStyle w:val="ListParagraph"/>
        <w:ind w:left="2268"/>
        <w:jc w:val="both"/>
        <w:rPr>
          <w:rFonts w:ascii="Arial" w:hAnsi="Arial" w:cs="Arial"/>
        </w:rPr>
      </w:pPr>
      <w:r w:rsidRPr="00FB7C57">
        <w:rPr>
          <w:rFonts w:ascii="Arial" w:hAnsi="Arial" w:cs="Arial"/>
        </w:rPr>
        <w:t xml:space="preserve">Nahradenie označenia uvedeného odkazu rešpektuje poradie číslovania odkazov v platnom zákone o dráhach a je v súlade s legislatívnymi pravidlami tvorby zákonov. Ide o legislatívno-technickú úpravu súvisiacu so zaužívaným spôsobom uvádzania rozhodnutia, ktorého číslo nie je súčasťou jeho názvu, v poznámke pod čiarou. </w:t>
      </w:r>
    </w:p>
    <w:p w:rsidR="00A96A67" w:rsidP="00FB7C57">
      <w:pPr>
        <w:pStyle w:val="ListParagraph"/>
        <w:ind w:left="2268"/>
        <w:jc w:val="both"/>
        <w:rPr>
          <w:rFonts w:ascii="Arial" w:hAnsi="Arial" w:cs="Arial"/>
        </w:rPr>
      </w:pPr>
    </w:p>
    <w:p w:rsidR="00A96A67" w:rsidRPr="00FB7C57" w:rsidP="00FB7C57">
      <w:pPr>
        <w:pStyle w:val="ListParagraph"/>
        <w:ind w:left="2268"/>
        <w:jc w:val="both"/>
        <w:rPr>
          <w:rFonts w:ascii="Arial" w:hAnsi="Arial" w:cs="Arial"/>
        </w:rPr>
      </w:pPr>
    </w:p>
    <w:p w:rsidR="00FB7C57" w:rsidRPr="00FB7C57" w:rsidP="00FB7C57">
      <w:pPr>
        <w:pStyle w:val="ListParagraph"/>
        <w:numPr>
          <w:ilvl w:val="0"/>
          <w:numId w:val="21"/>
        </w:numPr>
        <w:ind w:left="426"/>
        <w:jc w:val="both"/>
        <w:rPr>
          <w:rFonts w:ascii="Arial" w:hAnsi="Arial" w:cs="Arial"/>
          <w:u w:val="single"/>
        </w:rPr>
      </w:pPr>
      <w:r w:rsidRPr="00FB7C57">
        <w:rPr>
          <w:rFonts w:ascii="Arial" w:hAnsi="Arial" w:cs="Arial"/>
          <w:u w:val="single"/>
        </w:rPr>
        <w:t>V čl. I bod 27 znie:</w:t>
      </w:r>
    </w:p>
    <w:p w:rsidR="00FB7C57" w:rsidRPr="00FB7C57" w:rsidP="00FB7C57">
      <w:pPr>
        <w:ind w:left="426"/>
        <w:jc w:val="both"/>
        <w:rPr>
          <w:rFonts w:ascii="Arial" w:hAnsi="Arial" w:cs="Arial"/>
        </w:rPr>
      </w:pPr>
      <w:r w:rsidRPr="00FB7C57">
        <w:rPr>
          <w:rFonts w:ascii="Arial" w:hAnsi="Arial" w:cs="Arial"/>
        </w:rPr>
        <w:t>„27. V § 83 ods. 3 sa slová „vo Vestníku Ministerstva dopravy, pôšt a telekomunikácií Slove</w:t>
      </w:r>
      <w:r w:rsidRPr="00FB7C57">
        <w:rPr>
          <w:rFonts w:ascii="Arial" w:hAnsi="Arial" w:cs="Arial"/>
        </w:rPr>
        <w:t>nskej republiky“ nahrádzajú slovami „vo Vestníku Ministerstva dopravy, výstavby a regionálneho rozvoja Slovenskej republiky (ďalej len „vestník ministerstva“).“</w:t>
      </w:r>
    </w:p>
    <w:p w:rsidR="00FB7C57" w:rsidP="00FB7C57">
      <w:pPr>
        <w:jc w:val="both"/>
        <w:rPr>
          <w:rFonts w:ascii="Arial" w:hAnsi="Arial" w:cs="Arial"/>
        </w:rPr>
      </w:pPr>
    </w:p>
    <w:p w:rsidR="00FB7C57" w:rsidRPr="00FB7C57" w:rsidP="00FB7C57">
      <w:pPr>
        <w:ind w:left="2268"/>
        <w:jc w:val="both"/>
        <w:rPr>
          <w:rFonts w:ascii="Arial" w:hAnsi="Arial" w:cs="Arial"/>
        </w:rPr>
      </w:pPr>
      <w:r w:rsidRPr="00FB7C57">
        <w:rPr>
          <w:rFonts w:ascii="Arial" w:hAnsi="Arial" w:cs="Arial"/>
        </w:rPr>
        <w:t>Navrhovaná úprava zavádza legislatívnu skratku vestníka ministerstva v súlade s legislatívnymi</w:t>
      </w:r>
      <w:r w:rsidRPr="00FB7C57">
        <w:rPr>
          <w:rFonts w:ascii="Arial" w:hAnsi="Arial" w:cs="Arial"/>
        </w:rPr>
        <w:t xml:space="preserve"> pravidlami tvorby zákonov.</w:t>
      </w:r>
    </w:p>
    <w:p w:rsidR="00FB7C57" w:rsidRPr="00FB7C57" w:rsidP="00FB7C57">
      <w:pPr>
        <w:jc w:val="both"/>
        <w:rPr>
          <w:rFonts w:ascii="Arial" w:hAnsi="Arial" w:cs="Arial"/>
        </w:rPr>
      </w:pPr>
    </w:p>
    <w:p w:rsidR="00EF7E70" w:rsidRPr="00EF7E70" w:rsidP="00EF7E70">
      <w:pPr>
        <w:pStyle w:val="NoSpacing"/>
        <w:numPr>
          <w:ilvl w:val="0"/>
          <w:numId w:val="21"/>
        </w:numPr>
        <w:ind w:left="426"/>
        <w:jc w:val="both"/>
        <w:rPr>
          <w:rFonts w:ascii="Arial" w:hAnsi="Arial" w:cs="Arial"/>
          <w:sz w:val="24"/>
          <w:szCs w:val="24"/>
          <w:u w:val="single"/>
        </w:rPr>
      </w:pPr>
      <w:r w:rsidRPr="00EF7E70">
        <w:rPr>
          <w:rFonts w:ascii="Arial" w:eastAsia="Times New Roman" w:hAnsi="Arial" w:cs="Arial"/>
          <w:sz w:val="24"/>
          <w:szCs w:val="24"/>
          <w:u w:val="single"/>
          <w:lang w:eastAsia="sk-SK"/>
        </w:rPr>
        <w:t>V čl. I sa za 27. bod vkladá nový 28. bod, ktorý znie:</w:t>
      </w:r>
    </w:p>
    <w:p w:rsidR="00EF7E70" w:rsidRPr="00EF7E70" w:rsidP="00EF7E70">
      <w:pPr>
        <w:pStyle w:val="NoSpacing"/>
        <w:ind w:left="426"/>
        <w:jc w:val="both"/>
        <w:rPr>
          <w:rFonts w:ascii="Arial" w:hAnsi="Arial" w:cs="Arial"/>
        </w:rPr>
      </w:pPr>
      <w:r w:rsidRPr="00EF7E70">
        <w:rPr>
          <w:rFonts w:ascii="Arial" w:eastAsia="Times New Roman" w:hAnsi="Arial" w:cs="Arial"/>
          <w:sz w:val="24"/>
          <w:szCs w:val="24"/>
          <w:lang w:eastAsia="sk-SK"/>
        </w:rPr>
        <w:t xml:space="preserve"> </w:t>
      </w:r>
      <w:r w:rsidRPr="00EF7E70">
        <w:rPr>
          <w:rFonts w:ascii="Arial" w:hAnsi="Arial" w:cs="Arial"/>
        </w:rPr>
        <w:t>„28. V § 84 ods. 1 sa na konci pripája táto veta: „Systém riadenia bezpečnosti manažéra infraštruktúry a železničného podniku zabezpečí kontrolu rizík spojených s ich činnosťou, vrátane rizík vyplývajúcich z činnosti iných osôb.“.“.</w:t>
      </w:r>
    </w:p>
    <w:p w:rsidR="00EF7E70" w:rsidRPr="00EF7E70" w:rsidP="00EF7E70">
      <w:pPr>
        <w:pStyle w:val="BodyText"/>
        <w:ind w:left="567"/>
        <w:rPr>
          <w:rFonts w:ascii="Arial" w:hAnsi="Arial" w:cs="Arial"/>
        </w:rPr>
      </w:pPr>
    </w:p>
    <w:p w:rsidR="00EF7E70" w:rsidRPr="00EF7E70" w:rsidP="00EF7E70">
      <w:pPr>
        <w:pStyle w:val="BodyText"/>
        <w:ind w:left="426"/>
        <w:rPr>
          <w:rFonts w:ascii="Arial" w:hAnsi="Arial" w:cs="Arial"/>
        </w:rPr>
      </w:pPr>
      <w:r w:rsidRPr="00EF7E70">
        <w:rPr>
          <w:rFonts w:ascii="Arial" w:hAnsi="Arial" w:cs="Arial"/>
        </w:rPr>
        <w:t>Nasledujúce body sa prečíslujú.</w:t>
      </w:r>
    </w:p>
    <w:p w:rsidR="00EF7E70" w:rsidRPr="00EF7E70" w:rsidP="00EF7E70">
      <w:pPr>
        <w:rPr>
          <w:rFonts w:ascii="Arial" w:hAnsi="Arial" w:cs="Arial"/>
          <w:b/>
          <w:bCs/>
        </w:rPr>
      </w:pPr>
    </w:p>
    <w:p w:rsidR="00EF7E70" w:rsidRPr="00EF7E70" w:rsidP="00EF7E70">
      <w:pPr>
        <w:pStyle w:val="NoSpacing"/>
        <w:ind w:left="2268"/>
        <w:jc w:val="both"/>
        <w:rPr>
          <w:rFonts w:ascii="Arial" w:hAnsi="Arial" w:cs="Arial"/>
          <w:bCs/>
          <w:sz w:val="24"/>
          <w:szCs w:val="24"/>
        </w:rPr>
      </w:pPr>
      <w:r w:rsidRPr="00EF7E70">
        <w:rPr>
          <w:rFonts w:ascii="Arial" w:hAnsi="Arial" w:cs="Arial"/>
          <w:sz w:val="24"/>
          <w:szCs w:val="24"/>
        </w:rPr>
        <w:t>Dôvodom navrhnutého doplnenia uvedeného ustanovenia je jeho spresnenie, ktoré lepšie vystihuje podstatu potreby zahrnutia aj bezpečnostných rizík vyplývajúcich z činnosti tretích osôb.</w:t>
      </w:r>
    </w:p>
    <w:p w:rsidR="00EF7E70" w:rsidP="00EF7E70">
      <w:pPr>
        <w:pStyle w:val="NoSpacing"/>
        <w:jc w:val="both"/>
        <w:rPr>
          <w:rFonts w:ascii="Arial" w:hAnsi="Arial" w:cs="Arial"/>
          <w:sz w:val="24"/>
          <w:szCs w:val="24"/>
          <w:highlight w:val="yellow"/>
        </w:rPr>
      </w:pPr>
    </w:p>
    <w:p w:rsidR="00EF7E70" w:rsidRPr="00EF7E70" w:rsidP="00EF7E70">
      <w:pPr>
        <w:pStyle w:val="NoSpacing"/>
        <w:numPr>
          <w:ilvl w:val="0"/>
          <w:numId w:val="21"/>
        </w:numPr>
        <w:tabs>
          <w:tab w:val="left" w:pos="-142"/>
        </w:tabs>
        <w:ind w:left="426"/>
        <w:jc w:val="both"/>
        <w:rPr>
          <w:rFonts w:ascii="Arial" w:hAnsi="Arial" w:cs="Arial"/>
          <w:sz w:val="24"/>
          <w:szCs w:val="24"/>
          <w:u w:val="single"/>
        </w:rPr>
      </w:pPr>
      <w:r w:rsidRPr="00EF7E70">
        <w:rPr>
          <w:rFonts w:ascii="Arial" w:eastAsia="Times New Roman" w:hAnsi="Arial" w:cs="Arial"/>
          <w:sz w:val="24"/>
          <w:szCs w:val="24"/>
          <w:u w:val="single"/>
          <w:lang w:eastAsia="sk-SK"/>
        </w:rPr>
        <w:t>V čl. I sa za 28. bod vkladá nový 29. bod, ktorý znie:</w:t>
      </w:r>
    </w:p>
    <w:p w:rsidR="00EF7E70" w:rsidRPr="00EF7E70" w:rsidP="00EF7E70">
      <w:pPr>
        <w:tabs>
          <w:tab w:val="left" w:pos="-284"/>
        </w:tabs>
        <w:ind w:left="426"/>
        <w:jc w:val="both"/>
        <w:rPr>
          <w:rFonts w:ascii="Arial" w:hAnsi="Arial" w:cs="Arial"/>
          <w:strike/>
        </w:rPr>
      </w:pPr>
      <w:r w:rsidRPr="00EF7E70">
        <w:rPr>
          <w:rFonts w:ascii="Arial" w:hAnsi="Arial" w:cs="Arial"/>
        </w:rPr>
        <w:t>„29. V § 97 ods. 2 úvodná veta znie: „Vyšetrovateľovi sa umožní vykonávať úlohy podľa tohto zákona čo najúčinnejším spôsobom a v čo najkratšom čase. Najmä sa mu umožní“.</w:t>
      </w:r>
    </w:p>
    <w:p w:rsidR="00EF7E70" w:rsidRPr="00EF7E70" w:rsidP="00EF7E70">
      <w:pPr>
        <w:tabs>
          <w:tab w:val="left" w:pos="567"/>
        </w:tabs>
        <w:ind w:left="567"/>
        <w:jc w:val="both"/>
        <w:rPr>
          <w:rFonts w:ascii="Arial" w:hAnsi="Arial" w:cs="Arial"/>
        </w:rPr>
      </w:pPr>
    </w:p>
    <w:p w:rsidR="00EF7E70" w:rsidRPr="00EF7E70" w:rsidP="00EF7E70">
      <w:pPr>
        <w:pStyle w:val="BodyText"/>
        <w:tabs>
          <w:tab w:val="left" w:pos="-284"/>
        </w:tabs>
        <w:ind w:left="426"/>
        <w:rPr>
          <w:rFonts w:ascii="Arial" w:hAnsi="Arial" w:cs="Arial"/>
        </w:rPr>
      </w:pPr>
      <w:r w:rsidRPr="00EF7E70">
        <w:rPr>
          <w:rFonts w:ascii="Arial" w:hAnsi="Arial" w:cs="Arial"/>
        </w:rPr>
        <w:t>Poznámka pod čiarou k odkazu 30a  sa vypúšťa.“.</w:t>
      </w:r>
      <w:r w:rsidR="00D4419B">
        <w:rPr>
          <w:rFonts w:ascii="Arial" w:hAnsi="Arial" w:cs="Arial"/>
        </w:rPr>
        <w:t>“.</w:t>
      </w:r>
    </w:p>
    <w:p w:rsidR="00EF7E70" w:rsidRPr="00EF7E70" w:rsidP="00EF7E70">
      <w:pPr>
        <w:pStyle w:val="BodyText"/>
        <w:tabs>
          <w:tab w:val="left" w:pos="-284"/>
        </w:tabs>
        <w:ind w:left="426"/>
        <w:rPr>
          <w:rFonts w:ascii="Arial" w:hAnsi="Arial" w:cs="Arial"/>
        </w:rPr>
      </w:pPr>
    </w:p>
    <w:p w:rsidR="00EF7E70" w:rsidRPr="00EF7E70" w:rsidP="00EF7E70">
      <w:pPr>
        <w:pStyle w:val="BodyText"/>
        <w:tabs>
          <w:tab w:val="left" w:pos="-284"/>
        </w:tabs>
        <w:ind w:left="426"/>
        <w:rPr>
          <w:rFonts w:ascii="Arial" w:hAnsi="Arial" w:cs="Arial"/>
        </w:rPr>
      </w:pPr>
      <w:r w:rsidRPr="00EF7E70">
        <w:rPr>
          <w:rFonts w:ascii="Arial" w:hAnsi="Arial" w:cs="Arial"/>
        </w:rPr>
        <w:t>Nasledujúce body sa prečíslujú.</w:t>
      </w:r>
    </w:p>
    <w:p w:rsidR="00EF7E70" w:rsidRPr="00EF7E70" w:rsidP="00EF7E70">
      <w:pPr>
        <w:pStyle w:val="BodyText"/>
        <w:tabs>
          <w:tab w:val="left" w:pos="567"/>
        </w:tabs>
        <w:ind w:left="567"/>
        <w:rPr>
          <w:rFonts w:ascii="Arial" w:hAnsi="Arial" w:cs="Arial"/>
        </w:rPr>
      </w:pPr>
    </w:p>
    <w:p w:rsidR="00EF7E70" w:rsidRPr="00EF7E70" w:rsidP="00EF7E70">
      <w:pPr>
        <w:ind w:left="2268"/>
        <w:jc w:val="both"/>
        <w:rPr>
          <w:rFonts w:ascii="Arial" w:hAnsi="Arial" w:cs="Arial"/>
        </w:rPr>
      </w:pPr>
      <w:r w:rsidRPr="00EF7E70">
        <w:rPr>
          <w:rFonts w:ascii="Arial" w:hAnsi="Arial" w:cs="Arial"/>
        </w:rPr>
        <w:t>Navrhované znenie náležite spresňuje účel smernice Európskeho parlamentu a Rady 2004/49/ES z 29. apríla 2004 o</w:t>
      </w:r>
      <w:r w:rsidRPr="00EF7E70">
        <w:rPr>
          <w:rFonts w:ascii="Arial" w:hAnsi="Arial" w:cs="Arial"/>
        </w:rPr>
        <w:t> bezpečnosti železníc Spoločenstva a o zmene a doplnení smernice Rady 95/18/ES o udeľovaní licencií železničným podnikom a smernice 2001/14/ES o prideľovaní kapacity železničnej infraštruktúry, vyberaní poplatkov za používanie železničnej infraštruktúry a bezpečnostnej certifikácii (Smernica o bezpečnosti železníc), v tejto časti smernice.</w:t>
      </w:r>
    </w:p>
    <w:p w:rsidR="00EF7E70" w:rsidRPr="00EF7E70" w:rsidP="00EF7E70">
      <w:pPr>
        <w:ind w:left="3261"/>
        <w:jc w:val="both"/>
        <w:rPr>
          <w:rFonts w:ascii="Arial" w:hAnsi="Arial" w:cs="Arial"/>
        </w:rPr>
      </w:pPr>
    </w:p>
    <w:p w:rsidR="00EF7E70" w:rsidRPr="00EF7E70" w:rsidP="00EF7E70">
      <w:pPr>
        <w:pStyle w:val="NoSpacing"/>
        <w:numPr>
          <w:ilvl w:val="0"/>
          <w:numId w:val="21"/>
        </w:numPr>
        <w:tabs>
          <w:tab w:val="left" w:pos="-426"/>
        </w:tabs>
        <w:ind w:left="426"/>
        <w:jc w:val="both"/>
        <w:rPr>
          <w:rFonts w:ascii="Arial" w:eastAsia="Times New Roman" w:hAnsi="Arial" w:cs="Arial"/>
          <w:sz w:val="24"/>
          <w:szCs w:val="24"/>
          <w:lang w:eastAsia="sk-SK"/>
        </w:rPr>
      </w:pPr>
      <w:r w:rsidRPr="00EF7E70">
        <w:rPr>
          <w:rFonts w:ascii="Arial" w:eastAsia="Times New Roman" w:hAnsi="Arial" w:cs="Arial"/>
          <w:sz w:val="24"/>
          <w:szCs w:val="24"/>
          <w:u w:val="single"/>
          <w:lang w:eastAsia="sk-SK"/>
        </w:rPr>
        <w:t>V čl. I, 29. bode v § 97 ods. 3</w:t>
      </w:r>
      <w:r w:rsidRPr="00EF7E70">
        <w:rPr>
          <w:rFonts w:ascii="Arial" w:eastAsia="Times New Roman" w:hAnsi="Arial" w:cs="Arial"/>
          <w:sz w:val="24"/>
          <w:szCs w:val="24"/>
          <w:lang w:eastAsia="sk-SK"/>
        </w:rPr>
        <w:t xml:space="preserve"> sa za prvú vetu vkladá nová druhá veta, ktorá znie: „Prizvané osoby konajú len v rozsahu úloh určených vyšetrovateľom.“ a v poslednej vete sa za slová „na nehode“ vkladajú slová „alebo mimoriadnej udalosti“ a slovo „im“ sa nahrádza slovami „vyšetrovateľovi a prizvaným osobám“.</w:t>
      </w:r>
    </w:p>
    <w:p w:rsidR="00EF7E70" w:rsidRPr="00EF7E70" w:rsidP="00EF7E70">
      <w:pPr>
        <w:pStyle w:val="NoSpacing"/>
        <w:tabs>
          <w:tab w:val="left" w:pos="567"/>
        </w:tabs>
        <w:jc w:val="both"/>
        <w:rPr>
          <w:rFonts w:ascii="Arial" w:hAnsi="Arial" w:cs="Arial"/>
          <w:sz w:val="24"/>
          <w:szCs w:val="24"/>
        </w:rPr>
      </w:pPr>
    </w:p>
    <w:p w:rsidR="00EF7E70" w:rsidRPr="00EF7E70" w:rsidP="00EF7E70">
      <w:pPr>
        <w:ind w:left="2268"/>
        <w:jc w:val="both"/>
        <w:rPr>
          <w:rFonts w:ascii="Arial" w:hAnsi="Arial" w:cs="Arial"/>
        </w:rPr>
      </w:pPr>
      <w:r w:rsidRPr="00EF7E70">
        <w:rPr>
          <w:rFonts w:ascii="Arial" w:hAnsi="Arial" w:cs="Arial"/>
        </w:rPr>
        <w:t xml:space="preserve">Navrhované doplnenie spresňuje postavenie prizvanej osoby pri vyšetrovaní mimoriadnych udalostí alebo nehôd a zároveň rozširuje povinnosť subjektov zúčastnených na nehode poskytnúť súčinnosť  vyšetrovateľovi a prizvaným osobám aj pre prípady mimoriadnej udalosti.  </w:t>
      </w:r>
    </w:p>
    <w:p w:rsidR="00D4419B" w:rsidP="00EF7E70">
      <w:pPr>
        <w:jc w:val="both"/>
        <w:rPr>
          <w:rFonts w:ascii="Arial" w:hAnsi="Arial" w:cs="Arial"/>
        </w:rPr>
      </w:pPr>
    </w:p>
    <w:p w:rsidR="00D4419B" w:rsidRPr="00D4419B" w:rsidP="00D4419B">
      <w:pPr>
        <w:pStyle w:val="ListParagraph"/>
        <w:numPr>
          <w:ilvl w:val="0"/>
          <w:numId w:val="21"/>
        </w:numPr>
        <w:ind w:left="426"/>
        <w:jc w:val="both"/>
        <w:rPr>
          <w:rFonts w:ascii="Arial" w:hAnsi="Arial" w:cs="Arial"/>
        </w:rPr>
      </w:pPr>
      <w:r w:rsidRPr="00D4419B">
        <w:rPr>
          <w:rFonts w:ascii="Arial" w:hAnsi="Arial" w:cs="Arial"/>
          <w:u w:val="single"/>
        </w:rPr>
        <w:t>V čl. I, </w:t>
      </w:r>
      <w:r>
        <w:rPr>
          <w:rFonts w:ascii="Arial" w:hAnsi="Arial" w:cs="Arial"/>
          <w:u w:val="single"/>
        </w:rPr>
        <w:t xml:space="preserve">33. </w:t>
      </w:r>
      <w:r w:rsidRPr="00D4419B">
        <w:rPr>
          <w:rFonts w:ascii="Arial" w:hAnsi="Arial" w:cs="Arial"/>
          <w:u w:val="single"/>
        </w:rPr>
        <w:t>bode úvodná veta novelizačného bodu znie:</w:t>
      </w:r>
      <w:r w:rsidRPr="00D4419B">
        <w:rPr>
          <w:rFonts w:ascii="Arial" w:hAnsi="Arial" w:cs="Arial"/>
        </w:rPr>
        <w:t xml:space="preserve"> „Za § 112a sa vkladá § 112b, ktorý vrátane nadpisu znie:“ Súčasne sa označenie paragrafu „§112a“ nahrádza označením „§ 112b“. Ďalej sa v prvej vete slová „doby desať rokov“ nahrádzajú slovami „desiatich rokov“.</w:t>
      </w:r>
    </w:p>
    <w:p w:rsidR="00D4419B" w:rsidRPr="00D4419B" w:rsidP="00D4419B">
      <w:pPr>
        <w:pStyle w:val="ListParagraph"/>
        <w:jc w:val="both"/>
        <w:rPr>
          <w:rFonts w:ascii="Arial" w:hAnsi="Arial" w:cs="Arial"/>
        </w:rPr>
      </w:pPr>
    </w:p>
    <w:p w:rsidR="00D4419B" w:rsidRPr="00D4419B" w:rsidP="00D4419B">
      <w:pPr>
        <w:pStyle w:val="ListParagraph"/>
        <w:ind w:left="2268"/>
        <w:jc w:val="both"/>
        <w:rPr>
          <w:rFonts w:ascii="Arial" w:hAnsi="Arial" w:cs="Arial"/>
        </w:rPr>
      </w:pPr>
      <w:r w:rsidRPr="00D4419B">
        <w:rPr>
          <w:rFonts w:ascii="Arial" w:hAnsi="Arial" w:cs="Arial"/>
        </w:rPr>
        <w:t xml:space="preserve">Zmena označenia prechodného ustanovenia sa navrhuje v nadväznosti na rovnaké označenie prechodného ustanovenia v čl. </w:t>
      </w:r>
      <w:r w:rsidRPr="00D4419B">
        <w:rPr>
          <w:rFonts w:ascii="Arial" w:eastAsia="Calibri" w:hAnsi="Arial" w:cs="Arial"/>
        </w:rPr>
        <w:t>XXXV zákona, ktorým sa mení a dopĺňa zákon č. 431/2002 Z. z. o účtovníctve v znení neskorších predpisov a ktorým sa menia a dopĺňajú niektoré zákony (tlač 666), ktorý bol 17. októbra 2013 na 25. schôdzi NR SR schválený v treťom čítaní.</w:t>
      </w:r>
    </w:p>
    <w:p w:rsidR="00D4419B" w:rsidRPr="00D4419B" w:rsidP="00D4419B">
      <w:pPr>
        <w:jc w:val="both"/>
        <w:rPr>
          <w:rFonts w:ascii="Arial" w:hAnsi="Arial" w:cs="Arial"/>
        </w:rPr>
      </w:pPr>
    </w:p>
    <w:p w:rsidR="00D4419B" w:rsidRPr="00D4419B" w:rsidP="00D4419B">
      <w:pPr>
        <w:pStyle w:val="ListParagraph"/>
        <w:numPr>
          <w:ilvl w:val="0"/>
          <w:numId w:val="21"/>
        </w:numPr>
        <w:spacing w:after="200"/>
        <w:ind w:left="426"/>
        <w:jc w:val="both"/>
        <w:rPr>
          <w:rFonts w:ascii="Arial" w:hAnsi="Arial" w:cs="Arial"/>
        </w:rPr>
      </w:pPr>
      <w:r w:rsidRPr="00D4419B">
        <w:rPr>
          <w:rFonts w:ascii="Arial" w:hAnsi="Arial" w:cs="Arial"/>
          <w:u w:val="single"/>
        </w:rPr>
        <w:t>V čl. I, bode 38, bode 1.6.1.</w:t>
      </w:r>
      <w:r w:rsidRPr="00D4419B">
        <w:rPr>
          <w:rFonts w:ascii="Arial" w:hAnsi="Arial" w:cs="Arial"/>
        </w:rPr>
        <w:t xml:space="preserve"> sa slová „inými primeranými opatreniami“ nahrádzajú slovami „prijatím iných primeraných opatrení“.</w:t>
      </w:r>
    </w:p>
    <w:p w:rsidR="00D4419B" w:rsidRPr="00D4419B" w:rsidP="00D4419B">
      <w:pPr>
        <w:pStyle w:val="ListParagraph"/>
        <w:jc w:val="both"/>
        <w:rPr>
          <w:rFonts w:ascii="Arial" w:hAnsi="Arial" w:cs="Arial"/>
        </w:rPr>
      </w:pPr>
    </w:p>
    <w:p w:rsidR="00D4419B" w:rsidRPr="00D4419B" w:rsidP="00D4419B">
      <w:pPr>
        <w:pStyle w:val="ListParagraph"/>
        <w:ind w:left="2268"/>
        <w:jc w:val="both"/>
        <w:rPr>
          <w:rFonts w:ascii="Arial" w:hAnsi="Arial" w:cs="Arial"/>
        </w:rPr>
      </w:pPr>
      <w:r w:rsidRPr="00D4419B">
        <w:rPr>
          <w:rFonts w:ascii="Arial" w:hAnsi="Arial" w:cs="Arial"/>
        </w:rPr>
        <w:t>Ide o legislatívno-technickú úpravu súvisiacu so spresnením textu v súlade so smernicou 2013/9/EÚ s cieľom dosiahnuť dostatočnú zrozumiteľnosť.</w:t>
      </w:r>
    </w:p>
    <w:p w:rsidR="00D4419B" w:rsidRPr="00D4419B" w:rsidP="00D4419B">
      <w:pPr>
        <w:pStyle w:val="ListParagraph"/>
        <w:ind w:left="4395"/>
        <w:jc w:val="both"/>
        <w:rPr>
          <w:rFonts w:ascii="Arial" w:hAnsi="Arial" w:cs="Arial"/>
        </w:rPr>
      </w:pPr>
    </w:p>
    <w:p w:rsidR="00D4419B" w:rsidRPr="00D4419B" w:rsidP="00D4419B">
      <w:pPr>
        <w:pStyle w:val="ListParagraph"/>
        <w:numPr>
          <w:ilvl w:val="0"/>
          <w:numId w:val="21"/>
        </w:numPr>
        <w:ind w:left="426"/>
        <w:jc w:val="both"/>
        <w:rPr>
          <w:rFonts w:ascii="Arial" w:hAnsi="Arial" w:cs="Arial"/>
        </w:rPr>
      </w:pPr>
      <w:r w:rsidRPr="00D4419B">
        <w:rPr>
          <w:rFonts w:ascii="Arial" w:hAnsi="Arial" w:cs="Arial"/>
          <w:u w:val="single"/>
        </w:rPr>
        <w:t>V čl. I, bode 41 bode 2.6.4.1. a bode 42. bode 2.7.5.1.</w:t>
      </w:r>
      <w:r w:rsidRPr="00D4419B">
        <w:rPr>
          <w:rFonts w:ascii="Arial" w:hAnsi="Arial" w:cs="Arial"/>
        </w:rPr>
        <w:t xml:space="preserve"> sa slovo „stanovené“ nahrádza slovom „určené“.</w:t>
      </w:r>
    </w:p>
    <w:p w:rsidR="00D4419B" w:rsidP="00D4419B">
      <w:pPr>
        <w:ind w:left="2268"/>
        <w:jc w:val="both"/>
        <w:rPr>
          <w:rFonts w:ascii="Arial" w:hAnsi="Arial" w:cs="Arial"/>
        </w:rPr>
      </w:pPr>
    </w:p>
    <w:p w:rsidR="00D4419B" w:rsidRPr="00D4419B" w:rsidP="00D4419B">
      <w:pPr>
        <w:ind w:left="2268"/>
        <w:jc w:val="both"/>
        <w:rPr>
          <w:rFonts w:ascii="Arial" w:hAnsi="Arial" w:cs="Arial"/>
        </w:rPr>
      </w:pPr>
      <w:r w:rsidRPr="00D4419B">
        <w:rPr>
          <w:rFonts w:ascii="Arial" w:hAnsi="Arial" w:cs="Arial"/>
        </w:rPr>
        <w:t>Ide o formulačnú úpravu ustanovenia.</w:t>
      </w:r>
    </w:p>
    <w:p w:rsidR="00D4419B" w:rsidRPr="00EF7E70" w:rsidP="00EF7E70">
      <w:pPr>
        <w:jc w:val="both"/>
        <w:rPr>
          <w:rFonts w:ascii="Arial" w:hAnsi="Arial" w:cs="Arial"/>
        </w:rPr>
      </w:pPr>
    </w:p>
    <w:p w:rsidR="00EF7E70" w:rsidRPr="00EF7E70" w:rsidP="00EF7E70">
      <w:pPr>
        <w:numPr>
          <w:ilvl w:val="0"/>
          <w:numId w:val="21"/>
        </w:numPr>
        <w:ind w:left="426"/>
        <w:jc w:val="both"/>
        <w:rPr>
          <w:rFonts w:ascii="Arial" w:hAnsi="Arial" w:cs="Arial"/>
        </w:rPr>
      </w:pPr>
      <w:r w:rsidRPr="00EF7E70">
        <w:rPr>
          <w:rFonts w:ascii="Arial" w:hAnsi="Arial" w:cs="Arial"/>
          <w:u w:val="single"/>
        </w:rPr>
        <w:t>V čl. III, v 3. v § 3 ods. 3 a v 4. bode v § 3 ods. 4</w:t>
      </w:r>
      <w:r w:rsidRPr="00EF7E70">
        <w:rPr>
          <w:rFonts w:ascii="Arial" w:hAnsi="Arial" w:cs="Arial"/>
        </w:rPr>
        <w:t xml:space="preserve"> sa slová „vo verejnej osobnej doprave“ nahrádza slovami „vo verejnej doprave“. </w:t>
      </w:r>
    </w:p>
    <w:p w:rsidR="00EF7E70" w:rsidRPr="00EF7E70" w:rsidP="00EF7E70">
      <w:pPr>
        <w:ind w:left="567" w:hanging="567"/>
        <w:jc w:val="both"/>
        <w:rPr>
          <w:rFonts w:ascii="Arial" w:hAnsi="Arial" w:cs="Arial"/>
        </w:rPr>
      </w:pPr>
    </w:p>
    <w:p w:rsidR="00EF7E70" w:rsidRPr="00EF7E70" w:rsidP="00EF7E70">
      <w:pPr>
        <w:ind w:left="2268"/>
        <w:jc w:val="both"/>
        <w:rPr>
          <w:rFonts w:ascii="Arial" w:hAnsi="Arial" w:cs="Arial"/>
        </w:rPr>
      </w:pPr>
      <w:r w:rsidRPr="00EF7E70">
        <w:rPr>
          <w:rFonts w:ascii="Arial" w:hAnsi="Arial" w:cs="Arial"/>
        </w:rPr>
        <w:t>Spresnenie pojmu.</w:t>
      </w:r>
    </w:p>
    <w:p w:rsidR="00EF7E70" w:rsidRPr="00EF7E70" w:rsidP="00EF7E70">
      <w:pPr>
        <w:ind w:left="567" w:hanging="567"/>
        <w:jc w:val="both"/>
        <w:rPr>
          <w:rFonts w:ascii="Arial" w:hAnsi="Arial" w:cs="Arial"/>
        </w:rPr>
      </w:pPr>
    </w:p>
    <w:p w:rsidR="00EF7E70" w:rsidRPr="00EF7E70" w:rsidP="00EF7E70">
      <w:pPr>
        <w:numPr>
          <w:ilvl w:val="0"/>
          <w:numId w:val="21"/>
        </w:numPr>
        <w:ind w:left="426"/>
        <w:jc w:val="both"/>
        <w:rPr>
          <w:rFonts w:ascii="Arial" w:hAnsi="Arial" w:cs="Arial"/>
        </w:rPr>
      </w:pPr>
      <w:r w:rsidRPr="00EF7E70">
        <w:rPr>
          <w:rFonts w:ascii="Arial" w:hAnsi="Arial" w:cs="Arial"/>
          <w:u w:val="single"/>
        </w:rPr>
        <w:t xml:space="preserve">V čl. III, 4. bode v § 3 ods. 4 </w:t>
      </w:r>
      <w:r w:rsidRPr="00EF7E70">
        <w:rPr>
          <w:rFonts w:ascii="Arial" w:hAnsi="Arial" w:cs="Arial"/>
        </w:rPr>
        <w:t>sa slovo „spravidla“ vypúšťa.</w:t>
      </w:r>
    </w:p>
    <w:p w:rsidR="00EF7E70" w:rsidRPr="00EF7E70" w:rsidP="00EF7E70">
      <w:pPr>
        <w:ind w:left="426" w:hanging="426"/>
        <w:jc w:val="both"/>
        <w:rPr>
          <w:rFonts w:ascii="Arial" w:hAnsi="Arial" w:cs="Arial"/>
        </w:rPr>
      </w:pPr>
    </w:p>
    <w:p w:rsidR="00EF7E70" w:rsidRPr="00EF7E70" w:rsidP="00EF7E70">
      <w:pPr>
        <w:autoSpaceDE w:val="0"/>
        <w:autoSpaceDN w:val="0"/>
        <w:adjustRightInd w:val="0"/>
        <w:ind w:left="2268"/>
        <w:jc w:val="both"/>
        <w:rPr>
          <w:rFonts w:ascii="Arial" w:hAnsi="Arial" w:cs="Arial"/>
          <w:b/>
        </w:rPr>
      </w:pPr>
      <w:r w:rsidRPr="00EF7E70">
        <w:rPr>
          <w:rFonts w:ascii="Arial" w:hAnsi="Arial" w:cs="Arial"/>
        </w:rPr>
        <w:t xml:space="preserve">Uvedené ustanovenie sa navrhovanou zmenou upravuje do podoby obligatórnej povinnosti objednávateľa dopravných služieb, a to v záujme transparentnejšieho poskytovania dopravnej obslužnosti vo verejnej osobnej doprave objednávateľom dopravných služieb ako orgánu verejnej správy. </w:t>
      </w:r>
    </w:p>
    <w:p w:rsidR="00EF7E70" w:rsidRPr="00EF7E70" w:rsidP="00EF7E70">
      <w:pPr>
        <w:jc w:val="both"/>
        <w:rPr>
          <w:rFonts w:ascii="Arial" w:hAnsi="Arial" w:cs="Arial"/>
        </w:rPr>
      </w:pPr>
    </w:p>
    <w:p w:rsidR="00EF7E70" w:rsidRPr="00EF7E70" w:rsidP="00EF7E70">
      <w:pPr>
        <w:numPr>
          <w:ilvl w:val="0"/>
          <w:numId w:val="21"/>
        </w:numPr>
        <w:ind w:left="426"/>
        <w:jc w:val="both"/>
        <w:rPr>
          <w:rFonts w:ascii="Arial" w:hAnsi="Arial" w:cs="Arial"/>
          <w:u w:val="single"/>
        </w:rPr>
      </w:pPr>
      <w:r w:rsidRPr="00EF7E70">
        <w:rPr>
          <w:rFonts w:ascii="Arial" w:hAnsi="Arial" w:cs="Arial"/>
          <w:u w:val="single"/>
        </w:rPr>
        <w:t>V čl. III sa 6. až 8. bod vypúšťajú.</w:t>
      </w:r>
    </w:p>
    <w:p w:rsidR="00EF7E70" w:rsidRPr="00EF7E70" w:rsidP="00EF7E70">
      <w:pPr>
        <w:ind w:left="426" w:hanging="426"/>
        <w:jc w:val="both"/>
        <w:rPr>
          <w:rFonts w:ascii="Arial" w:hAnsi="Arial" w:cs="Arial"/>
        </w:rPr>
      </w:pPr>
    </w:p>
    <w:p w:rsidR="00EF7E70" w:rsidRPr="00EF7E70" w:rsidP="00EF7E70">
      <w:pPr>
        <w:pStyle w:val="BodyText"/>
        <w:ind w:left="426"/>
        <w:rPr>
          <w:rFonts w:ascii="Arial" w:hAnsi="Arial" w:cs="Arial"/>
        </w:rPr>
      </w:pPr>
      <w:r w:rsidRPr="00EF7E70">
        <w:rPr>
          <w:rFonts w:ascii="Arial" w:hAnsi="Arial" w:cs="Arial"/>
        </w:rPr>
        <w:t>Nasledujúce body sa prečíslujú.</w:t>
      </w:r>
    </w:p>
    <w:p w:rsidR="00EF7E70" w:rsidRPr="00EF7E70" w:rsidP="00EF7E70">
      <w:pPr>
        <w:ind w:left="426" w:hanging="426"/>
        <w:jc w:val="both"/>
        <w:rPr>
          <w:rFonts w:ascii="Arial" w:hAnsi="Arial" w:cs="Arial"/>
        </w:rPr>
      </w:pPr>
    </w:p>
    <w:p w:rsidR="00EF7E70" w:rsidP="00EF7E70">
      <w:pPr>
        <w:autoSpaceDE w:val="0"/>
        <w:autoSpaceDN w:val="0"/>
        <w:adjustRightInd w:val="0"/>
        <w:ind w:left="2268"/>
        <w:jc w:val="both"/>
        <w:rPr>
          <w:rFonts w:ascii="Arial" w:hAnsi="Arial" w:cs="Arial"/>
        </w:rPr>
      </w:pPr>
      <w:r w:rsidRPr="00EF7E70">
        <w:rPr>
          <w:rFonts w:ascii="Arial" w:hAnsi="Arial" w:cs="Arial"/>
        </w:rPr>
        <w:t xml:space="preserve">V súčasnej dobe neexistujú konkrétne vlakové spoje, pri ktorých by osobní dopravcovia nevyhnutne potrebovali navrhovaný nástroj uplatňovať. </w:t>
      </w:r>
    </w:p>
    <w:p w:rsidR="00A96A67" w:rsidRPr="00EF7E70" w:rsidP="00EF7E70">
      <w:pPr>
        <w:autoSpaceDE w:val="0"/>
        <w:autoSpaceDN w:val="0"/>
        <w:adjustRightInd w:val="0"/>
        <w:ind w:left="2268"/>
        <w:jc w:val="both"/>
        <w:rPr>
          <w:rFonts w:ascii="Arial" w:hAnsi="Arial" w:cs="Arial"/>
          <w:b/>
        </w:rPr>
      </w:pPr>
    </w:p>
    <w:p w:rsidR="00EF7E70" w:rsidRPr="00EF7E70" w:rsidP="00EF7E70">
      <w:pPr>
        <w:pStyle w:val="NoSpacing"/>
        <w:jc w:val="both"/>
        <w:rPr>
          <w:rFonts w:ascii="Arial" w:hAnsi="Arial" w:cs="Arial"/>
          <w:sz w:val="24"/>
          <w:szCs w:val="24"/>
          <w:highlight w:val="yellow"/>
        </w:rPr>
      </w:pPr>
    </w:p>
    <w:p w:rsidR="00EF7E70" w:rsidRPr="00EF7E70" w:rsidP="00EF7E70">
      <w:pPr>
        <w:pStyle w:val="NoSpacing"/>
        <w:numPr>
          <w:ilvl w:val="0"/>
          <w:numId w:val="21"/>
        </w:numPr>
        <w:ind w:left="426"/>
        <w:jc w:val="both"/>
        <w:rPr>
          <w:rFonts w:ascii="Arial" w:hAnsi="Arial" w:cs="Arial"/>
          <w:sz w:val="24"/>
          <w:szCs w:val="24"/>
        </w:rPr>
      </w:pPr>
      <w:r w:rsidRPr="00EF7E70">
        <w:rPr>
          <w:rFonts w:ascii="Arial" w:eastAsia="Times New Roman" w:hAnsi="Arial" w:cs="Arial"/>
          <w:sz w:val="24"/>
          <w:szCs w:val="24"/>
          <w:u w:val="single"/>
          <w:lang w:eastAsia="sk-SK"/>
        </w:rPr>
        <w:t>V čl. III sa za 7. bod vkladá nový 8. bod, ktorý znie:</w:t>
      </w:r>
    </w:p>
    <w:p w:rsidR="00EF7E70" w:rsidRPr="00EF7E70" w:rsidP="009A6F17">
      <w:pPr>
        <w:pStyle w:val="NoSpacing"/>
        <w:tabs>
          <w:tab w:val="left" w:pos="-284"/>
        </w:tabs>
        <w:ind w:left="426"/>
        <w:jc w:val="both"/>
        <w:rPr>
          <w:rFonts w:ascii="Arial" w:hAnsi="Arial" w:cs="Arial"/>
        </w:rPr>
      </w:pPr>
      <w:r w:rsidRPr="00EF7E70">
        <w:rPr>
          <w:rFonts w:ascii="Arial" w:eastAsia="Times New Roman" w:hAnsi="Arial" w:cs="Arial"/>
          <w:sz w:val="24"/>
          <w:szCs w:val="24"/>
          <w:lang w:eastAsia="sk-SK"/>
        </w:rPr>
        <w:t xml:space="preserve"> </w:t>
      </w:r>
      <w:r w:rsidRPr="00EF7E70">
        <w:rPr>
          <w:rFonts w:ascii="Arial" w:hAnsi="Arial" w:cs="Arial"/>
        </w:rPr>
        <w:t xml:space="preserve">„8. V § 10 odsek 3 znie: </w:t>
      </w:r>
    </w:p>
    <w:p w:rsidR="00EF7E70" w:rsidRPr="00EF7E70" w:rsidP="00EF7E70">
      <w:pPr>
        <w:tabs>
          <w:tab w:val="left" w:pos="-426"/>
        </w:tabs>
        <w:ind w:left="426"/>
        <w:jc w:val="both"/>
        <w:rPr>
          <w:rFonts w:ascii="Arial" w:hAnsi="Arial" w:cs="Arial"/>
          <w:strike/>
        </w:rPr>
      </w:pPr>
      <w:r w:rsidRPr="00EF7E70">
        <w:rPr>
          <w:rFonts w:ascii="Arial" w:hAnsi="Arial" w:cs="Arial"/>
        </w:rPr>
        <w:t>„(3) Podniky vykonávajúce v sektore železničnej dopravy regionálnu nákladnú železničnú dopravu alebo vykonávajúce nákladnú železničnú dopravu na železničnej infraštruktúre, ktorá je v súkromnom vlastníctve a slúži pre potreby vlastníka infraštruktúry pre jeho vlastnú nákladnú dopravu, nemusia mať na vykonávanie tejto činnosti licenciu, ak nevykonávajú prepravu nebezpečného tovaru alebo živých zvierat. Podniky podľa predchádzajúcej vety musia mať bezpečnostné osvedčenie podľa osobitného predpisu</w:t>
      </w:r>
      <w:r w:rsidRPr="00EF7E70">
        <w:rPr>
          <w:rFonts w:ascii="Arial" w:hAnsi="Arial" w:cs="Arial"/>
          <w:vertAlign w:val="superscript"/>
        </w:rPr>
        <w:t>10a</w:t>
      </w:r>
      <w:r w:rsidRPr="00EF7E70">
        <w:rPr>
          <w:rFonts w:ascii="Arial" w:hAnsi="Arial" w:cs="Arial"/>
        </w:rPr>
        <w:t xml:space="preserve">) a primerane spĺňať povinnosti vzťahujúce sa na železničný podnik.“. </w:t>
      </w:r>
    </w:p>
    <w:p w:rsidR="00EF7E70" w:rsidRPr="00EF7E70" w:rsidP="00EF7E70">
      <w:pPr>
        <w:tabs>
          <w:tab w:val="left" w:pos="-426"/>
        </w:tabs>
        <w:ind w:left="426"/>
        <w:rPr>
          <w:rFonts w:ascii="Arial" w:hAnsi="Arial" w:cs="Arial"/>
        </w:rPr>
      </w:pPr>
    </w:p>
    <w:p w:rsidR="00EF7E70" w:rsidRPr="00EF7E70" w:rsidP="00EF7E70">
      <w:pPr>
        <w:tabs>
          <w:tab w:val="left" w:pos="-426"/>
        </w:tabs>
        <w:ind w:left="426"/>
        <w:rPr>
          <w:rFonts w:ascii="Arial" w:hAnsi="Arial" w:cs="Arial"/>
        </w:rPr>
      </w:pPr>
      <w:r w:rsidRPr="00EF7E70">
        <w:rPr>
          <w:rFonts w:ascii="Arial" w:hAnsi="Arial" w:cs="Arial"/>
        </w:rPr>
        <w:t>Poznámka pod čiarou k odkazu 10a znie:</w:t>
      </w:r>
    </w:p>
    <w:p w:rsidR="00EF7E70" w:rsidRPr="00EF7E70" w:rsidP="00EF7E70">
      <w:pPr>
        <w:tabs>
          <w:tab w:val="left" w:pos="-426"/>
        </w:tabs>
        <w:ind w:left="426"/>
        <w:rPr>
          <w:rFonts w:ascii="Arial" w:hAnsi="Arial" w:cs="Arial"/>
        </w:rPr>
      </w:pPr>
      <w:r w:rsidRPr="00EF7E70">
        <w:rPr>
          <w:rFonts w:ascii="Arial" w:hAnsi="Arial" w:cs="Arial"/>
        </w:rPr>
        <w:t>„</w:t>
      </w:r>
      <w:r w:rsidRPr="00EF7E70">
        <w:rPr>
          <w:rFonts w:ascii="Arial" w:hAnsi="Arial" w:cs="Arial"/>
          <w:vertAlign w:val="superscript"/>
        </w:rPr>
        <w:t>10a</w:t>
      </w:r>
      <w:r w:rsidRPr="00EF7E70">
        <w:rPr>
          <w:rFonts w:ascii="Arial" w:hAnsi="Arial" w:cs="Arial"/>
        </w:rPr>
        <w:t xml:space="preserve">) § 86 zákona č. 513/2009 Z. z.“.“. </w:t>
      </w:r>
    </w:p>
    <w:p w:rsidR="00EF7E70" w:rsidRPr="00EF7E70" w:rsidP="00EF7E70">
      <w:pPr>
        <w:tabs>
          <w:tab w:val="left" w:pos="-426"/>
        </w:tabs>
        <w:ind w:left="426"/>
        <w:rPr>
          <w:rFonts w:ascii="Arial" w:hAnsi="Arial" w:cs="Arial"/>
        </w:rPr>
      </w:pPr>
    </w:p>
    <w:p w:rsidR="00EF7E70" w:rsidRPr="00EF7E70" w:rsidP="00EF7E70">
      <w:pPr>
        <w:pStyle w:val="BodyText"/>
        <w:tabs>
          <w:tab w:val="left" w:pos="-426"/>
        </w:tabs>
        <w:ind w:left="426"/>
        <w:rPr>
          <w:rFonts w:ascii="Arial" w:hAnsi="Arial" w:cs="Arial"/>
        </w:rPr>
      </w:pPr>
      <w:r w:rsidRPr="00EF7E70">
        <w:rPr>
          <w:rFonts w:ascii="Arial" w:hAnsi="Arial" w:cs="Arial"/>
        </w:rPr>
        <w:t>Nasledujúce body sa prečíslujú.</w:t>
      </w:r>
    </w:p>
    <w:p w:rsidR="00EF7E70" w:rsidRPr="00EF7E70" w:rsidP="00EF7E70">
      <w:pPr>
        <w:rPr>
          <w:rFonts w:ascii="Arial" w:hAnsi="Arial" w:cs="Arial"/>
        </w:rPr>
      </w:pPr>
    </w:p>
    <w:p w:rsidR="00EF7E70" w:rsidRPr="00EF7E70" w:rsidP="00EF7E70">
      <w:pPr>
        <w:autoSpaceDE w:val="0"/>
        <w:autoSpaceDN w:val="0"/>
        <w:adjustRightInd w:val="0"/>
        <w:ind w:left="2268"/>
        <w:jc w:val="both"/>
        <w:rPr>
          <w:rFonts w:ascii="Arial" w:hAnsi="Arial" w:cs="Arial"/>
        </w:rPr>
      </w:pPr>
      <w:r w:rsidRPr="00EF7E70">
        <w:rPr>
          <w:rFonts w:ascii="Arial" w:hAnsi="Arial" w:cs="Arial"/>
        </w:rPr>
        <w:t>Dôvodom navrhnutej úpravy pôvodného znenia je jeho spresnenie, ktoré lepšie zodpovedá účelu smernice Európskeho parlamentu a Rady 2012/34/EÚ z 21. novembra 2012, ktorou sa zriaďuje jednotný európsky železničný priestor.</w:t>
      </w:r>
    </w:p>
    <w:p w:rsidR="00EF7E70" w:rsidRPr="00EF7E70" w:rsidP="00EF7E70">
      <w:pPr>
        <w:pStyle w:val="NoSpacing"/>
        <w:jc w:val="both"/>
        <w:rPr>
          <w:rFonts w:ascii="Arial" w:eastAsia="Times New Roman" w:hAnsi="Arial" w:cs="Arial"/>
          <w:b/>
          <w:bCs/>
          <w:sz w:val="24"/>
          <w:szCs w:val="24"/>
          <w:lang w:eastAsia="sk-SK"/>
        </w:rPr>
      </w:pPr>
    </w:p>
    <w:p w:rsidR="00EF7E70" w:rsidRPr="00EF7E70" w:rsidP="00EF7E70">
      <w:pPr>
        <w:pStyle w:val="NoSpacing"/>
        <w:numPr>
          <w:ilvl w:val="0"/>
          <w:numId w:val="21"/>
        </w:numPr>
        <w:ind w:left="426"/>
        <w:jc w:val="both"/>
        <w:rPr>
          <w:rFonts w:ascii="Arial" w:hAnsi="Arial" w:cs="Arial"/>
          <w:sz w:val="24"/>
          <w:szCs w:val="24"/>
          <w:u w:val="single"/>
        </w:rPr>
      </w:pPr>
      <w:r w:rsidRPr="00EF7E70">
        <w:rPr>
          <w:rFonts w:ascii="Arial" w:eastAsia="Times New Roman" w:hAnsi="Arial" w:cs="Arial"/>
          <w:sz w:val="24"/>
          <w:szCs w:val="24"/>
          <w:u w:val="single"/>
          <w:lang w:eastAsia="sk-SK"/>
        </w:rPr>
        <w:t>V čl. III sa za 7. bod vkladá nový 8. bod, ktorý znie:</w:t>
      </w:r>
    </w:p>
    <w:p w:rsidR="00EF7E70" w:rsidRPr="00EF7E70" w:rsidP="00EF7E70">
      <w:pPr>
        <w:pStyle w:val="NoSpacing"/>
        <w:ind w:left="426"/>
        <w:jc w:val="both"/>
        <w:rPr>
          <w:rFonts w:ascii="Arial" w:hAnsi="Arial" w:cs="Arial"/>
          <w:sz w:val="24"/>
          <w:szCs w:val="24"/>
        </w:rPr>
      </w:pPr>
      <w:r w:rsidRPr="00EF7E70">
        <w:rPr>
          <w:rFonts w:ascii="Arial" w:hAnsi="Arial" w:cs="Arial"/>
          <w:sz w:val="24"/>
          <w:szCs w:val="24"/>
        </w:rPr>
        <w:t xml:space="preserve">„8. V § 15 sa za odsek 2 vkladá nový odsek 3, ktorý znie: </w:t>
      </w:r>
    </w:p>
    <w:p w:rsidR="00EF7E70" w:rsidRPr="00EF7E70" w:rsidP="00EF7E70">
      <w:pPr>
        <w:pStyle w:val="NoSpacing"/>
        <w:ind w:left="426"/>
        <w:jc w:val="both"/>
        <w:rPr>
          <w:rFonts w:ascii="Arial" w:hAnsi="Arial" w:cs="Arial"/>
          <w:sz w:val="24"/>
          <w:szCs w:val="24"/>
        </w:rPr>
      </w:pPr>
      <w:r w:rsidRPr="00EF7E70">
        <w:rPr>
          <w:rFonts w:ascii="Arial" w:hAnsi="Arial" w:cs="Arial"/>
          <w:sz w:val="24"/>
          <w:szCs w:val="24"/>
        </w:rPr>
        <w:t>„(3) Povinnosti ustanovené pre železničný podnik týmto zákonom a osobitným predpisom,</w:t>
      </w:r>
      <w:r w:rsidRPr="00EF7E70">
        <w:rPr>
          <w:rFonts w:ascii="Arial" w:hAnsi="Arial" w:cs="Arial"/>
          <w:sz w:val="24"/>
          <w:szCs w:val="24"/>
          <w:vertAlign w:val="superscript"/>
        </w:rPr>
        <w:t>11b</w:t>
      </w:r>
      <w:r w:rsidRPr="00EF7E70">
        <w:rPr>
          <w:rFonts w:ascii="Arial" w:hAnsi="Arial" w:cs="Arial"/>
          <w:sz w:val="24"/>
          <w:szCs w:val="24"/>
        </w:rPr>
        <w:t>) sa primerane vzťahujú aj na iné podniky vykonávajúce činnosť v železničnej doprave.“.</w:t>
      </w:r>
    </w:p>
    <w:p w:rsidR="00EF7E70" w:rsidRPr="00EF7E70" w:rsidP="00EF7E70">
      <w:pPr>
        <w:pStyle w:val="NoSpacing"/>
        <w:ind w:left="426"/>
        <w:jc w:val="both"/>
        <w:rPr>
          <w:rFonts w:ascii="Arial" w:hAnsi="Arial" w:cs="Arial"/>
          <w:sz w:val="24"/>
          <w:szCs w:val="24"/>
        </w:rPr>
      </w:pPr>
    </w:p>
    <w:p w:rsidR="00EF7E70" w:rsidRPr="00EF7E70" w:rsidP="00EF7E70">
      <w:pPr>
        <w:pStyle w:val="NoSpacing"/>
        <w:ind w:left="426"/>
        <w:jc w:val="both"/>
        <w:rPr>
          <w:rFonts w:ascii="Arial" w:hAnsi="Arial" w:cs="Arial"/>
          <w:sz w:val="24"/>
          <w:szCs w:val="24"/>
        </w:rPr>
      </w:pPr>
      <w:r w:rsidRPr="00EF7E70">
        <w:rPr>
          <w:rFonts w:ascii="Arial" w:hAnsi="Arial" w:cs="Arial"/>
          <w:sz w:val="24"/>
          <w:szCs w:val="24"/>
        </w:rPr>
        <w:t>Doterajší odsek 3 sa označuje ako odsek 4.</w:t>
      </w:r>
    </w:p>
    <w:p w:rsidR="00EF7E70" w:rsidRPr="00EF7E70" w:rsidP="00EF7E70">
      <w:pPr>
        <w:ind w:left="426"/>
        <w:rPr>
          <w:rFonts w:ascii="Arial" w:hAnsi="Arial" w:cs="Arial"/>
        </w:rPr>
      </w:pPr>
    </w:p>
    <w:p w:rsidR="00EF7E70" w:rsidRPr="00EF7E70" w:rsidP="00EF7E70">
      <w:pPr>
        <w:ind w:left="426"/>
        <w:rPr>
          <w:rFonts w:ascii="Arial" w:hAnsi="Arial" w:cs="Arial"/>
        </w:rPr>
      </w:pPr>
      <w:r w:rsidRPr="00EF7E70">
        <w:rPr>
          <w:rFonts w:ascii="Arial" w:hAnsi="Arial" w:cs="Arial"/>
        </w:rPr>
        <w:t>Poznámka pod čiarou k odkazu 11b znie:</w:t>
      </w:r>
    </w:p>
    <w:p w:rsidR="00EF7E70" w:rsidRPr="00EF7E70" w:rsidP="00EF7E70">
      <w:pPr>
        <w:ind w:left="426"/>
        <w:rPr>
          <w:rFonts w:ascii="Arial" w:hAnsi="Arial" w:cs="Arial"/>
        </w:rPr>
      </w:pPr>
      <w:r w:rsidRPr="00EF7E70">
        <w:rPr>
          <w:rFonts w:ascii="Arial" w:hAnsi="Arial" w:cs="Arial"/>
        </w:rPr>
        <w:t>„</w:t>
      </w:r>
      <w:r w:rsidRPr="00EF7E70">
        <w:rPr>
          <w:rFonts w:ascii="Arial" w:hAnsi="Arial" w:cs="Arial"/>
          <w:vertAlign w:val="superscript"/>
        </w:rPr>
        <w:t>11</w:t>
      </w:r>
      <w:bookmarkStart w:id="0" w:name="_GoBack"/>
      <w:bookmarkEnd w:id="0"/>
      <w:r w:rsidRPr="00EF7E70">
        <w:rPr>
          <w:rFonts w:ascii="Arial" w:hAnsi="Arial" w:cs="Arial"/>
          <w:vertAlign w:val="superscript"/>
        </w:rPr>
        <w:t>b</w:t>
      </w:r>
      <w:r w:rsidRPr="00EF7E70">
        <w:rPr>
          <w:rFonts w:ascii="Arial" w:hAnsi="Arial" w:cs="Arial"/>
        </w:rPr>
        <w:t xml:space="preserve">)  Zákon č. 513/2009 Z. z. v znení neskorších predpisov.“.“. </w:t>
      </w:r>
    </w:p>
    <w:p w:rsidR="00EF7E70" w:rsidRPr="00EF7E70" w:rsidP="00EF7E70">
      <w:pPr>
        <w:ind w:left="426"/>
        <w:rPr>
          <w:rFonts w:ascii="Arial" w:hAnsi="Arial" w:cs="Arial"/>
        </w:rPr>
      </w:pPr>
    </w:p>
    <w:p w:rsidR="00EF7E70" w:rsidRPr="00EF7E70" w:rsidP="00EF7E70">
      <w:pPr>
        <w:pStyle w:val="BodyText"/>
        <w:ind w:left="426"/>
        <w:rPr>
          <w:rFonts w:ascii="Arial" w:hAnsi="Arial" w:cs="Arial"/>
        </w:rPr>
      </w:pPr>
      <w:r w:rsidRPr="00EF7E70">
        <w:rPr>
          <w:rFonts w:ascii="Arial" w:hAnsi="Arial" w:cs="Arial"/>
        </w:rPr>
        <w:t>Nasledujúce body sa prečíslujú.</w:t>
      </w:r>
    </w:p>
    <w:p w:rsidR="00EF7E70" w:rsidRPr="00EF7E70" w:rsidP="00EF7E70">
      <w:pPr>
        <w:rPr>
          <w:rFonts w:ascii="Arial" w:hAnsi="Arial" w:cs="Arial"/>
        </w:rPr>
      </w:pPr>
    </w:p>
    <w:p w:rsidR="00EF7E70" w:rsidRPr="00EF7E70" w:rsidP="00EF7E70">
      <w:pPr>
        <w:autoSpaceDE w:val="0"/>
        <w:autoSpaceDN w:val="0"/>
        <w:adjustRightInd w:val="0"/>
        <w:ind w:left="2268"/>
        <w:jc w:val="both"/>
        <w:rPr>
          <w:rFonts w:ascii="Arial" w:hAnsi="Arial" w:cs="Arial"/>
        </w:rPr>
      </w:pPr>
      <w:r w:rsidRPr="00EF7E70">
        <w:rPr>
          <w:rFonts w:ascii="Arial" w:hAnsi="Arial" w:cs="Arial"/>
        </w:rPr>
        <w:t>Dôvodom navrhnutej úpravy pôvodného znenia uvedeného ustanovenia zákona je jeho spresnenie v nadväznosti na navrhovanú zmenu znenia § 10 ods. 3 zákona č. 514/2009 Z. z. o doprave na dráhach v znení neskorších predpisov. Navrhované znenie taktiež lepšie zodpovedá účelu smernice Európskeho parlamentu a Rady 2012/34/EÚ z 21. novembra 2012, ktorou sa zriaďuje jednotný európsky železničný priestor.</w:t>
      </w:r>
    </w:p>
    <w:p w:rsidR="00EF7E70" w:rsidRPr="00EF7E70" w:rsidP="00EF7E70">
      <w:pPr>
        <w:autoSpaceDE w:val="0"/>
        <w:autoSpaceDN w:val="0"/>
        <w:adjustRightInd w:val="0"/>
        <w:ind w:left="3261"/>
        <w:jc w:val="both"/>
        <w:rPr>
          <w:rFonts w:ascii="Arial" w:hAnsi="Arial" w:cs="Arial"/>
        </w:rPr>
      </w:pPr>
    </w:p>
    <w:p w:rsidR="00EF7E70" w:rsidRPr="00EF7E70" w:rsidP="00EF7E70">
      <w:pPr>
        <w:numPr>
          <w:ilvl w:val="0"/>
          <w:numId w:val="21"/>
        </w:numPr>
        <w:ind w:left="426"/>
        <w:jc w:val="both"/>
        <w:rPr>
          <w:rFonts w:ascii="Arial" w:hAnsi="Arial" w:cs="Arial"/>
        </w:rPr>
      </w:pPr>
      <w:r w:rsidRPr="00A96A67">
        <w:rPr>
          <w:rFonts w:ascii="Arial" w:hAnsi="Arial" w:cs="Arial"/>
          <w:u w:val="single"/>
        </w:rPr>
        <w:t>V čl. III, 9., 10. a 24. bode</w:t>
      </w:r>
      <w:r w:rsidRPr="00EF7E70">
        <w:rPr>
          <w:rFonts w:ascii="Arial" w:hAnsi="Arial" w:cs="Arial"/>
        </w:rPr>
        <w:t xml:space="preserve"> sa slová „do štátu, ktorý nie je členským štátom Európskej únie a Schengenského priestoru“ nahrádzajú slovami „ ,ktorý prechádza cez vonkajšiu hranicu</w:t>
      </w:r>
      <w:r w:rsidRPr="00EF7E70">
        <w:rPr>
          <w:rFonts w:ascii="Arial" w:hAnsi="Arial" w:cs="Arial"/>
          <w:vertAlign w:val="superscript"/>
        </w:rPr>
        <w:t>11c</w:t>
      </w:r>
      <w:r w:rsidRPr="00EF7E70">
        <w:rPr>
          <w:rFonts w:ascii="Arial" w:hAnsi="Arial" w:cs="Arial"/>
        </w:rPr>
        <w:t>)“.</w:t>
      </w:r>
    </w:p>
    <w:p w:rsidR="00EF7E70" w:rsidRPr="00EF7E70" w:rsidP="00EF7E70">
      <w:pPr>
        <w:ind w:left="567" w:hanging="567"/>
        <w:jc w:val="both"/>
        <w:rPr>
          <w:rFonts w:ascii="Arial" w:hAnsi="Arial" w:cs="Arial"/>
        </w:rPr>
      </w:pPr>
    </w:p>
    <w:p w:rsidR="00EF7E70" w:rsidRPr="00EF7E70" w:rsidP="00EF7E70">
      <w:pPr>
        <w:ind w:left="426"/>
        <w:jc w:val="both"/>
        <w:rPr>
          <w:rFonts w:ascii="Arial" w:hAnsi="Arial" w:cs="Arial"/>
        </w:rPr>
      </w:pPr>
      <w:r w:rsidRPr="00EF7E70">
        <w:rPr>
          <w:rFonts w:ascii="Arial" w:hAnsi="Arial" w:cs="Arial"/>
        </w:rPr>
        <w:t>Poznámka pod čiarou k odkazu 11c znie:</w:t>
      </w:r>
    </w:p>
    <w:p w:rsidR="00EF7E70" w:rsidRPr="00EF7E70" w:rsidP="00EF7E70">
      <w:pPr>
        <w:ind w:left="426"/>
        <w:jc w:val="both"/>
        <w:rPr>
          <w:rFonts w:ascii="Arial" w:hAnsi="Arial" w:cs="Arial"/>
        </w:rPr>
      </w:pPr>
      <w:r w:rsidRPr="00EF7E70">
        <w:rPr>
          <w:rFonts w:ascii="Arial" w:hAnsi="Arial" w:cs="Arial"/>
        </w:rPr>
        <w:t>„</w:t>
      </w:r>
      <w:r w:rsidRPr="00EF7E70">
        <w:rPr>
          <w:rFonts w:ascii="Arial" w:hAnsi="Arial" w:cs="Arial"/>
          <w:vertAlign w:val="superscript"/>
        </w:rPr>
        <w:t>11c</w:t>
      </w:r>
      <w:r w:rsidRPr="00EF7E70">
        <w:rPr>
          <w:rFonts w:ascii="Arial" w:hAnsi="Arial" w:cs="Arial"/>
        </w:rPr>
        <w:t>) Čl. 2 bod 2 nariadenia Európskeho parlamentu a Rady (ES) č. 562/2006 z 15. marca 2006, ktorým sa ustanovuje kódex Spoločenstva o pravidlách upravujúcich pohyb osôb cez hranice (Kódex schengenských hraníc) (Ú. v. EÚ L 105, 13.4.2006) v platnom znení.“.</w:t>
      </w:r>
    </w:p>
    <w:p w:rsidR="00EF7E70" w:rsidRPr="00EF7E70" w:rsidP="00EF7E70">
      <w:pPr>
        <w:jc w:val="both"/>
        <w:rPr>
          <w:rFonts w:ascii="Arial" w:hAnsi="Arial" w:cs="Arial"/>
        </w:rPr>
      </w:pPr>
    </w:p>
    <w:p w:rsidR="00EF7E70" w:rsidRPr="00EF7E70" w:rsidP="00EF7E70">
      <w:pPr>
        <w:autoSpaceDE w:val="0"/>
        <w:autoSpaceDN w:val="0"/>
        <w:adjustRightInd w:val="0"/>
        <w:ind w:left="2268"/>
        <w:jc w:val="both"/>
        <w:rPr>
          <w:rFonts w:ascii="Arial" w:hAnsi="Arial" w:cs="Arial"/>
          <w:b/>
        </w:rPr>
      </w:pPr>
      <w:r w:rsidRPr="00EF7E70">
        <w:rPr>
          <w:rFonts w:ascii="Arial" w:hAnsi="Arial" w:cs="Arial"/>
        </w:rPr>
        <w:t xml:space="preserve">Nakoľko pojem „Schengenský priestor“ nie je zavedený, definovaný ani používaný v právnom poriadku Slovenskej republiky, navrhuje sa uvedené slová vypustiť a nahradiť ich  pojmom používaným legislatívou Európskej únie.  </w:t>
      </w:r>
    </w:p>
    <w:p w:rsidR="00EF7E70" w:rsidP="00A96A67">
      <w:pPr>
        <w:autoSpaceDE w:val="0"/>
        <w:autoSpaceDN w:val="0"/>
        <w:adjustRightInd w:val="0"/>
        <w:jc w:val="both"/>
      </w:pPr>
    </w:p>
    <w:p w:rsidR="00A96A67" w:rsidRPr="00D4419B" w:rsidP="00A96A67">
      <w:pPr>
        <w:pStyle w:val="ListParagraph"/>
        <w:numPr>
          <w:ilvl w:val="0"/>
          <w:numId w:val="21"/>
        </w:numPr>
        <w:ind w:left="426"/>
        <w:jc w:val="both"/>
        <w:rPr>
          <w:rFonts w:ascii="Arial" w:hAnsi="Arial" w:cs="Arial"/>
        </w:rPr>
      </w:pPr>
      <w:r w:rsidRPr="00D4419B">
        <w:rPr>
          <w:rFonts w:ascii="Arial" w:hAnsi="Arial" w:cs="Arial"/>
          <w:u w:val="single"/>
        </w:rPr>
        <w:t>V čl. IV</w:t>
      </w:r>
      <w:r w:rsidRPr="00D4419B">
        <w:rPr>
          <w:rFonts w:ascii="Arial" w:hAnsi="Arial" w:cs="Arial"/>
        </w:rPr>
        <w:t xml:space="preserve"> sa slová „1. januára“ nahrádzajú slovami „1. februára“.</w:t>
      </w:r>
    </w:p>
    <w:p w:rsidR="00A96A67" w:rsidRPr="00D4419B" w:rsidP="00A96A67">
      <w:pPr>
        <w:ind w:left="426"/>
        <w:jc w:val="both"/>
        <w:rPr>
          <w:rFonts w:ascii="Arial" w:hAnsi="Arial" w:cs="Arial"/>
        </w:rPr>
      </w:pPr>
      <w:r w:rsidRPr="00D4419B">
        <w:rPr>
          <w:rFonts w:ascii="Arial" w:hAnsi="Arial" w:cs="Arial"/>
        </w:rPr>
        <w:t>V tejto súvislosti sa v čl. I bode 33 slová „1. januára“ nahrádzajú slovami „1. februára“ a slová v prvej vete a druhej vete „pred nadobudnutím účinnosti tohto zákona“ sa nahrádzajú slovami „pred 1. februárom 2014“.</w:t>
      </w:r>
    </w:p>
    <w:p w:rsidR="00A96A67" w:rsidP="00A96A67">
      <w:pPr>
        <w:ind w:left="2268"/>
        <w:jc w:val="both"/>
        <w:rPr>
          <w:rFonts w:ascii="Arial" w:hAnsi="Arial" w:cs="Arial"/>
        </w:rPr>
      </w:pPr>
    </w:p>
    <w:p w:rsidR="00A96A67" w:rsidRPr="00D4419B" w:rsidP="00A96A67">
      <w:pPr>
        <w:ind w:left="2268"/>
        <w:jc w:val="both"/>
        <w:rPr>
          <w:rFonts w:ascii="Arial" w:hAnsi="Arial" w:cs="Arial"/>
        </w:rPr>
      </w:pPr>
      <w:r w:rsidRPr="00D4419B">
        <w:rPr>
          <w:rFonts w:ascii="Arial" w:hAnsi="Arial" w:cs="Arial"/>
        </w:rPr>
        <w:t>Zmena navrhovaného nadobudnutia účinnosti právneho predpisu je nutná z hľadiska  prebiehajúceho legislatívneho procesu v Národnej rade SR a z hľadiska zachovania ústavných lehôt v ďalšom štádiu legislatívneho procesu.</w:t>
      </w:r>
    </w:p>
    <w:p w:rsidR="00A96A67" w:rsidP="00A96A67">
      <w:pPr>
        <w:autoSpaceDE w:val="0"/>
        <w:autoSpaceDN w:val="0"/>
        <w:adjustRightInd w:val="0"/>
        <w:jc w:val="both"/>
      </w:pPr>
    </w:p>
    <w:p w:rsidR="00EF7E70" w:rsidP="00EF7E70">
      <w:pPr>
        <w:autoSpaceDE w:val="0"/>
        <w:autoSpaceDN w:val="0"/>
        <w:adjustRightInd w:val="0"/>
        <w:ind w:left="3261"/>
        <w:jc w:val="both"/>
      </w:pPr>
    </w:p>
    <w:p w:rsidR="00EF7E70" w:rsidP="00EF7E70">
      <w:pPr>
        <w:autoSpaceDE w:val="0"/>
        <w:autoSpaceDN w:val="0"/>
        <w:adjustRightInd w:val="0"/>
        <w:ind w:left="3261"/>
        <w:jc w:val="both"/>
      </w:pPr>
    </w:p>
    <w:p w:rsidR="00EF7E70" w:rsidP="00EF7E70">
      <w:pPr>
        <w:autoSpaceDE w:val="0"/>
        <w:autoSpaceDN w:val="0"/>
        <w:adjustRightInd w:val="0"/>
        <w:ind w:left="3261"/>
        <w:jc w:val="both"/>
      </w:pPr>
    </w:p>
    <w:p w:rsidR="00EF7E70" w:rsidP="00EF7E70">
      <w:pPr>
        <w:autoSpaceDE w:val="0"/>
        <w:autoSpaceDN w:val="0"/>
        <w:adjustRightInd w:val="0"/>
        <w:ind w:left="3261"/>
        <w:jc w:val="both"/>
      </w:pPr>
    </w:p>
    <w:p w:rsidR="00EF7E70" w:rsidP="00EF7E70">
      <w:pPr>
        <w:autoSpaceDE w:val="0"/>
        <w:autoSpaceDN w:val="0"/>
        <w:adjustRightInd w:val="0"/>
        <w:ind w:left="3261"/>
        <w:jc w:val="both"/>
      </w:pPr>
    </w:p>
    <w:p w:rsidR="00EF7E70" w:rsidRPr="000B1727" w:rsidP="00EF7E70">
      <w:pPr>
        <w:ind w:left="360"/>
        <w:rPr>
          <w:b/>
          <w:bCs/>
        </w:rPr>
      </w:pPr>
    </w:p>
    <w:p w:rsidR="00EF7E70" w:rsidRPr="000B1727" w:rsidP="00EF7E70">
      <w:pPr>
        <w:ind w:left="360"/>
        <w:rPr>
          <w:b/>
          <w:bCs/>
        </w:rPr>
      </w:pPr>
    </w:p>
    <w:p w:rsidR="00EF7E70" w:rsidRPr="000B1727" w:rsidP="00EF7E70">
      <w:pPr>
        <w:ind w:left="360"/>
        <w:rPr>
          <w:b/>
          <w:bCs/>
        </w:rPr>
      </w:pPr>
    </w:p>
    <w:p w:rsidR="00EF7E70" w:rsidP="00EF7E70">
      <w:pPr>
        <w:ind w:left="360"/>
        <w:rPr>
          <w:b/>
          <w:bCs/>
        </w:rPr>
      </w:pPr>
    </w:p>
    <w:p w:rsidR="00EF7E70" w:rsidP="00EF7E70">
      <w:pPr>
        <w:ind w:left="360"/>
        <w:rPr>
          <w:b/>
          <w:bCs/>
        </w:rPr>
      </w:pPr>
    </w:p>
    <w:p w:rsidR="008872CE" w:rsidRPr="001251A5" w:rsidP="001251A5">
      <w:pPr>
        <w:ind w:left="708" w:firstLine="708"/>
        <w:rPr>
          <w:rFonts w:ascii="Arial" w:hAnsi="Arial" w:cs="Arial"/>
        </w:rPr>
      </w:pPr>
    </w:p>
    <w:sectPr w:rsidSect="00B12DA5">
      <w:footerReference w:type="even" r:id="rId5"/>
      <w:footerReference w:type="default" r:id="rId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DD"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4EDD" w:rsidP="00B12D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DD"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182">
      <w:rPr>
        <w:rStyle w:val="PageNumber"/>
        <w:noProof/>
      </w:rPr>
      <w:t>6</w:t>
    </w:r>
    <w:r>
      <w:rPr>
        <w:rStyle w:val="PageNumber"/>
      </w:rPr>
      <w:fldChar w:fldCharType="end"/>
    </w:r>
  </w:p>
  <w:p w:rsidR="00774EDD" w:rsidP="00B12DA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B9E284B4"/>
    <w:lvl w:ilvl="0">
      <w:start w:val="1"/>
      <w:numFmt w:val="decimal"/>
      <w:lvlText w:val="%1."/>
      <w:lvlJc w:val="left"/>
      <w:pPr>
        <w:tabs>
          <w:tab w:val="num" w:pos="644"/>
        </w:tabs>
        <w:ind w:left="644" w:hanging="360"/>
      </w:pPr>
      <w:rPr>
        <w:rFonts w:ascii="Arial" w:hAnsi="Arial" w:cs="Arial"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A94F48"/>
    <w:multiLevelType w:val="hybridMultilevel"/>
    <w:tmpl w:val="41F27196"/>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B802C3"/>
    <w:multiLevelType w:val="hybridMultilevel"/>
    <w:tmpl w:val="5E5C6A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884DF4"/>
    <w:multiLevelType w:val="hybridMultilevel"/>
    <w:tmpl w:val="CF00DE68"/>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EF1942"/>
    <w:multiLevelType w:val="hybridMultilevel"/>
    <w:tmpl w:val="5BDCA3E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DB7E74"/>
    <w:multiLevelType w:val="singleLevel"/>
    <w:tmpl w:val="39F038C2"/>
    <w:lvl w:ilvl="0">
      <w:start w:val="1"/>
      <w:numFmt w:val="upperLetter"/>
      <w:pStyle w:val="Heading3"/>
      <w:lvlText w:val="%1."/>
      <w:lvlJc w:val="left"/>
      <w:pPr>
        <w:tabs>
          <w:tab w:val="num" w:pos="420"/>
        </w:tabs>
        <w:ind w:left="420" w:hanging="420"/>
      </w:pPr>
      <w:rPr>
        <w:rFonts w:hint="default"/>
      </w:rPr>
    </w:lvl>
  </w:abstractNum>
  <w:abstractNum w:abstractNumId="7">
    <w:nsid w:val="27871B83"/>
    <w:multiLevelType w:val="hybridMultilevel"/>
    <w:tmpl w:val="6F4C57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E8014E"/>
    <w:multiLevelType w:val="hybridMultilevel"/>
    <w:tmpl w:val="4A7CD906"/>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9">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11">
    <w:nsid w:val="47BE7E21"/>
    <w:multiLevelType w:val="hybridMultilevel"/>
    <w:tmpl w:val="881ABC68"/>
    <w:lvl w:ilvl="0">
      <w:start w:val="10"/>
      <w:numFmt w:val="decimal"/>
      <w:lvlText w:val="%1."/>
      <w:lvlJc w:val="left"/>
      <w:pPr>
        <w:ind w:left="927" w:hanging="360"/>
      </w:pPr>
      <w:rPr>
        <w:rFonts w:eastAsia="Times New Roman"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28F033E"/>
    <w:multiLevelType w:val="hybridMultilevel"/>
    <w:tmpl w:val="2702BA56"/>
    <w:lvl w:ilvl="0">
      <w:start w:val="1"/>
      <w:numFmt w:val="upperRoman"/>
      <w:lvlText w:val="%1."/>
      <w:lvlJc w:val="left"/>
      <w:pPr>
        <w:tabs>
          <w:tab w:val="num" w:pos="1260"/>
        </w:tabs>
        <w:ind w:left="1260" w:hanging="720"/>
      </w:pPr>
      <w:rPr>
        <w:rFonts w:cs="Times New Roman"/>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Pr>
    </w:lvl>
    <w:lvl w:ilvl="2">
      <w:start w:val="1"/>
      <w:numFmt w:val="lowerLetter"/>
      <w:lvlText w:val="%3)"/>
      <w:lvlJc w:val="left"/>
      <w:pPr>
        <w:ind w:left="2520" w:hanging="36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4">
    <w:nsid w:val="55672783"/>
    <w:multiLevelType w:val="hybridMultilevel"/>
    <w:tmpl w:val="B60A4FBA"/>
    <w:lvl w:ilvl="0">
      <w:start w:val="3"/>
      <w:numFmt w:val="decimal"/>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15">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0C662E1"/>
    <w:multiLevelType w:val="hybridMultilevel"/>
    <w:tmpl w:val="560C80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A3058C"/>
    <w:multiLevelType w:val="hybridMultilevel"/>
    <w:tmpl w:val="8C2E2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D84C1A"/>
    <w:multiLevelType w:val="hybridMultilevel"/>
    <w:tmpl w:val="8C94B0F0"/>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FC533FE"/>
    <w:multiLevelType w:val="hybridMultilevel"/>
    <w:tmpl w:val="C8168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2FA37CA"/>
    <w:multiLevelType w:val="hybridMultilevel"/>
    <w:tmpl w:val="F490F6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5075DB1"/>
    <w:multiLevelType w:val="hybridMultilevel"/>
    <w:tmpl w:val="E318D2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8"/>
  </w:num>
  <w:num w:numId="5">
    <w:abstractNumId w:val="15"/>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4"/>
  </w:num>
  <w:num w:numId="11">
    <w:abstractNumId w:val="21"/>
  </w:num>
  <w:num w:numId="12">
    <w:abstractNumId w:val="20"/>
  </w:num>
  <w:num w:numId="13">
    <w:abstractNumId w:val="8"/>
  </w:num>
  <w:num w:numId="14">
    <w:abstractNumId w:val="3"/>
  </w:num>
  <w:num w:numId="15">
    <w:abstractNumId w:val="19"/>
  </w:num>
  <w:num w:numId="16">
    <w:abstractNumId w:val="0"/>
  </w:num>
  <w:num w:numId="17">
    <w:abstractNumId w:val="7"/>
  </w:num>
  <w:num w:numId="18">
    <w:abstractNumId w:val="4"/>
  </w:num>
  <w:num w:numId="19">
    <w:abstractNumId w:val="2"/>
  </w:num>
  <w:num w:numId="20">
    <w:abstractNumId w:val="11"/>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811"/>
    <w:rsid w:val="00007A5C"/>
    <w:rsid w:val="00010544"/>
    <w:rsid w:val="00012B77"/>
    <w:rsid w:val="0001338E"/>
    <w:rsid w:val="00014A2B"/>
    <w:rsid w:val="000157BC"/>
    <w:rsid w:val="000215E9"/>
    <w:rsid w:val="000217D7"/>
    <w:rsid w:val="00024682"/>
    <w:rsid w:val="00036847"/>
    <w:rsid w:val="000401ED"/>
    <w:rsid w:val="00040E91"/>
    <w:rsid w:val="00042C75"/>
    <w:rsid w:val="00043142"/>
    <w:rsid w:val="00046C91"/>
    <w:rsid w:val="00050568"/>
    <w:rsid w:val="00056F29"/>
    <w:rsid w:val="0006389B"/>
    <w:rsid w:val="00070F59"/>
    <w:rsid w:val="00071230"/>
    <w:rsid w:val="00071298"/>
    <w:rsid w:val="00081141"/>
    <w:rsid w:val="000955AC"/>
    <w:rsid w:val="00097B16"/>
    <w:rsid w:val="000A0380"/>
    <w:rsid w:val="000B1727"/>
    <w:rsid w:val="000F2310"/>
    <w:rsid w:val="000F2A65"/>
    <w:rsid w:val="000F2CA6"/>
    <w:rsid w:val="000F2F76"/>
    <w:rsid w:val="000F7F2B"/>
    <w:rsid w:val="001047F3"/>
    <w:rsid w:val="00106191"/>
    <w:rsid w:val="00106567"/>
    <w:rsid w:val="00106601"/>
    <w:rsid w:val="00122F36"/>
    <w:rsid w:val="001240F4"/>
    <w:rsid w:val="001251A5"/>
    <w:rsid w:val="00140FC5"/>
    <w:rsid w:val="00145D17"/>
    <w:rsid w:val="0015098B"/>
    <w:rsid w:val="00154657"/>
    <w:rsid w:val="001577CB"/>
    <w:rsid w:val="00157E41"/>
    <w:rsid w:val="00171215"/>
    <w:rsid w:val="001831FD"/>
    <w:rsid w:val="0019396E"/>
    <w:rsid w:val="00195D1D"/>
    <w:rsid w:val="001A0B13"/>
    <w:rsid w:val="001A6F11"/>
    <w:rsid w:val="001B0B69"/>
    <w:rsid w:val="001D5CAD"/>
    <w:rsid w:val="001D636E"/>
    <w:rsid w:val="001D79F3"/>
    <w:rsid w:val="001E151D"/>
    <w:rsid w:val="001E67C4"/>
    <w:rsid w:val="001F11C0"/>
    <w:rsid w:val="001F2F66"/>
    <w:rsid w:val="001F4E25"/>
    <w:rsid w:val="00202B6F"/>
    <w:rsid w:val="002102AF"/>
    <w:rsid w:val="0021221E"/>
    <w:rsid w:val="0022161D"/>
    <w:rsid w:val="002301A9"/>
    <w:rsid w:val="00256B8E"/>
    <w:rsid w:val="002627B9"/>
    <w:rsid w:val="002679AA"/>
    <w:rsid w:val="00277A33"/>
    <w:rsid w:val="00280A1F"/>
    <w:rsid w:val="0028251E"/>
    <w:rsid w:val="002916A2"/>
    <w:rsid w:val="002B11B1"/>
    <w:rsid w:val="002B564A"/>
    <w:rsid w:val="002C0C20"/>
    <w:rsid w:val="002C0CEB"/>
    <w:rsid w:val="002D2A34"/>
    <w:rsid w:val="002D4CAA"/>
    <w:rsid w:val="002E6A6F"/>
    <w:rsid w:val="002F1C84"/>
    <w:rsid w:val="002F40D1"/>
    <w:rsid w:val="002F6DCA"/>
    <w:rsid w:val="00305186"/>
    <w:rsid w:val="0031217B"/>
    <w:rsid w:val="00336BE0"/>
    <w:rsid w:val="0034406B"/>
    <w:rsid w:val="00351F5F"/>
    <w:rsid w:val="003568D1"/>
    <w:rsid w:val="00362FB8"/>
    <w:rsid w:val="00366B6D"/>
    <w:rsid w:val="003777C3"/>
    <w:rsid w:val="003808FF"/>
    <w:rsid w:val="00382BAA"/>
    <w:rsid w:val="00392897"/>
    <w:rsid w:val="00392C06"/>
    <w:rsid w:val="003B28B3"/>
    <w:rsid w:val="003C4821"/>
    <w:rsid w:val="003E1A13"/>
    <w:rsid w:val="003E3BC3"/>
    <w:rsid w:val="003E69BB"/>
    <w:rsid w:val="003F1811"/>
    <w:rsid w:val="003F3D93"/>
    <w:rsid w:val="003F758D"/>
    <w:rsid w:val="0040098A"/>
    <w:rsid w:val="004046B5"/>
    <w:rsid w:val="00411ACA"/>
    <w:rsid w:val="00415004"/>
    <w:rsid w:val="004162A1"/>
    <w:rsid w:val="004217EB"/>
    <w:rsid w:val="004373E8"/>
    <w:rsid w:val="004375D7"/>
    <w:rsid w:val="0044088F"/>
    <w:rsid w:val="00444C9D"/>
    <w:rsid w:val="00447A28"/>
    <w:rsid w:val="00447AF4"/>
    <w:rsid w:val="00450B7B"/>
    <w:rsid w:val="00462B24"/>
    <w:rsid w:val="0046375F"/>
    <w:rsid w:val="0047755B"/>
    <w:rsid w:val="00477D15"/>
    <w:rsid w:val="00485C3A"/>
    <w:rsid w:val="00487B16"/>
    <w:rsid w:val="00491694"/>
    <w:rsid w:val="00493643"/>
    <w:rsid w:val="004B21BB"/>
    <w:rsid w:val="004B6E65"/>
    <w:rsid w:val="004B72E6"/>
    <w:rsid w:val="004C2182"/>
    <w:rsid w:val="004C22EE"/>
    <w:rsid w:val="004C2B3F"/>
    <w:rsid w:val="004C34C2"/>
    <w:rsid w:val="004C39AC"/>
    <w:rsid w:val="004C47AB"/>
    <w:rsid w:val="004C7FE5"/>
    <w:rsid w:val="004D3E15"/>
    <w:rsid w:val="004D431D"/>
    <w:rsid w:val="004D4552"/>
    <w:rsid w:val="004D6C9E"/>
    <w:rsid w:val="004E5293"/>
    <w:rsid w:val="00521DCA"/>
    <w:rsid w:val="005239A3"/>
    <w:rsid w:val="005242C8"/>
    <w:rsid w:val="00527135"/>
    <w:rsid w:val="0053513E"/>
    <w:rsid w:val="0053793F"/>
    <w:rsid w:val="005605A4"/>
    <w:rsid w:val="005625A4"/>
    <w:rsid w:val="00567967"/>
    <w:rsid w:val="005719A0"/>
    <w:rsid w:val="00573336"/>
    <w:rsid w:val="00577C1F"/>
    <w:rsid w:val="00585558"/>
    <w:rsid w:val="0059163C"/>
    <w:rsid w:val="005A17FA"/>
    <w:rsid w:val="005A2A79"/>
    <w:rsid w:val="005C4064"/>
    <w:rsid w:val="005D17F2"/>
    <w:rsid w:val="005D20AB"/>
    <w:rsid w:val="005D46AC"/>
    <w:rsid w:val="005E0F20"/>
    <w:rsid w:val="005E23DF"/>
    <w:rsid w:val="005E386B"/>
    <w:rsid w:val="005E4D9C"/>
    <w:rsid w:val="005E6C1D"/>
    <w:rsid w:val="005E7471"/>
    <w:rsid w:val="005F2928"/>
    <w:rsid w:val="005F38DC"/>
    <w:rsid w:val="005F4AFB"/>
    <w:rsid w:val="005F6186"/>
    <w:rsid w:val="006000E0"/>
    <w:rsid w:val="006063EB"/>
    <w:rsid w:val="00620445"/>
    <w:rsid w:val="006205E7"/>
    <w:rsid w:val="00620D0B"/>
    <w:rsid w:val="0063307B"/>
    <w:rsid w:val="00645499"/>
    <w:rsid w:val="00645D97"/>
    <w:rsid w:val="00653716"/>
    <w:rsid w:val="0065771D"/>
    <w:rsid w:val="0066015C"/>
    <w:rsid w:val="00662DCB"/>
    <w:rsid w:val="00662DF3"/>
    <w:rsid w:val="00675CF8"/>
    <w:rsid w:val="00681062"/>
    <w:rsid w:val="00681985"/>
    <w:rsid w:val="006863BB"/>
    <w:rsid w:val="006A16E4"/>
    <w:rsid w:val="006A3860"/>
    <w:rsid w:val="006A6D3F"/>
    <w:rsid w:val="006B79BA"/>
    <w:rsid w:val="006C4A64"/>
    <w:rsid w:val="006D0B0B"/>
    <w:rsid w:val="006D5213"/>
    <w:rsid w:val="006D6597"/>
    <w:rsid w:val="006E4B6F"/>
    <w:rsid w:val="006F4258"/>
    <w:rsid w:val="006F758E"/>
    <w:rsid w:val="006F760E"/>
    <w:rsid w:val="00703CF1"/>
    <w:rsid w:val="0070533C"/>
    <w:rsid w:val="007120C4"/>
    <w:rsid w:val="007206E9"/>
    <w:rsid w:val="00722CF7"/>
    <w:rsid w:val="00726604"/>
    <w:rsid w:val="00730D0E"/>
    <w:rsid w:val="007324A1"/>
    <w:rsid w:val="00737355"/>
    <w:rsid w:val="0074040B"/>
    <w:rsid w:val="007466EB"/>
    <w:rsid w:val="007528D4"/>
    <w:rsid w:val="0076346A"/>
    <w:rsid w:val="0076601C"/>
    <w:rsid w:val="00774EDD"/>
    <w:rsid w:val="007A15DD"/>
    <w:rsid w:val="007A3B12"/>
    <w:rsid w:val="007B4455"/>
    <w:rsid w:val="007C0186"/>
    <w:rsid w:val="007D5A81"/>
    <w:rsid w:val="007D67CC"/>
    <w:rsid w:val="007F10EF"/>
    <w:rsid w:val="007F57B3"/>
    <w:rsid w:val="007F5CB3"/>
    <w:rsid w:val="0080470D"/>
    <w:rsid w:val="008053AD"/>
    <w:rsid w:val="008066D2"/>
    <w:rsid w:val="00811F18"/>
    <w:rsid w:val="0082333D"/>
    <w:rsid w:val="008314AD"/>
    <w:rsid w:val="0083686D"/>
    <w:rsid w:val="00837BBE"/>
    <w:rsid w:val="00842C0B"/>
    <w:rsid w:val="0085008B"/>
    <w:rsid w:val="00852767"/>
    <w:rsid w:val="00863959"/>
    <w:rsid w:val="00867EF1"/>
    <w:rsid w:val="00870897"/>
    <w:rsid w:val="008743DC"/>
    <w:rsid w:val="0088372A"/>
    <w:rsid w:val="008872CE"/>
    <w:rsid w:val="008A5E9A"/>
    <w:rsid w:val="008A77CD"/>
    <w:rsid w:val="008B511D"/>
    <w:rsid w:val="008C10BE"/>
    <w:rsid w:val="008C1ADF"/>
    <w:rsid w:val="008D20B9"/>
    <w:rsid w:val="008D6DE8"/>
    <w:rsid w:val="008E6C16"/>
    <w:rsid w:val="008F2636"/>
    <w:rsid w:val="008F3A50"/>
    <w:rsid w:val="009065BC"/>
    <w:rsid w:val="00911B3A"/>
    <w:rsid w:val="0091432E"/>
    <w:rsid w:val="0091555F"/>
    <w:rsid w:val="00950887"/>
    <w:rsid w:val="00966D12"/>
    <w:rsid w:val="00973C15"/>
    <w:rsid w:val="00983562"/>
    <w:rsid w:val="009846B3"/>
    <w:rsid w:val="00990C7C"/>
    <w:rsid w:val="009A631C"/>
    <w:rsid w:val="009A6F17"/>
    <w:rsid w:val="009B25FD"/>
    <w:rsid w:val="009B349B"/>
    <w:rsid w:val="009B6157"/>
    <w:rsid w:val="009C27F1"/>
    <w:rsid w:val="009F053E"/>
    <w:rsid w:val="009F07F2"/>
    <w:rsid w:val="00A014FB"/>
    <w:rsid w:val="00A11E39"/>
    <w:rsid w:val="00A152E2"/>
    <w:rsid w:val="00A24A27"/>
    <w:rsid w:val="00A334CC"/>
    <w:rsid w:val="00A36A70"/>
    <w:rsid w:val="00A436E0"/>
    <w:rsid w:val="00A62B07"/>
    <w:rsid w:val="00A64A66"/>
    <w:rsid w:val="00A7008D"/>
    <w:rsid w:val="00A75F98"/>
    <w:rsid w:val="00A77B81"/>
    <w:rsid w:val="00A85C47"/>
    <w:rsid w:val="00A92253"/>
    <w:rsid w:val="00A929F2"/>
    <w:rsid w:val="00A96A67"/>
    <w:rsid w:val="00A96D39"/>
    <w:rsid w:val="00AA5F05"/>
    <w:rsid w:val="00AB1EC9"/>
    <w:rsid w:val="00AD6BE7"/>
    <w:rsid w:val="00AF7FD1"/>
    <w:rsid w:val="00B016C3"/>
    <w:rsid w:val="00B06746"/>
    <w:rsid w:val="00B12DA5"/>
    <w:rsid w:val="00B14EB3"/>
    <w:rsid w:val="00B316CD"/>
    <w:rsid w:val="00B31C1B"/>
    <w:rsid w:val="00B32ADF"/>
    <w:rsid w:val="00B358D4"/>
    <w:rsid w:val="00B4466C"/>
    <w:rsid w:val="00B620A2"/>
    <w:rsid w:val="00B73BB3"/>
    <w:rsid w:val="00B76013"/>
    <w:rsid w:val="00B8497D"/>
    <w:rsid w:val="00B850BE"/>
    <w:rsid w:val="00B91218"/>
    <w:rsid w:val="00B937DA"/>
    <w:rsid w:val="00BA2221"/>
    <w:rsid w:val="00BA43E5"/>
    <w:rsid w:val="00BB2383"/>
    <w:rsid w:val="00BB52C7"/>
    <w:rsid w:val="00BC06A4"/>
    <w:rsid w:val="00BC1EF2"/>
    <w:rsid w:val="00BC4C00"/>
    <w:rsid w:val="00BD2238"/>
    <w:rsid w:val="00BE1296"/>
    <w:rsid w:val="00BE1444"/>
    <w:rsid w:val="00BF642A"/>
    <w:rsid w:val="00BF71E7"/>
    <w:rsid w:val="00C23FBD"/>
    <w:rsid w:val="00C26E0E"/>
    <w:rsid w:val="00C320FE"/>
    <w:rsid w:val="00C34355"/>
    <w:rsid w:val="00C353C2"/>
    <w:rsid w:val="00C44AE0"/>
    <w:rsid w:val="00C47F34"/>
    <w:rsid w:val="00C62C12"/>
    <w:rsid w:val="00C62D82"/>
    <w:rsid w:val="00C723D9"/>
    <w:rsid w:val="00C74BF4"/>
    <w:rsid w:val="00C75A5C"/>
    <w:rsid w:val="00C95ADC"/>
    <w:rsid w:val="00CA1DD9"/>
    <w:rsid w:val="00CA4AE1"/>
    <w:rsid w:val="00CA684E"/>
    <w:rsid w:val="00CB4008"/>
    <w:rsid w:val="00CB7AD3"/>
    <w:rsid w:val="00CC4136"/>
    <w:rsid w:val="00CD14B7"/>
    <w:rsid w:val="00CD15D3"/>
    <w:rsid w:val="00CD2A94"/>
    <w:rsid w:val="00CD2F38"/>
    <w:rsid w:val="00CD4930"/>
    <w:rsid w:val="00CE0341"/>
    <w:rsid w:val="00CE2EFA"/>
    <w:rsid w:val="00CE7D5D"/>
    <w:rsid w:val="00D0784E"/>
    <w:rsid w:val="00D113A5"/>
    <w:rsid w:val="00D1453E"/>
    <w:rsid w:val="00D150C5"/>
    <w:rsid w:val="00D22F22"/>
    <w:rsid w:val="00D279F2"/>
    <w:rsid w:val="00D27CF5"/>
    <w:rsid w:val="00D32378"/>
    <w:rsid w:val="00D377E2"/>
    <w:rsid w:val="00D416F8"/>
    <w:rsid w:val="00D42F6E"/>
    <w:rsid w:val="00D4419B"/>
    <w:rsid w:val="00D468A0"/>
    <w:rsid w:val="00D51767"/>
    <w:rsid w:val="00D543FC"/>
    <w:rsid w:val="00D620AE"/>
    <w:rsid w:val="00D643C3"/>
    <w:rsid w:val="00D66442"/>
    <w:rsid w:val="00D83C58"/>
    <w:rsid w:val="00D90766"/>
    <w:rsid w:val="00DA7E83"/>
    <w:rsid w:val="00DB239F"/>
    <w:rsid w:val="00DC2F07"/>
    <w:rsid w:val="00DC55BB"/>
    <w:rsid w:val="00DD4F5C"/>
    <w:rsid w:val="00DE1D27"/>
    <w:rsid w:val="00DF123F"/>
    <w:rsid w:val="00DF57DD"/>
    <w:rsid w:val="00DF7DAF"/>
    <w:rsid w:val="00E060C2"/>
    <w:rsid w:val="00E24180"/>
    <w:rsid w:val="00E25C38"/>
    <w:rsid w:val="00E27117"/>
    <w:rsid w:val="00E37E48"/>
    <w:rsid w:val="00E40707"/>
    <w:rsid w:val="00E44395"/>
    <w:rsid w:val="00E45025"/>
    <w:rsid w:val="00E46968"/>
    <w:rsid w:val="00E52078"/>
    <w:rsid w:val="00E671FA"/>
    <w:rsid w:val="00E700DA"/>
    <w:rsid w:val="00E73197"/>
    <w:rsid w:val="00E74085"/>
    <w:rsid w:val="00E74956"/>
    <w:rsid w:val="00E86CCA"/>
    <w:rsid w:val="00E92076"/>
    <w:rsid w:val="00E932FD"/>
    <w:rsid w:val="00E97A9C"/>
    <w:rsid w:val="00EA0F1B"/>
    <w:rsid w:val="00EA5DC2"/>
    <w:rsid w:val="00EB254F"/>
    <w:rsid w:val="00EC6F6C"/>
    <w:rsid w:val="00ED6971"/>
    <w:rsid w:val="00EF2148"/>
    <w:rsid w:val="00EF7E70"/>
    <w:rsid w:val="00F00C52"/>
    <w:rsid w:val="00F03CA8"/>
    <w:rsid w:val="00F046BA"/>
    <w:rsid w:val="00F06819"/>
    <w:rsid w:val="00F07CB2"/>
    <w:rsid w:val="00F12772"/>
    <w:rsid w:val="00F15772"/>
    <w:rsid w:val="00F17C0E"/>
    <w:rsid w:val="00F2079E"/>
    <w:rsid w:val="00F234E3"/>
    <w:rsid w:val="00F431AA"/>
    <w:rsid w:val="00F526D0"/>
    <w:rsid w:val="00F5407E"/>
    <w:rsid w:val="00F636F9"/>
    <w:rsid w:val="00F701FA"/>
    <w:rsid w:val="00F77110"/>
    <w:rsid w:val="00F83392"/>
    <w:rsid w:val="00F83BA5"/>
    <w:rsid w:val="00FA0D68"/>
    <w:rsid w:val="00FA62B0"/>
    <w:rsid w:val="00FB7C57"/>
    <w:rsid w:val="00FC2EF5"/>
    <w:rsid w:val="00FC3E60"/>
    <w:rsid w:val="00FC46BF"/>
    <w:rsid w:val="00FC518D"/>
    <w:rsid w:val="00FC7A13"/>
    <w:rsid w:val="00FD1CAF"/>
    <w:rsid w:val="00FD1F75"/>
    <w:rsid w:val="00FD730F"/>
    <w:rsid w:val="00FE20AD"/>
    <w:rsid w:val="00FE24D2"/>
    <w:rsid w:val="00FE59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rFonts w:eastAsia="Arial Unicode MS"/>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rPr>
      <w:sz w:val="32"/>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TextpoznmkypodiarouChar"/>
    <w:uiPriority w:val="99"/>
    <w:semiHidden/>
    <w:pPr>
      <w:spacing w:before="40"/>
      <w:jc w:val="both"/>
    </w:pPr>
    <w:rPr>
      <w:sz w:val="20"/>
      <w:szCs w:val="20"/>
    </w:rPr>
  </w:style>
  <w:style w:type="paragraph" w:customStyle="1" w:styleId="AONormal">
    <w:name w:val="AONormal"/>
    <w:pPr>
      <w:spacing w:line="260" w:lineRule="atLeast"/>
    </w:pPr>
    <w:rPr>
      <w:sz w:val="22"/>
      <w:lang w:val="sk-SK" w:eastAsia="sk-SK" w:bidi="ar-SA"/>
    </w:rPr>
  </w:style>
  <w:style w:type="paragraph" w:customStyle="1" w:styleId="AODocTxt">
    <w:name w:val="AODocTxt"/>
    <w:basedOn w:val="Normal"/>
    <w:pPr>
      <w:numPr>
        <w:ilvl w:val="0"/>
        <w:numId w:val="2"/>
      </w:numPr>
      <w:spacing w:before="240" w:line="260" w:lineRule="atLeast"/>
      <w:jc w:val="both"/>
    </w:pPr>
    <w:rPr>
      <w:sz w:val="22"/>
      <w:szCs w:val="20"/>
    </w:rPr>
  </w:style>
  <w:style w:type="paragraph" w:customStyle="1" w:styleId="AODocTxtL1">
    <w:name w:val="AODocTxtL1"/>
    <w:basedOn w:val="AODocTxt"/>
    <w:pPr>
      <w:numPr>
        <w:ilvl w:val="1"/>
        <w:numId w:val="2"/>
      </w:numPr>
      <w:tabs>
        <w:tab w:val="num" w:pos="1080"/>
      </w:tabs>
      <w:ind w:left="1080" w:hanging="360"/>
    </w:pPr>
  </w:style>
  <w:style w:type="paragraph" w:customStyle="1" w:styleId="AODocTxtL2">
    <w:name w:val="AODocTxtL2"/>
    <w:basedOn w:val="AODocTxt"/>
    <w:pPr>
      <w:numPr>
        <w:ilvl w:val="2"/>
        <w:numId w:val="2"/>
      </w:numPr>
      <w:tabs>
        <w:tab w:val="num" w:pos="1800"/>
      </w:tabs>
      <w:ind w:left="1800" w:hanging="180"/>
    </w:pPr>
  </w:style>
  <w:style w:type="paragraph" w:customStyle="1" w:styleId="AODocTxtL3">
    <w:name w:val="AODocTxtL3"/>
    <w:basedOn w:val="AODocTxt"/>
    <w:pPr>
      <w:numPr>
        <w:ilvl w:val="3"/>
        <w:numId w:val="2"/>
      </w:numPr>
      <w:tabs>
        <w:tab w:val="num" w:pos="2520"/>
      </w:tabs>
      <w:ind w:left="2520" w:hanging="360"/>
    </w:pPr>
  </w:style>
  <w:style w:type="paragraph" w:customStyle="1" w:styleId="AODocTxtL4">
    <w:name w:val="AODocTxtL4"/>
    <w:basedOn w:val="AODocTxt"/>
    <w:pPr>
      <w:numPr>
        <w:ilvl w:val="4"/>
        <w:numId w:val="2"/>
      </w:numPr>
      <w:tabs>
        <w:tab w:val="num" w:pos="3240"/>
      </w:tabs>
      <w:ind w:left="3240" w:hanging="360"/>
    </w:pPr>
  </w:style>
  <w:style w:type="paragraph" w:customStyle="1" w:styleId="AODocTxtL5">
    <w:name w:val="AODocTxtL5"/>
    <w:basedOn w:val="AODocTxt"/>
    <w:pPr>
      <w:numPr>
        <w:ilvl w:val="5"/>
        <w:numId w:val="2"/>
      </w:numPr>
      <w:tabs>
        <w:tab w:val="num" w:pos="3960"/>
      </w:tabs>
      <w:ind w:left="3960" w:hanging="180"/>
    </w:pPr>
  </w:style>
  <w:style w:type="paragraph" w:customStyle="1" w:styleId="AODocTxtL6">
    <w:name w:val="AODocTxtL6"/>
    <w:basedOn w:val="AODocTxt"/>
    <w:pPr>
      <w:numPr>
        <w:ilvl w:val="6"/>
        <w:numId w:val="2"/>
      </w:numPr>
      <w:tabs>
        <w:tab w:val="num" w:pos="4680"/>
      </w:tabs>
      <w:ind w:left="4680" w:hanging="360"/>
    </w:pPr>
  </w:style>
  <w:style w:type="paragraph" w:customStyle="1" w:styleId="AODocTxtL7">
    <w:name w:val="AODocTxtL7"/>
    <w:basedOn w:val="AODocTxt"/>
    <w:pPr>
      <w:numPr>
        <w:ilvl w:val="7"/>
        <w:numId w:val="2"/>
      </w:numPr>
      <w:tabs>
        <w:tab w:val="num" w:pos="5400"/>
      </w:tabs>
      <w:ind w:left="5400" w:hanging="360"/>
    </w:pPr>
  </w:style>
  <w:style w:type="paragraph" w:customStyle="1" w:styleId="AODocTxtL8">
    <w:name w:val="AODocTxtL8"/>
    <w:basedOn w:val="AODocTxt"/>
    <w:pPr>
      <w:numPr>
        <w:ilvl w:val="8"/>
        <w:numId w:val="2"/>
      </w:numPr>
      <w:tabs>
        <w:tab w:val="num" w:pos="6120"/>
      </w:tabs>
      <w:ind w:left="6120" w:hanging="180"/>
    </w:p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rsid w:val="00487B16"/>
    <w:pPr>
      <w:tabs>
        <w:tab w:val="center" w:pos="4536"/>
        <w:tab w:val="right" w:pos="9072"/>
      </w:tabs>
    </w:pPr>
    <w:rPr>
      <w:lang w:eastAsia="cs-CZ"/>
    </w:rPr>
  </w:style>
  <w:style w:type="paragraph" w:customStyle="1" w:styleId="NormalWeb">
    <w:name w:val="Normal (Web)"/>
    <w:basedOn w:val="Normal"/>
    <w:rsid w:val="00487B16"/>
    <w:pPr>
      <w:spacing w:before="100" w:beforeAutospacing="1" w:after="100" w:afterAutospacing="1"/>
    </w:pPr>
    <w:rPr>
      <w:rFonts w:ascii="Arial Unicode MS" w:eastAsia="Arial Unicode MS" w:hAnsi="Arial Unicode MS" w:cs="Arial Unicode MS"/>
    </w:rPr>
  </w:style>
  <w:style w:type="character" w:customStyle="1" w:styleId="tw4winMark">
    <w:name w:val="tw4winMark"/>
    <w:rsid w:val="00487B16"/>
    <w:rPr>
      <w:rFonts w:ascii="Courier New" w:hAnsi="Courier New" w:cs="Courier New" w:hint="default"/>
      <w:vanish/>
      <w:color w:val="800080"/>
      <w:sz w:val="24"/>
      <w:vertAlign w:val="subscript"/>
      <w:specVanish w:val="0"/>
    </w:rPr>
  </w:style>
  <w:style w:type="character" w:styleId="LineNumber">
    <w:name w:val="line number"/>
    <w:basedOn w:val="DefaultParagraphFont"/>
    <w:rsid w:val="005D46AC"/>
  </w:style>
  <w:style w:type="paragraph" w:styleId="NormalWeb0">
    <w:name w:val="Normal (Web)"/>
    <w:basedOn w:val="Normal"/>
    <w:rsid w:val="00106191"/>
    <w:pPr>
      <w:spacing w:before="100" w:beforeAutospacing="1" w:after="100" w:afterAutospacing="1"/>
    </w:pPr>
  </w:style>
  <w:style w:type="paragraph" w:styleId="ListParagraph">
    <w:name w:val="List Paragraph"/>
    <w:basedOn w:val="Normal"/>
    <w:uiPriority w:val="34"/>
    <w:qFormat/>
    <w:rsid w:val="00106191"/>
    <w:pPr>
      <w:ind w:left="720"/>
      <w:contextualSpacing/>
    </w:pPr>
  </w:style>
  <w:style w:type="paragraph" w:styleId="BalloonText">
    <w:name w:val="Balloon Text"/>
    <w:basedOn w:val="Normal"/>
    <w:semiHidden/>
    <w:rsid w:val="000955AC"/>
    <w:rPr>
      <w:rFonts w:ascii="Tahoma" w:hAnsi="Tahoma" w:cs="Tahoma"/>
      <w:sz w:val="16"/>
      <w:szCs w:val="16"/>
    </w:rPr>
  </w:style>
  <w:style w:type="character" w:customStyle="1" w:styleId="PlaceholderText">
    <w:name w:val="Placeholder Text"/>
    <w:semiHidden/>
    <w:rsid w:val="00D113A5"/>
    <w:rPr>
      <w:rFonts w:ascii="Times New Roman" w:hAnsi="Times New Roman" w:cs="Times New Roman" w:hint="default"/>
      <w:color w:val="808080"/>
    </w:rPr>
  </w:style>
  <w:style w:type="paragraph" w:customStyle="1" w:styleId="msolistparagraph">
    <w:name w:val="msolistparagraph"/>
    <w:basedOn w:val="Normal"/>
    <w:rsid w:val="00AD6BE7"/>
    <w:pPr>
      <w:ind w:left="720"/>
    </w:pPr>
    <w:rPr>
      <w:rFonts w:ascii="Calibri" w:eastAsia="Calibri" w:hAnsi="Calibri"/>
      <w:sz w:val="22"/>
      <w:szCs w:val="22"/>
    </w:rPr>
  </w:style>
  <w:style w:type="paragraph" w:customStyle="1" w:styleId="ListParagraph0">
    <w:name w:val="List Paragraph"/>
    <w:basedOn w:val="Normal"/>
    <w:rsid w:val="00E92076"/>
    <w:pPr>
      <w:ind w:left="708"/>
    </w:pPr>
    <w:rPr>
      <w:noProof/>
    </w:rPr>
  </w:style>
  <w:style w:type="paragraph" w:customStyle="1" w:styleId="Default">
    <w:name w:val="Default"/>
    <w:rsid w:val="00A36A70"/>
    <w:pPr>
      <w:autoSpaceDE w:val="0"/>
      <w:autoSpaceDN w:val="0"/>
      <w:adjustRightInd w:val="0"/>
    </w:pPr>
    <w:rPr>
      <w:color w:val="000000"/>
      <w:sz w:val="24"/>
      <w:szCs w:val="24"/>
      <w:lang w:val="sk-SK" w:eastAsia="sk-SK" w:bidi="ar-SA"/>
    </w:rPr>
  </w:style>
  <w:style w:type="character" w:styleId="Emphasis">
    <w:name w:val="Emphasis"/>
    <w:uiPriority w:val="20"/>
    <w:qFormat/>
    <w:rsid w:val="004C39AC"/>
    <w:rPr>
      <w:rFonts w:cs="Times New Roman"/>
      <w:i/>
      <w:iCs/>
    </w:rPr>
  </w:style>
  <w:style w:type="character" w:styleId="PageNumber">
    <w:name w:val="page number"/>
    <w:basedOn w:val="DefaultParagraphFont"/>
    <w:rsid w:val="00B12DA5"/>
  </w:style>
  <w:style w:type="character" w:styleId="PlaceholderText0">
    <w:name w:val="Placeholder Text"/>
    <w:semiHidden/>
    <w:rsid w:val="004B72E6"/>
    <w:rPr>
      <w:rFonts w:ascii="Times New Roman" w:hAnsi="Times New Roman"/>
      <w:color w:val="80808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TextpoznmkypodiarouChar">
    <w:name w:val="Text poznámky pod čiarou Char"/>
    <w:link w:val="FootnoteText"/>
    <w:uiPriority w:val="99"/>
    <w:semiHidden/>
    <w:locked/>
    <w:rsid w:val="002916A2"/>
  </w:style>
  <w:style w:type="character" w:customStyle="1" w:styleId="ppp-input-value1">
    <w:name w:val="ppp-input-value1"/>
    <w:rsid w:val="001251A5"/>
    <w:rPr>
      <w:rFonts w:ascii="Tahoma" w:hAnsi="Tahoma"/>
      <w:color w:val="837A73"/>
      <w:sz w:val="16"/>
    </w:rPr>
  </w:style>
  <w:style w:type="paragraph" w:styleId="NoSpacing">
    <w:name w:val="No Spacing"/>
    <w:qFormat/>
    <w:rsid w:val="004162A1"/>
    <w:rPr>
      <w:rFonts w:ascii="Calibri" w:eastAsia="Calibri" w:hAnsi="Calibri"/>
      <w:sz w:val="22"/>
      <w:szCs w:val="22"/>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9EC35-9552-4834-9DBC-A30EDCDD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1731</Words>
  <Characters>9872</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Výbor</vt:lpstr>
    </vt:vector>
  </TitlesOfParts>
  <Company>Kancelaria NR SR</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13</cp:revision>
  <cp:lastPrinted>2012-11-15T09:41:00Z</cp:lastPrinted>
  <dcterms:created xsi:type="dcterms:W3CDTF">2013-10-17T10:11:00Z</dcterms:created>
  <dcterms:modified xsi:type="dcterms:W3CDTF">2013-11-13T12:51:00Z</dcterms:modified>
</cp:coreProperties>
</file>