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B024D">
      <w:pPr>
        <w:ind w:left="4248"/>
        <w:jc w:val="right"/>
        <w:rPr>
          <w:sz w:val="28"/>
        </w:rPr>
      </w:pPr>
    </w:p>
    <w:p w:rsidR="009B024D">
      <w:pPr>
        <w:ind w:left="4248"/>
        <w:jc w:val="right"/>
        <w:rPr>
          <w:sz w:val="28"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200775">
        <w:t>3</w:t>
      </w:r>
      <w:r w:rsidR="005D0B03">
        <w:t>9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843997">
        <w:t>1604</w:t>
      </w:r>
      <w:r w:rsidRPr="00053FB9" w:rsidR="003371B9">
        <w:t>/</w:t>
      </w:r>
      <w:r w:rsidR="00053FB9">
        <w:t>201</w:t>
      </w:r>
      <w:r w:rsidR="00AC2960">
        <w:t>3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9B024D" w:rsidP="00067F0B">
      <w:pPr>
        <w:ind w:left="3540" w:firstLine="708"/>
        <w:rPr>
          <w:b/>
        </w:rPr>
      </w:pPr>
      <w:r w:rsidR="00B02964">
        <w:rPr>
          <w:b/>
        </w:rPr>
        <w:t xml:space="preserve">         260</w:t>
      </w:r>
    </w:p>
    <w:p w:rsidR="00EC5F3F" w:rsidP="00FA5B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</w:t>
      </w:r>
    </w:p>
    <w:p w:rsidR="00EC5F3F" w:rsidP="00FA5B31">
      <w:pPr>
        <w:ind w:right="-567"/>
        <w:jc w:val="center"/>
        <w:rPr>
          <w:b/>
        </w:rPr>
      </w:pPr>
    </w:p>
    <w:p w:rsidR="008458BA" w:rsidP="00FA5B31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5D0B03">
        <w:rPr>
          <w:b/>
        </w:rPr>
        <w:t>12</w:t>
      </w:r>
      <w:r w:rsidR="00C72FBD">
        <w:rPr>
          <w:b/>
        </w:rPr>
        <w:t xml:space="preserve">. </w:t>
      </w:r>
      <w:r w:rsidR="005D0B03">
        <w:rPr>
          <w:b/>
        </w:rPr>
        <w:t>novembra</w:t>
      </w:r>
      <w:r w:rsidR="00830899">
        <w:rPr>
          <w:b/>
        </w:rPr>
        <w:t xml:space="preserve"> 201</w:t>
      </w:r>
      <w:r w:rsidR="00AC2960">
        <w:rPr>
          <w:b/>
        </w:rPr>
        <w:t>3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4D0847">
      <w:pPr>
        <w:shd w:val="clear" w:color="auto" w:fill="FFFFFF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843997" w:rsidR="00843997">
        <w:rPr>
          <w:bCs w:val="0"/>
        </w:rPr>
        <w:t xml:space="preserve"> </w:t>
      </w:r>
      <w:r w:rsidR="004D0847">
        <w:rPr>
          <w:bCs w:val="0"/>
        </w:rPr>
        <w:t>v</w:t>
      </w:r>
      <w:r w:rsidRPr="004D0847" w:rsidR="004D0847">
        <w:rPr>
          <w:bCs w:val="0"/>
        </w:rPr>
        <w:t>ládny návrh zákona, ktorým sa mení a dopĺňa zákon č. 563/2009 Z. z. o správe daní (daňový poriadok) a o zmene a doplnení niektorých zákonov v znení neskorších predpisov a ktorým sa menia a dopĺňajú niektoré zákony (tlač 610)</w:t>
      </w:r>
      <w:r w:rsidR="004D0847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B024D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B024D" w:rsidP="009B024D">
      <w:pPr>
        <w:pStyle w:val="BodyText"/>
        <w:spacing w:after="0"/>
        <w:jc w:val="both"/>
      </w:pPr>
    </w:p>
    <w:p w:rsidR="004D397F" w:rsidRPr="00D64717" w:rsidP="009B024D">
      <w:pPr>
        <w:pStyle w:val="BodyText"/>
        <w:spacing w:after="0"/>
        <w:ind w:firstLine="567"/>
        <w:jc w:val="both"/>
      </w:pPr>
      <w:r w:rsidR="00321A20">
        <w:t>s</w:t>
      </w:r>
      <w:r w:rsidRPr="00A73ECD" w:rsidR="00B614DE">
        <w:t> </w:t>
      </w:r>
      <w:r w:rsidRPr="005458EF" w:rsidR="00843997">
        <w:t xml:space="preserve"> </w:t>
      </w:r>
      <w:r w:rsidR="004D0847">
        <w:rPr>
          <w:bCs w:val="0"/>
        </w:rPr>
        <w:t>v</w:t>
      </w:r>
      <w:r w:rsidRPr="004D0847" w:rsidR="004D0847">
        <w:rPr>
          <w:bCs w:val="0"/>
        </w:rPr>
        <w:t>ládny</w:t>
      </w:r>
      <w:r w:rsidR="004D0847">
        <w:rPr>
          <w:bCs w:val="0"/>
        </w:rPr>
        <w:t>m</w:t>
      </w:r>
      <w:r w:rsidRPr="004D0847" w:rsidR="004D0847">
        <w:rPr>
          <w:bCs w:val="0"/>
        </w:rPr>
        <w:t xml:space="preserve"> návrh</w:t>
      </w:r>
      <w:r w:rsidR="004D0847">
        <w:rPr>
          <w:bCs w:val="0"/>
        </w:rPr>
        <w:t>om</w:t>
      </w:r>
      <w:r w:rsidRPr="004D0847" w:rsidR="004D0847">
        <w:rPr>
          <w:bCs w:val="0"/>
        </w:rPr>
        <w:t xml:space="preserve"> zákona, ktorým sa mení a dopĺňa zákon č. 563/2009 Z. z. o správe daní (daňový poriadok) a o zmene a doplnení niektorých zákonov v znení neskorších predpisov a ktorým sa menia a dopĺňajú niektoré zákony (tlač 610)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9B024D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9B024D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9B024D">
      <w:pPr>
        <w:pStyle w:val="Heading1"/>
        <w:ind w:left="0" w:firstLine="567"/>
        <w:jc w:val="both"/>
      </w:pPr>
      <w:r w:rsidRPr="004D0847" w:rsidR="004D0847">
        <w:rPr>
          <w:b w:val="0"/>
          <w:bCs w:val="0"/>
        </w:rPr>
        <w:t>vládny návrh zákona, ktorým sa mení a dopĺňa zákon č. 563/2009 Z. z. o správe daní (daňový poriadok) a o zmene a doplnení niektorých zákonov v znení neskorších predpisov a ktorým sa menia a dopĺňajú niektoré zákony (tlač 610)</w:t>
      </w:r>
      <w:r w:rsidR="004D0847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FA5B31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067F0B" w:rsidP="009B024D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9B024D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8F400F">
      <w:pPr>
        <w:ind w:firstLine="567"/>
        <w:jc w:val="both"/>
      </w:pPr>
      <w:r w:rsidRPr="00B1559A" w:rsidR="004D0847">
        <w:t>informovať predsedu Národnej</w:t>
      </w:r>
      <w:r w:rsidR="004D0847">
        <w:t xml:space="preserve"> </w:t>
      </w:r>
      <w:r w:rsidRPr="00B1559A" w:rsidR="004D0847">
        <w:t>rady Slovens</w:t>
      </w:r>
      <w:r w:rsidRPr="00B1559A" w:rsidR="004D0847">
        <w:t>kej republiky o výsledku  prerokovania uvedeného</w:t>
      </w:r>
      <w:r w:rsidR="004D0847">
        <w:t xml:space="preserve"> vládneho </w:t>
      </w:r>
      <w:r w:rsidRPr="00B1559A" w:rsidR="004D0847">
        <w:t>návrhu vo výbore</w:t>
      </w:r>
      <w:r w:rsidR="004D0847">
        <w:t>.</w:t>
      </w: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1926CE" w:rsidP="00C739C2"/>
    <w:p w:rsidR="00FA5B31" w:rsidP="00C739C2"/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200775" w:rsidP="0052115B">
      <w:pPr>
        <w:ind w:left="5664" w:firstLine="708"/>
      </w:pP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200775" w:rsidRPr="00BD7172" w:rsidP="00595842">
      <w:pPr>
        <w:jc w:val="both"/>
        <w:rPr>
          <w:b/>
        </w:rPr>
      </w:pPr>
      <w:r>
        <w:rPr>
          <w:b/>
        </w:rPr>
        <w:t xml:space="preserve">     Ivan Švejna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576DE1"/>
    <w:p w:rsidR="00AC2960"/>
    <w:p w:rsidR="00B02964" w:rsidP="000D14F9">
      <w:pPr>
        <w:pStyle w:val="Heading4"/>
        <w:widowControl w:val="0"/>
        <w:rPr>
          <w:rFonts w:ascii="AT*Zurich Calligraphic" w:hAnsi="AT*Zurich Calligraphic"/>
        </w:rPr>
      </w:pPr>
    </w:p>
    <w:p w:rsidR="00B02964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65532A">
        <w:rPr>
          <w:b/>
        </w:rPr>
        <w:t xml:space="preserve"> </w:t>
      </w:r>
      <w:r w:rsidR="00B02964">
        <w:rPr>
          <w:b/>
        </w:rPr>
        <w:t>260</w:t>
      </w:r>
    </w:p>
    <w:p w:rsidR="000D14F9" w:rsidRPr="003371B9" w:rsidP="000D14F9">
      <w:pPr>
        <w:jc w:val="right"/>
      </w:pPr>
      <w:r w:rsidR="005D0B03">
        <w:rPr>
          <w:bCs w:val="0"/>
        </w:rPr>
        <w:t>39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5458EF" w:rsidR="00843997">
        <w:t xml:space="preserve"> </w:t>
      </w:r>
      <w:r w:rsidR="004D0847">
        <w:rPr>
          <w:bCs w:val="0"/>
        </w:rPr>
        <w:t>v</w:t>
      </w:r>
      <w:r w:rsidRPr="004D0847" w:rsidR="004D0847">
        <w:rPr>
          <w:bCs w:val="0"/>
        </w:rPr>
        <w:t>ládn</w:t>
      </w:r>
      <w:r w:rsidR="004D0847">
        <w:rPr>
          <w:bCs w:val="0"/>
        </w:rPr>
        <w:t>emu</w:t>
      </w:r>
      <w:r w:rsidRPr="004D0847" w:rsidR="004D0847">
        <w:rPr>
          <w:bCs w:val="0"/>
        </w:rPr>
        <w:t xml:space="preserve"> návrh</w:t>
      </w:r>
      <w:r w:rsidR="004D0847">
        <w:rPr>
          <w:bCs w:val="0"/>
        </w:rPr>
        <w:t>u</w:t>
      </w:r>
      <w:r w:rsidRPr="004D0847" w:rsidR="004D0847">
        <w:rPr>
          <w:bCs w:val="0"/>
        </w:rPr>
        <w:t xml:space="preserve"> zákona, ktorým sa mení a dopĺňa zákon č. 563/2009 Z. z. o správe daní (daňový poriadok) a o zmene a doplnení niektorých zákonov v znení neskorších predpisov a ktorým sa menia a dopĺňajú niektoré zákony (tlač 610)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>––––––––––––––––––––––––––––––––––––––––––––––––––––––––––––––––––––––––––––</w:t>
      </w:r>
      <w:r>
        <w:rPr>
          <w:b/>
          <w:bCs w:val="0"/>
        </w:rPr>
        <w:t xml:space="preserve">––  </w:t>
      </w:r>
    </w:p>
    <w:p w:rsidR="004D50E3" w:rsidP="00B02964">
      <w:pPr>
        <w:ind w:left="709"/>
        <w:contextualSpacing/>
        <w:jc w:val="both"/>
        <w:rPr>
          <w:rFonts w:eastAsia="Calibri" w:cs="Iskoola Pota"/>
          <w:b/>
          <w:bCs w:val="0"/>
          <w:lang w:eastAsia="en-US"/>
        </w:rPr>
      </w:pPr>
    </w:p>
    <w:p w:rsidR="004D50E3" w:rsidRPr="00953A16" w:rsidP="00953A16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3A16">
        <w:rPr>
          <w:rFonts w:ascii="Times New Roman" w:hAnsi="Times New Roman"/>
          <w:b/>
          <w:sz w:val="24"/>
          <w:szCs w:val="24"/>
        </w:rPr>
        <w:t>V čl. I bod 3</w:t>
      </w:r>
    </w:p>
    <w:p w:rsidR="004D50E3" w:rsidRPr="00953A16" w:rsidP="00953A1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3A16">
        <w:rPr>
          <w:rFonts w:ascii="Times New Roman" w:hAnsi="Times New Roman"/>
          <w:sz w:val="24"/>
          <w:szCs w:val="24"/>
        </w:rPr>
        <w:t>V § 11 ods. 6 písm. ap) sa slovo „subjektom“ nahrádza slovom „orgánom“.</w:t>
      </w:r>
    </w:p>
    <w:p w:rsidR="004D50E3" w:rsidRPr="00953A16" w:rsidP="00953A1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0E3" w:rsidRPr="00953A16" w:rsidP="00953A1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953A16">
        <w:rPr>
          <w:rFonts w:ascii="Times New Roman" w:hAnsi="Times New Roman"/>
          <w:sz w:val="24"/>
          <w:szCs w:val="24"/>
        </w:rPr>
        <w:t xml:space="preserve">Pripomienka má za cieľ konkretizovanie navrhovaného pojmu v zmysle skutočnosti, že „subjektom zodpovedným za poskytovanie, overovanie, kontrolu alebo vládny audit pomoci alebo podpory z fondov Európskej únie ...“ môže byť len orgán verejnej správy. </w:t>
      </w:r>
    </w:p>
    <w:p w:rsidR="004D50E3" w:rsidRPr="00953A16" w:rsidP="00953A16">
      <w:pPr>
        <w:ind w:left="709"/>
        <w:contextualSpacing/>
        <w:jc w:val="both"/>
        <w:rPr>
          <w:rFonts w:eastAsia="Calibri"/>
          <w:b/>
          <w:bCs w:val="0"/>
          <w:lang w:eastAsia="en-US"/>
        </w:rPr>
      </w:pPr>
    </w:p>
    <w:p w:rsidR="00B02964" w:rsidRPr="00953A16" w:rsidP="00953A16">
      <w:pPr>
        <w:numPr>
          <w:ilvl w:val="0"/>
          <w:numId w:val="41"/>
        </w:numPr>
        <w:contextualSpacing/>
        <w:jc w:val="both"/>
        <w:rPr>
          <w:rFonts w:eastAsia="Calibri"/>
          <w:b/>
          <w:bCs w:val="0"/>
          <w:lang w:eastAsia="en-US"/>
        </w:rPr>
      </w:pPr>
      <w:r w:rsidRPr="00953A16">
        <w:rPr>
          <w:rFonts w:eastAsia="Calibri"/>
          <w:b/>
          <w:bCs w:val="0"/>
          <w:lang w:eastAsia="en-US"/>
        </w:rPr>
        <w:t>V čl. I bod 4 znie:</w:t>
      </w: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>„4. V § 11 sa odsek 7 dopĺňa písmenami d) až f), ktoré znejú:</w:t>
      </w: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>„d) zverejnenie údajov o porušení povinností ustanovených týmto zákonom alebo osobitný</w:t>
      </w:r>
      <w:r w:rsidRPr="00953A16">
        <w:rPr>
          <w:rFonts w:eastAsia="Calibri"/>
          <w:bCs w:val="0"/>
          <w:lang w:eastAsia="en-US"/>
        </w:rPr>
        <w:t>m predpisom,</w:t>
      </w:r>
      <w:r w:rsidRPr="00953A16">
        <w:rPr>
          <w:rFonts w:eastAsia="Calibri"/>
          <w:bCs w:val="0"/>
          <w:vertAlign w:val="superscript"/>
          <w:lang w:eastAsia="en-US"/>
        </w:rPr>
        <w:t>2</w:t>
      </w:r>
      <w:r w:rsidRPr="00953A16">
        <w:rPr>
          <w:rFonts w:eastAsia="Calibri"/>
          <w:bCs w:val="0"/>
          <w:lang w:eastAsia="en-US"/>
        </w:rPr>
        <w:t>) ak sú tieto údaje zverejňované na webovom sídle finančného riaditeľstva alebo prostredníctvom masovokomunikačných prostriedkov prezidentom finančnej správy alebo ním poverenou osobou,</w:t>
      </w: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>e) oznámenie mena, priezviska a adresy fyzickej osoby alebo názvu a sídla právnickej osoby tomu, kto na účet tejto osoby vykonal platbu dane,</w:t>
      </w: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>f) sprístupnenie čísla účtu na webovom sídle finančného riaditeľstva, ktoré správca dane pridelil daňovému subjektu na platbu dane.“.“.</w:t>
      </w: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 xml:space="preserve">Tento bod nadobúda účinnosť 1. januára 2014, čo sa premietne pri spracúvaní čistopisu do ustanovenia o nadobudnutí účinnosti návrhu zákona (čl. V). </w:t>
      </w: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highlight w:val="yellow"/>
          <w:lang w:eastAsia="en-US"/>
        </w:rPr>
      </w:pPr>
    </w:p>
    <w:p w:rsidR="00B02964" w:rsidRPr="00953A16" w:rsidP="00953A16">
      <w:pPr>
        <w:ind w:left="3540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>Navrhovaná úprava nadväzuje na prijatie novely zákona o ERP a tiež na úpravu v doterajšom bode 15 návrhu zákona.</w:t>
      </w:r>
    </w:p>
    <w:p w:rsidR="00B02964" w:rsidRPr="00953A16" w:rsidP="00953A16">
      <w:pPr>
        <w:contextualSpacing/>
        <w:jc w:val="both"/>
        <w:rPr>
          <w:rFonts w:eastAsia="Calibri"/>
          <w:bCs w:val="0"/>
          <w:lang w:eastAsia="en-US"/>
        </w:rPr>
      </w:pPr>
    </w:p>
    <w:p w:rsidR="00B02964" w:rsidRPr="00953A16" w:rsidP="00953A16">
      <w:pPr>
        <w:numPr>
          <w:ilvl w:val="0"/>
          <w:numId w:val="41"/>
        </w:numPr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/>
          <w:bCs w:val="0"/>
          <w:lang w:eastAsia="en-US"/>
        </w:rPr>
        <w:t>V čl. I doterajšom bode 8</w:t>
      </w:r>
      <w:r w:rsidRPr="00953A16">
        <w:rPr>
          <w:rFonts w:eastAsia="Calibri"/>
          <w:bCs w:val="0"/>
          <w:lang w:eastAsia="en-US"/>
        </w:rPr>
        <w:t xml:space="preserve"> sa na konci pripájajú tieto slová: „a slová „ktoré nie sú“ sa nahrádzajú slovami „čo nie je“.“.</w:t>
      </w: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ab/>
        <w:tab/>
        <w:tab/>
        <w:tab/>
      </w: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 xml:space="preserve">8. bod nadobúda účinnosť 1. januára 2014, čo sa premietne pri spracúvaní čistopisu do ustanovenia o nadobudnutí účinnosti návrhu zákona (čl. V). </w:t>
      </w: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</w:p>
    <w:p w:rsidR="00B02964" w:rsidRPr="00953A16" w:rsidP="00953A16">
      <w:pPr>
        <w:ind w:left="2833" w:firstLine="707"/>
        <w:contextualSpacing/>
        <w:jc w:val="both"/>
        <w:rPr>
          <w:rFonts w:eastAsia="Calibri"/>
          <w:b/>
          <w:bCs w:val="0"/>
          <w:lang w:eastAsia="en-US"/>
        </w:rPr>
      </w:pPr>
      <w:r w:rsidRPr="00953A16">
        <w:rPr>
          <w:rFonts w:eastAsia="Calibri"/>
          <w:b/>
          <w:bCs w:val="0"/>
          <w:lang w:eastAsia="en-US"/>
        </w:rPr>
        <w:tab/>
      </w: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ab/>
        <w:tab/>
        <w:tab/>
        <w:tab/>
        <w:t>Id</w:t>
      </w:r>
      <w:r w:rsidRPr="00953A16">
        <w:rPr>
          <w:rFonts w:eastAsia="Calibri"/>
          <w:bCs w:val="0"/>
          <w:lang w:eastAsia="en-US"/>
        </w:rPr>
        <w:t>e o legislatívno-technickú úpravu textu.</w:t>
      </w:r>
    </w:p>
    <w:p w:rsidR="00B02964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</w:p>
    <w:p w:rsid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</w:p>
    <w:p w:rsidR="00953A16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</w:p>
    <w:p w:rsidR="00B02964" w:rsidRPr="00953A16" w:rsidP="00953A16">
      <w:pPr>
        <w:numPr>
          <w:ilvl w:val="0"/>
          <w:numId w:val="41"/>
        </w:numPr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/>
          <w:bCs w:val="0"/>
          <w:lang w:eastAsia="en-US"/>
        </w:rPr>
        <w:t>V čl. I doterajšom bode 12</w:t>
      </w:r>
      <w:r w:rsidRPr="00953A16">
        <w:rPr>
          <w:rFonts w:eastAsia="Calibri"/>
          <w:bCs w:val="0"/>
          <w:lang w:eastAsia="en-US"/>
        </w:rPr>
        <w:t xml:space="preserve"> v § 52</w:t>
      </w:r>
      <w:r w:rsidRPr="00953A16">
        <w:rPr>
          <w:rFonts w:eastAsia="Calibri"/>
          <w:b/>
          <w:bCs w:val="0"/>
          <w:color w:val="FF0000"/>
          <w:lang w:eastAsia="en-US"/>
        </w:rPr>
        <w:t xml:space="preserve"> </w:t>
      </w:r>
      <w:r w:rsidRPr="00953A16">
        <w:rPr>
          <w:rFonts w:eastAsia="Calibri"/>
          <w:bCs w:val="0"/>
          <w:lang w:eastAsia="en-US"/>
        </w:rPr>
        <w:t>ods. 7 sa za slová „daňové priznanie“ vkladajú slová „alebo kontrolný výkaz“.</w:t>
      </w: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 xml:space="preserve">12. bod nadobúda účinnosť 1. januára 2014, čo sa premietne pri spracúvaní čistopisu do ustanovenia o nadobudnutí účinnosti návrhu zákona (čl. V). </w:t>
      </w: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</w:p>
    <w:p w:rsidR="00B02964" w:rsidRPr="00953A16" w:rsidP="00953A16">
      <w:pPr>
        <w:ind w:left="3544"/>
        <w:jc w:val="both"/>
        <w:rPr>
          <w:rFonts w:eastAsia="Calibri"/>
          <w:bCs w:val="0"/>
        </w:rPr>
      </w:pPr>
      <w:r w:rsidRPr="00953A16">
        <w:rPr>
          <w:rFonts w:eastAsia="Calibri"/>
          <w:bCs w:val="0"/>
        </w:rPr>
        <w:t>Navrhovaná úprava nadväzuje na zmenu v novele zákona o dani z pridanej hodnoty, ktorou sa ustanovuje povinnosť daňovým subjektom predkladať kontrolné výkazy.</w:t>
      </w:r>
    </w:p>
    <w:p w:rsidR="00B02964" w:rsidRPr="00953A16" w:rsidP="00953A16">
      <w:pPr>
        <w:tabs>
          <w:tab w:val="left" w:pos="2977"/>
        </w:tabs>
        <w:jc w:val="both"/>
        <w:rPr>
          <w:rFonts w:eastAsia="Calibri"/>
          <w:bCs w:val="0"/>
        </w:rPr>
      </w:pPr>
      <w:r w:rsidRPr="00953A16">
        <w:rPr>
          <w:rFonts w:eastAsia="Calibri"/>
          <w:bCs w:val="0"/>
        </w:rPr>
        <w:tab/>
        <w:tab/>
      </w:r>
    </w:p>
    <w:p w:rsidR="004D50E3" w:rsidRPr="00953A16" w:rsidP="00953A16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3A16" w:rsidR="00B02964">
        <w:rPr>
          <w:rFonts w:ascii="Times New Roman" w:eastAsia="Calibri" w:hAnsi="Times New Roman"/>
          <w:sz w:val="24"/>
          <w:szCs w:val="24"/>
        </w:rPr>
        <w:tab/>
      </w:r>
      <w:r w:rsidRPr="00953A16">
        <w:rPr>
          <w:rFonts w:ascii="Times New Roman" w:hAnsi="Times New Roman"/>
          <w:b/>
          <w:sz w:val="24"/>
          <w:szCs w:val="24"/>
        </w:rPr>
        <w:t>V čl. I bod 13</w:t>
      </w:r>
    </w:p>
    <w:p w:rsidR="004D50E3" w:rsidRPr="00953A16" w:rsidP="00953A1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3A16">
        <w:rPr>
          <w:rFonts w:ascii="Times New Roman" w:hAnsi="Times New Roman"/>
          <w:sz w:val="24"/>
          <w:szCs w:val="24"/>
        </w:rPr>
        <w:t>V § 53b ods. 3 písm. a) sa za slovo „dňom“ vkladajú slová „nadobudnutia účinnosti“.</w:t>
      </w:r>
    </w:p>
    <w:p w:rsidR="004D50E3" w:rsidRPr="00953A16" w:rsidP="00953A1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0E3" w:rsidRPr="00953A16" w:rsidP="00953A1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953A16">
        <w:rPr>
          <w:rFonts w:ascii="Times New Roman" w:hAnsi="Times New Roman"/>
          <w:sz w:val="24"/>
          <w:szCs w:val="24"/>
        </w:rPr>
        <w:t xml:space="preserve">Pripomienka spresňuje navrhované ustanovenie. </w:t>
      </w:r>
    </w:p>
    <w:p w:rsidR="004D50E3" w:rsidRPr="00953A16" w:rsidP="00953A1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50E3" w:rsidRPr="00953A16" w:rsidP="00953A16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3A16">
        <w:rPr>
          <w:rFonts w:ascii="Times New Roman" w:hAnsi="Times New Roman"/>
          <w:b/>
          <w:sz w:val="24"/>
          <w:szCs w:val="24"/>
        </w:rPr>
        <w:t>V čl. I bod 13</w:t>
      </w:r>
    </w:p>
    <w:p w:rsidR="004D50E3" w:rsidRPr="00953A16" w:rsidP="00953A1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3A16">
        <w:rPr>
          <w:rFonts w:ascii="Times New Roman" w:hAnsi="Times New Roman"/>
          <w:sz w:val="24"/>
          <w:szCs w:val="24"/>
        </w:rPr>
        <w:t>V § 53c ods. 1 písm. a) sa slovo „právneho“ nahrádza slovom „daňového“ a v písm. b) a c) sa slovo „právnych“ nahrádza slovom „daňových“.</w:t>
      </w:r>
    </w:p>
    <w:p w:rsidR="004D50E3" w:rsidRPr="00953A16" w:rsidP="00953A1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0E3" w:rsidRPr="00953A16" w:rsidP="00953A1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953A16">
        <w:rPr>
          <w:rFonts w:ascii="Times New Roman" w:hAnsi="Times New Roman"/>
          <w:sz w:val="24"/>
          <w:szCs w:val="24"/>
        </w:rPr>
        <w:t xml:space="preserve">Pripomienka zosúlaďuje v návrhu zákona použité pojmy, nakoľko podľa § 53a ods. 1 sa v záväznom stanovisku posudzuje výhradne „uplatňovanie daňových predpisov“. </w:t>
      </w:r>
    </w:p>
    <w:p w:rsidR="004D50E3" w:rsidRPr="00953A16" w:rsidP="00953A1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0E3" w:rsidRPr="00953A16" w:rsidP="00953A16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3A16">
        <w:rPr>
          <w:rFonts w:ascii="Times New Roman" w:hAnsi="Times New Roman"/>
          <w:b/>
          <w:sz w:val="24"/>
          <w:szCs w:val="24"/>
        </w:rPr>
        <w:t xml:space="preserve">V čl. I bod 13 </w:t>
      </w:r>
    </w:p>
    <w:p w:rsidR="004D50E3" w:rsidRPr="00953A16" w:rsidP="00953A1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3A16">
        <w:rPr>
          <w:rFonts w:ascii="Times New Roman" w:hAnsi="Times New Roman"/>
          <w:sz w:val="24"/>
          <w:szCs w:val="24"/>
        </w:rPr>
        <w:t>V § 53c ods. 5 v prvej vete sa slová „Ak sa záväzné stanovisko nevydá, finančné riaditeľstvo“  nahrádzajú slovami „Ak finančné riaditeľstvo záväzné stanovisko nevydá,“.</w:t>
      </w:r>
    </w:p>
    <w:p w:rsidR="004D50E3" w:rsidRPr="00953A16" w:rsidP="00953A1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0E3" w:rsidRPr="00953A16" w:rsidP="00953A1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953A16">
        <w:rPr>
          <w:rFonts w:ascii="Times New Roman" w:hAnsi="Times New Roman"/>
          <w:sz w:val="24"/>
          <w:szCs w:val="24"/>
        </w:rPr>
        <w:t xml:space="preserve">Legislatívno-technická pripomienka. </w:t>
      </w:r>
    </w:p>
    <w:p w:rsidR="00B02964" w:rsidRPr="00953A16" w:rsidP="00953A16">
      <w:pPr>
        <w:tabs>
          <w:tab w:val="left" w:pos="2977"/>
        </w:tabs>
        <w:jc w:val="both"/>
        <w:rPr>
          <w:rFonts w:eastAsia="Calibri"/>
          <w:bCs w:val="0"/>
        </w:rPr>
      </w:pPr>
      <w:r w:rsidRPr="00953A16">
        <w:rPr>
          <w:rFonts w:eastAsia="Calibri"/>
          <w:bCs w:val="0"/>
        </w:rPr>
        <w:tab/>
        <w:tab/>
        <w:tab/>
        <w:tab/>
        <w:tab/>
        <w:t>1</w:t>
      </w:r>
    </w:p>
    <w:p w:rsidR="00B02964" w:rsidRPr="00953A16" w:rsidP="00953A16">
      <w:pPr>
        <w:numPr>
          <w:ilvl w:val="0"/>
          <w:numId w:val="41"/>
        </w:numPr>
        <w:contextualSpacing/>
        <w:jc w:val="both"/>
        <w:rPr>
          <w:rFonts w:eastAsia="Calibri"/>
          <w:b/>
          <w:bCs w:val="0"/>
          <w:lang w:eastAsia="en-US"/>
        </w:rPr>
      </w:pPr>
      <w:r w:rsidRPr="00953A16">
        <w:rPr>
          <w:rFonts w:eastAsia="Calibri"/>
          <w:b/>
          <w:bCs w:val="0"/>
          <w:lang w:eastAsia="en-US"/>
        </w:rPr>
        <w:t xml:space="preserve">V čl. I doterajší bod 15 znie: </w:t>
      </w:r>
    </w:p>
    <w:p w:rsidR="00B02964" w:rsidRPr="00953A16" w:rsidP="00953A16">
      <w:pPr>
        <w:ind w:left="720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>„15. V § 55 odsek 11 znie:</w:t>
      </w:r>
    </w:p>
    <w:p w:rsidR="00B02964" w:rsidRPr="00953A16" w:rsidP="00953A16">
      <w:pPr>
        <w:ind w:left="720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>„(11) Správca dane je povinný prijať každú platbu, aj keď nie je vykonaná daňovým subjektom a zaobchádzať s ňou rovnakým spôsobom, ako by ju zaplatil daňový subjekt. Ten, kto platbu za daňový subjekt vykonal, môže požiadať o jej preúčtovanie. Správca dane preúčtuje túto platbu na účet, ktorý mu pridelil na platbu dane, do 30 dní od podania žiadosti vo výške, v akej ju eviduje ako daňový preplatok; o vybavení žiadosti správca dane informuje toho, kto žiadosť podal. Za deň platby sa v tomto prípade považuje deň, keď bola platba odpísaná z účtu toho, kto platbu vykonal.“.“.</w:t>
      </w:r>
    </w:p>
    <w:p w:rsidR="00B02964" w:rsidRPr="00953A16" w:rsidP="00953A16">
      <w:pPr>
        <w:ind w:left="2833" w:firstLine="707"/>
        <w:contextualSpacing/>
        <w:jc w:val="both"/>
        <w:rPr>
          <w:rFonts w:eastAsia="Calibri"/>
          <w:b/>
          <w:bCs w:val="0"/>
          <w:lang w:eastAsia="en-US"/>
        </w:rPr>
      </w:pP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 xml:space="preserve">15. bod nadobúda účinnosť 1. januára 2014, čo sa premietne pri spracúvaní čistopisu do ustanovenia o nadobudnutí účinnosti návrhu zákona (čl. V). </w:t>
      </w:r>
    </w:p>
    <w:p w:rsidR="00B02964" w:rsidRPr="00953A16" w:rsidP="00953A16">
      <w:pPr>
        <w:ind w:left="2833" w:firstLine="707"/>
        <w:contextualSpacing/>
        <w:jc w:val="both"/>
        <w:rPr>
          <w:rFonts w:eastAsia="Calibri"/>
          <w:b/>
          <w:bCs w:val="0"/>
          <w:lang w:eastAsia="en-US"/>
        </w:rPr>
      </w:pPr>
    </w:p>
    <w:p w:rsidR="00B02964" w:rsidRPr="00953A16" w:rsidP="00953A16">
      <w:pPr>
        <w:ind w:left="3540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 xml:space="preserve">Navrhovaným znením sa precizuje ustanovenie tak, aby nebolo možné požiadať o preúčtovanie takej platby, ktorá už bola použitá na nedoplatky, resp. exekučné náklady cieľom predísť zneužitiu tohto inštitútu na vyhýbanie sa plateniu daní. </w:t>
      </w:r>
    </w:p>
    <w:p w:rsidR="00B02964" w:rsidRPr="00953A16" w:rsidP="00953A16">
      <w:pPr>
        <w:ind w:left="720"/>
        <w:contextualSpacing/>
        <w:jc w:val="both"/>
        <w:rPr>
          <w:rFonts w:eastAsia="Calibri"/>
          <w:bCs w:val="0"/>
          <w:lang w:eastAsia="en-US"/>
        </w:rPr>
      </w:pPr>
    </w:p>
    <w:p w:rsidR="00B02964" w:rsidRPr="00953A16" w:rsidP="00953A16">
      <w:pPr>
        <w:numPr>
          <w:ilvl w:val="0"/>
          <w:numId w:val="41"/>
        </w:numPr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/>
          <w:bCs w:val="0"/>
          <w:lang w:eastAsia="en-US"/>
        </w:rPr>
        <w:t xml:space="preserve">V čl. I sa za doterajší bod 18 </w:t>
      </w:r>
      <w:r w:rsidRPr="00953A16">
        <w:rPr>
          <w:rFonts w:eastAsia="Calibri"/>
          <w:bCs w:val="0"/>
          <w:lang w:eastAsia="en-US"/>
        </w:rPr>
        <w:t>vkladá nový bod 19, ktorý znie:</w:t>
      </w: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>„19. V § 62 ods. 1 písm. g) sa slová „vo veci začal konať súd“ nahrádzajú slovami „začalo konanie na súde“.“.</w:t>
        <w:tab/>
        <w:tab/>
        <w:tab/>
        <w:t xml:space="preserve"> </w:t>
        <w:tab/>
        <w:t xml:space="preserve"> </w:t>
      </w: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>Doterajšie body je potrebné primerane prečíslovať.</w:t>
      </w:r>
    </w:p>
    <w:p w:rsidR="00B02964" w:rsidRPr="00953A16" w:rsidP="00953A16">
      <w:pPr>
        <w:ind w:left="709"/>
        <w:contextualSpacing/>
        <w:jc w:val="both"/>
        <w:rPr>
          <w:rFonts w:eastAsia="Calibri"/>
          <w:b/>
          <w:bCs w:val="0"/>
          <w:lang w:eastAsia="en-US"/>
        </w:rPr>
      </w:pP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 xml:space="preserve">19. bod nadobúda účinnosť 1. januára 2014, čo sa premietne pri spracúvaní čistopisu do ustanovenia o nadobudnutí účinnosti návrhu zákona (čl. V). </w:t>
      </w:r>
    </w:p>
    <w:p w:rsidR="00B02964" w:rsidRPr="00953A16" w:rsidP="00953A16">
      <w:pPr>
        <w:ind w:left="709"/>
        <w:contextualSpacing/>
        <w:jc w:val="both"/>
        <w:rPr>
          <w:rFonts w:eastAsia="Calibri"/>
          <w:b/>
          <w:bCs w:val="0"/>
          <w:lang w:eastAsia="en-US"/>
        </w:rPr>
      </w:pPr>
    </w:p>
    <w:p w:rsidR="00B02964" w:rsidRPr="00953A16" w:rsidP="00953A16">
      <w:pPr>
        <w:ind w:left="1440"/>
        <w:contextualSpacing/>
        <w:jc w:val="both"/>
        <w:rPr>
          <w:rFonts w:eastAsia="Calibri"/>
          <w:b/>
          <w:bCs w:val="0"/>
          <w:lang w:eastAsia="en-US"/>
        </w:rPr>
      </w:pPr>
      <w:r w:rsidRPr="00953A16">
        <w:rPr>
          <w:rFonts w:eastAsia="Calibri"/>
          <w:b/>
          <w:bCs w:val="0"/>
          <w:lang w:eastAsia="en-US"/>
        </w:rPr>
        <w:tab/>
        <w:tab/>
        <w:tab/>
      </w:r>
    </w:p>
    <w:p w:rsidR="00B02964" w:rsidRPr="00953A16" w:rsidP="00953A16">
      <w:pPr>
        <w:ind w:left="3540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>Ide o sprecizovanie ustanovenia tak, aby bolo v súlade s terminológiou Občianskeho súdneho poriadku.</w:t>
      </w:r>
    </w:p>
    <w:p w:rsidR="00B02964" w:rsidRPr="00953A16" w:rsidP="00953A16">
      <w:pPr>
        <w:ind w:left="720"/>
        <w:contextualSpacing/>
        <w:jc w:val="both"/>
        <w:rPr>
          <w:rFonts w:eastAsia="Calibri"/>
          <w:bCs w:val="0"/>
          <w:lang w:eastAsia="en-US"/>
        </w:rPr>
      </w:pPr>
    </w:p>
    <w:p w:rsidR="004D50E3" w:rsidRPr="00953A16" w:rsidP="00953A16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3A16">
        <w:rPr>
          <w:rFonts w:ascii="Times New Roman" w:hAnsi="Times New Roman"/>
          <w:b/>
          <w:sz w:val="24"/>
          <w:szCs w:val="24"/>
        </w:rPr>
        <w:t>V čl. I bod 23</w:t>
      </w:r>
    </w:p>
    <w:p w:rsidR="004D50E3" w:rsidRPr="00953A16" w:rsidP="00953A1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3A16">
        <w:rPr>
          <w:rFonts w:ascii="Times New Roman" w:hAnsi="Times New Roman"/>
          <w:sz w:val="24"/>
          <w:szCs w:val="24"/>
        </w:rPr>
        <w:t>V 23. bode (§ 67 ods. 2 písm. b/) sa slová „ôsmy bod“ nahrádzajú slovami „siedmy bod“ a číslovka „8“ sa nahrádza číslovkou „7“.</w:t>
      </w:r>
    </w:p>
    <w:p w:rsidR="004D50E3" w:rsidRPr="00953A16" w:rsidP="00953A1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0E3" w:rsidRPr="00953A16" w:rsidP="00953A1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953A16">
        <w:rPr>
          <w:rFonts w:ascii="Times New Roman" w:hAnsi="Times New Roman"/>
          <w:sz w:val="24"/>
          <w:szCs w:val="24"/>
        </w:rPr>
        <w:t xml:space="preserve">Legislatívno-technická pripomienka opravuje chybne uvedenú špecifikáciu novelizovaného bodu. </w:t>
      </w:r>
    </w:p>
    <w:p w:rsidR="004D50E3" w:rsidRPr="00953A16" w:rsidP="00953A16">
      <w:pPr>
        <w:ind w:left="720"/>
        <w:contextualSpacing/>
        <w:jc w:val="both"/>
        <w:rPr>
          <w:rFonts w:eastAsia="Calibri"/>
          <w:bCs w:val="0"/>
          <w:lang w:eastAsia="en-US"/>
        </w:rPr>
      </w:pPr>
    </w:p>
    <w:p w:rsidR="00B02964" w:rsidRPr="00953A16" w:rsidP="00953A16">
      <w:pPr>
        <w:numPr>
          <w:ilvl w:val="0"/>
          <w:numId w:val="41"/>
        </w:numPr>
        <w:contextualSpacing/>
        <w:jc w:val="both"/>
        <w:rPr>
          <w:rFonts w:eastAsia="Calibri"/>
          <w:b/>
          <w:bCs w:val="0"/>
          <w:lang w:eastAsia="en-US"/>
        </w:rPr>
      </w:pPr>
      <w:r w:rsidRPr="00953A16">
        <w:rPr>
          <w:rFonts w:eastAsia="Calibri"/>
          <w:b/>
          <w:bCs w:val="0"/>
          <w:lang w:eastAsia="en-US"/>
        </w:rPr>
        <w:t xml:space="preserve"> Článok II sa vypúšťa.</w:t>
      </w:r>
    </w:p>
    <w:p w:rsidR="00B02964" w:rsidRPr="00953A16" w:rsidP="00953A16">
      <w:pPr>
        <w:ind w:firstLine="708"/>
        <w:rPr>
          <w:rFonts w:eastAsia="Calibri"/>
          <w:bCs w:val="0"/>
          <w:lang w:eastAsia="x-none"/>
        </w:rPr>
      </w:pPr>
      <w:r w:rsidRPr="00953A16">
        <w:rPr>
          <w:rFonts w:eastAsia="Calibri"/>
          <w:bCs w:val="0"/>
          <w:lang w:val="x-none" w:eastAsia="x-none"/>
        </w:rPr>
        <w:t>Doterajšie článk</w:t>
      </w:r>
      <w:r w:rsidRPr="00953A16">
        <w:rPr>
          <w:rFonts w:eastAsia="Calibri"/>
          <w:bCs w:val="0"/>
          <w:lang w:eastAsia="x-none"/>
        </w:rPr>
        <w:t>y</w:t>
      </w:r>
      <w:r w:rsidRPr="00953A16">
        <w:rPr>
          <w:rFonts w:eastAsia="Calibri"/>
          <w:bCs w:val="0"/>
          <w:lang w:val="x-none" w:eastAsia="x-none"/>
        </w:rPr>
        <w:t xml:space="preserve"> II</w:t>
      </w:r>
      <w:r w:rsidRPr="00953A16">
        <w:rPr>
          <w:rFonts w:eastAsia="Calibri"/>
          <w:bCs w:val="0"/>
          <w:lang w:eastAsia="x-none"/>
        </w:rPr>
        <w:t>I</w:t>
      </w:r>
      <w:r w:rsidRPr="00953A16">
        <w:rPr>
          <w:rFonts w:eastAsia="Calibri"/>
          <w:bCs w:val="0"/>
          <w:lang w:val="x-none" w:eastAsia="x-none"/>
        </w:rPr>
        <w:t xml:space="preserve"> </w:t>
      </w:r>
      <w:r w:rsidRPr="00953A16">
        <w:rPr>
          <w:rFonts w:eastAsia="Calibri"/>
          <w:bCs w:val="0"/>
          <w:lang w:eastAsia="x-none"/>
        </w:rPr>
        <w:t xml:space="preserve">až V sa </w:t>
      </w:r>
      <w:r w:rsidRPr="00953A16">
        <w:rPr>
          <w:rFonts w:eastAsia="Calibri"/>
          <w:bCs w:val="0"/>
          <w:lang w:val="x-none" w:eastAsia="x-none"/>
        </w:rPr>
        <w:t>primerane prečís</w:t>
      </w:r>
      <w:r w:rsidRPr="00953A16">
        <w:rPr>
          <w:rFonts w:eastAsia="Calibri"/>
          <w:bCs w:val="0"/>
          <w:lang w:eastAsia="x-none"/>
        </w:rPr>
        <w:t>lujú</w:t>
      </w:r>
      <w:r w:rsidRPr="00953A16">
        <w:rPr>
          <w:rFonts w:eastAsia="Calibri"/>
          <w:bCs w:val="0"/>
          <w:lang w:val="x-none" w:eastAsia="x-none"/>
        </w:rPr>
        <w:t>.</w:t>
      </w:r>
    </w:p>
    <w:p w:rsidR="00B02964" w:rsidRPr="00953A16" w:rsidP="00953A16">
      <w:pPr>
        <w:ind w:left="709"/>
        <w:contextualSpacing/>
        <w:jc w:val="both"/>
        <w:rPr>
          <w:rFonts w:eastAsia="Calibri"/>
          <w:b/>
          <w:bCs w:val="0"/>
          <w:lang w:eastAsia="en-US"/>
        </w:rPr>
      </w:pPr>
    </w:p>
    <w:p w:rsidR="00B02964" w:rsidRPr="00953A16" w:rsidP="00953A16">
      <w:pPr>
        <w:numPr>
          <w:ilvl w:val="0"/>
          <w:numId w:val="41"/>
        </w:numPr>
        <w:contextualSpacing/>
        <w:jc w:val="both"/>
        <w:rPr>
          <w:rFonts w:eastAsia="Calibri"/>
          <w:b/>
          <w:bCs w:val="0"/>
          <w:lang w:eastAsia="en-US"/>
        </w:rPr>
      </w:pPr>
      <w:r w:rsidRPr="00953A16">
        <w:rPr>
          <w:rFonts w:eastAsia="Calibri"/>
          <w:b/>
          <w:bCs w:val="0"/>
          <w:lang w:eastAsia="en-US"/>
        </w:rPr>
        <w:t>V doterajšom čl. III</w:t>
      </w:r>
      <w:r w:rsidRPr="00953A16">
        <w:rPr>
          <w:rFonts w:eastAsia="Calibri"/>
          <w:bCs w:val="0"/>
          <w:lang w:eastAsia="en-US"/>
        </w:rPr>
        <w:t> sa doterajšie znenie označuje ako bod 1 a dopĺňa sa bod 2, ktorý znie:</w:t>
      </w: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>„2. V § 11 sa číslo „2013“ nahrádza číslom „2016“.“.</w:t>
      </w: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 xml:space="preserve">2. bod nadobúda účinnosť 30. decembra 2013, čo sa premietne pri spracúvaní čistopisu do ustanovenia o nadobudnutí účinnosti návrhu zákona (čl. V). </w:t>
      </w:r>
    </w:p>
    <w:p w:rsidR="00B02964" w:rsidRPr="00953A16" w:rsidP="00953A16">
      <w:pPr>
        <w:ind w:left="709"/>
        <w:contextualSpacing/>
        <w:jc w:val="both"/>
        <w:rPr>
          <w:rFonts w:eastAsia="Calibri"/>
          <w:bCs w:val="0"/>
          <w:lang w:eastAsia="en-US"/>
        </w:rPr>
      </w:pPr>
    </w:p>
    <w:p w:rsidR="00B02964" w:rsidRPr="00953A16" w:rsidP="00953A16">
      <w:pPr>
        <w:ind w:left="3564"/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Cs w:val="0"/>
          <w:lang w:eastAsia="en-US"/>
        </w:rPr>
        <w:t>Vzhľadom na opodstatnenosť trvania konsolidácie verejných financií sa navrhuje zmena posledného odvodového obdobia.</w:t>
      </w:r>
    </w:p>
    <w:p w:rsidR="00B02964" w:rsidRPr="00953A16" w:rsidP="00953A16">
      <w:pPr>
        <w:ind w:left="4249" w:firstLine="707"/>
        <w:contextualSpacing/>
        <w:jc w:val="both"/>
        <w:rPr>
          <w:rFonts w:eastAsia="Calibri"/>
          <w:b/>
          <w:bCs w:val="0"/>
          <w:lang w:eastAsia="en-US"/>
        </w:rPr>
      </w:pPr>
    </w:p>
    <w:p w:rsidR="00B02964" w:rsidRPr="00953A16" w:rsidP="00953A16">
      <w:pPr>
        <w:numPr>
          <w:ilvl w:val="0"/>
          <w:numId w:val="41"/>
        </w:numPr>
        <w:contextualSpacing/>
        <w:jc w:val="both"/>
        <w:rPr>
          <w:rFonts w:eastAsia="Calibri"/>
          <w:bCs w:val="0"/>
          <w:lang w:eastAsia="en-US"/>
        </w:rPr>
      </w:pPr>
      <w:r w:rsidRPr="00953A16">
        <w:rPr>
          <w:rFonts w:eastAsia="Calibri"/>
          <w:b/>
          <w:bCs w:val="0"/>
          <w:lang w:eastAsia="en-US"/>
        </w:rPr>
        <w:t>V doterajšom čl. V</w:t>
      </w:r>
      <w:r w:rsidRPr="00953A16">
        <w:rPr>
          <w:rFonts w:eastAsia="Calibri"/>
          <w:bCs w:val="0"/>
          <w:lang w:eastAsia="en-US"/>
        </w:rPr>
        <w:t> sa slová „1. decembra 2013“ nahrádzajú slovami „30. decembra 2013“.</w:t>
      </w:r>
    </w:p>
    <w:p w:rsidR="00B02964" w:rsidRPr="00953A16" w:rsidP="00953A16">
      <w:pPr>
        <w:ind w:left="720"/>
        <w:contextualSpacing/>
        <w:jc w:val="both"/>
        <w:rPr>
          <w:rFonts w:eastAsia="Calibri"/>
          <w:bCs w:val="0"/>
          <w:lang w:eastAsia="en-US"/>
        </w:rPr>
      </w:pPr>
    </w:p>
    <w:p w:rsidR="00B02964" w:rsidRPr="00953A16" w:rsidP="00953A16">
      <w:pPr>
        <w:jc w:val="both"/>
        <w:rPr>
          <w:rFonts w:eastAsia="Calibri"/>
          <w:bCs w:val="0"/>
          <w:color w:val="FF0000"/>
        </w:rPr>
      </w:pPr>
    </w:p>
    <w:p w:rsidR="00380A1C" w:rsidRPr="00953A16" w:rsidP="00953A16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3E28">
      <w:rPr>
        <w:rStyle w:val="PageNumber"/>
        <w:noProof/>
      </w:rPr>
      <w:t>4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5973CA"/>
    <w:multiLevelType w:val="hybridMultilevel"/>
    <w:tmpl w:val="522492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F4DD7"/>
    <w:multiLevelType w:val="hybridMultilevel"/>
    <w:tmpl w:val="0F9AD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920681"/>
    <w:multiLevelType w:val="hybridMultilevel"/>
    <w:tmpl w:val="6540E9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565FF5"/>
    <w:multiLevelType w:val="hybridMultilevel"/>
    <w:tmpl w:val="E2B26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7B5AB6"/>
    <w:multiLevelType w:val="hybridMultilevel"/>
    <w:tmpl w:val="8250D3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6576EB3"/>
    <w:multiLevelType w:val="hybridMultilevel"/>
    <w:tmpl w:val="E2B26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500606"/>
    <w:multiLevelType w:val="hybridMultilevel"/>
    <w:tmpl w:val="E378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31"/>
  </w:num>
  <w:num w:numId="6">
    <w:abstractNumId w:val="5"/>
  </w:num>
  <w:num w:numId="7">
    <w:abstractNumId w:val="17"/>
  </w:num>
  <w:num w:numId="8">
    <w:abstractNumId w:val="35"/>
  </w:num>
  <w:num w:numId="9">
    <w:abstractNumId w:val="36"/>
  </w:num>
  <w:num w:numId="10">
    <w:abstractNumId w:val="1"/>
  </w:num>
  <w:num w:numId="11">
    <w:abstractNumId w:val="22"/>
  </w:num>
  <w:num w:numId="12">
    <w:abstractNumId w:val="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8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7"/>
  </w:num>
  <w:num w:numId="19">
    <w:abstractNumId w:val="9"/>
  </w:num>
  <w:num w:numId="20">
    <w:abstractNumId w:val="29"/>
  </w:num>
  <w:num w:numId="21">
    <w:abstractNumId w:val="6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26"/>
  </w:num>
  <w:num w:numId="25">
    <w:abstractNumId w:val="39"/>
  </w:num>
  <w:num w:numId="26">
    <w:abstractNumId w:val="25"/>
  </w:num>
  <w:num w:numId="27">
    <w:abstractNumId w:val="20"/>
  </w:num>
  <w:num w:numId="28">
    <w:abstractNumId w:val="8"/>
  </w:num>
  <w:num w:numId="29">
    <w:abstractNumId w:val="2"/>
  </w:num>
  <w:num w:numId="30">
    <w:abstractNumId w:val="33"/>
  </w:num>
  <w:num w:numId="31">
    <w:abstractNumId w:val="15"/>
  </w:num>
  <w:num w:numId="32">
    <w:abstractNumId w:val="24"/>
  </w:num>
  <w:num w:numId="33">
    <w:abstractNumId w:val="16"/>
  </w:num>
  <w:num w:numId="34">
    <w:abstractNumId w:val="11"/>
  </w:num>
  <w:num w:numId="35">
    <w:abstractNumId w:val="19"/>
  </w:num>
  <w:num w:numId="36">
    <w:abstractNumId w:val="18"/>
  </w:num>
  <w:num w:numId="37">
    <w:abstractNumId w:val="13"/>
  </w:num>
  <w:num w:numId="38">
    <w:abstractNumId w:val="14"/>
  </w:num>
  <w:num w:numId="39">
    <w:abstractNumId w:val="34"/>
  </w:num>
  <w:num w:numId="40">
    <w:abstractNumId w:val="23"/>
  </w:num>
  <w:num w:numId="41">
    <w:abstractNumId w:val="30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746C2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3635"/>
    <w:rsid w:val="0016756E"/>
    <w:rsid w:val="001734EE"/>
    <w:rsid w:val="00183676"/>
    <w:rsid w:val="00184104"/>
    <w:rsid w:val="001852E1"/>
    <w:rsid w:val="001926CE"/>
    <w:rsid w:val="00192864"/>
    <w:rsid w:val="001957AD"/>
    <w:rsid w:val="001A39FF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0775"/>
    <w:rsid w:val="002012D0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179B"/>
    <w:rsid w:val="00342FD3"/>
    <w:rsid w:val="00345A3A"/>
    <w:rsid w:val="00347242"/>
    <w:rsid w:val="00352292"/>
    <w:rsid w:val="00356336"/>
    <w:rsid w:val="003676F8"/>
    <w:rsid w:val="00370DA7"/>
    <w:rsid w:val="00371F1B"/>
    <w:rsid w:val="00373CBB"/>
    <w:rsid w:val="0038060C"/>
    <w:rsid w:val="00380A1C"/>
    <w:rsid w:val="00384B88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85AD3"/>
    <w:rsid w:val="00491556"/>
    <w:rsid w:val="004925DB"/>
    <w:rsid w:val="00493DCA"/>
    <w:rsid w:val="004A12F3"/>
    <w:rsid w:val="004A3E40"/>
    <w:rsid w:val="004B7312"/>
    <w:rsid w:val="004B77A8"/>
    <w:rsid w:val="004D03C0"/>
    <w:rsid w:val="004D0847"/>
    <w:rsid w:val="004D397F"/>
    <w:rsid w:val="004D50E3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458EF"/>
    <w:rsid w:val="00552BE1"/>
    <w:rsid w:val="00557C6F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0B03"/>
    <w:rsid w:val="005D1F0B"/>
    <w:rsid w:val="005D2E69"/>
    <w:rsid w:val="005D368F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32A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0EC"/>
    <w:rsid w:val="0074684C"/>
    <w:rsid w:val="0075013C"/>
    <w:rsid w:val="00753D13"/>
    <w:rsid w:val="00753E28"/>
    <w:rsid w:val="0075436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C3A2E"/>
    <w:rsid w:val="007C6EC6"/>
    <w:rsid w:val="007D3639"/>
    <w:rsid w:val="007E168E"/>
    <w:rsid w:val="007F189D"/>
    <w:rsid w:val="0081158D"/>
    <w:rsid w:val="00830899"/>
    <w:rsid w:val="00837F4F"/>
    <w:rsid w:val="008424E5"/>
    <w:rsid w:val="00843997"/>
    <w:rsid w:val="008458BA"/>
    <w:rsid w:val="0085189B"/>
    <w:rsid w:val="00867FEE"/>
    <w:rsid w:val="008720CA"/>
    <w:rsid w:val="008769DE"/>
    <w:rsid w:val="00880343"/>
    <w:rsid w:val="00881478"/>
    <w:rsid w:val="00883651"/>
    <w:rsid w:val="0089148D"/>
    <w:rsid w:val="008A2AEF"/>
    <w:rsid w:val="008A65D4"/>
    <w:rsid w:val="008B0696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8F400F"/>
    <w:rsid w:val="009014AF"/>
    <w:rsid w:val="00901501"/>
    <w:rsid w:val="00902EC3"/>
    <w:rsid w:val="00914F38"/>
    <w:rsid w:val="009171A7"/>
    <w:rsid w:val="009434CE"/>
    <w:rsid w:val="00944ECD"/>
    <w:rsid w:val="00945E30"/>
    <w:rsid w:val="009534E4"/>
    <w:rsid w:val="00953A16"/>
    <w:rsid w:val="009673E9"/>
    <w:rsid w:val="00972CAE"/>
    <w:rsid w:val="00985280"/>
    <w:rsid w:val="00990B21"/>
    <w:rsid w:val="009940AF"/>
    <w:rsid w:val="00996EF0"/>
    <w:rsid w:val="009A5069"/>
    <w:rsid w:val="009B024D"/>
    <w:rsid w:val="009B1A9B"/>
    <w:rsid w:val="009B629D"/>
    <w:rsid w:val="009C5634"/>
    <w:rsid w:val="009C6829"/>
    <w:rsid w:val="009D0655"/>
    <w:rsid w:val="009D25C5"/>
    <w:rsid w:val="009D3928"/>
    <w:rsid w:val="009E08C5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2964"/>
    <w:rsid w:val="00B07F36"/>
    <w:rsid w:val="00B1559A"/>
    <w:rsid w:val="00B16CED"/>
    <w:rsid w:val="00B17563"/>
    <w:rsid w:val="00B55EBB"/>
    <w:rsid w:val="00B614DE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43F4"/>
    <w:rsid w:val="00BE5478"/>
    <w:rsid w:val="00BE788B"/>
    <w:rsid w:val="00C059CD"/>
    <w:rsid w:val="00C2409D"/>
    <w:rsid w:val="00C34FB0"/>
    <w:rsid w:val="00C37D3C"/>
    <w:rsid w:val="00C40208"/>
    <w:rsid w:val="00C41E4A"/>
    <w:rsid w:val="00C511AD"/>
    <w:rsid w:val="00C609C6"/>
    <w:rsid w:val="00C637C7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45D1"/>
    <w:rsid w:val="00CD5189"/>
    <w:rsid w:val="00CD689C"/>
    <w:rsid w:val="00CE23DD"/>
    <w:rsid w:val="00CE5FA3"/>
    <w:rsid w:val="00CF0260"/>
    <w:rsid w:val="00CF7721"/>
    <w:rsid w:val="00D003D9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A5B31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65AC3-004B-4E59-9ED0-4BAF0F2C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4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324</cp:revision>
  <cp:lastPrinted>2013-11-05T11:55:00Z</cp:lastPrinted>
  <dcterms:created xsi:type="dcterms:W3CDTF">2003-06-05T11:59:00Z</dcterms:created>
  <dcterms:modified xsi:type="dcterms:W3CDTF">2013-11-13T08:42:00Z</dcterms:modified>
</cp:coreProperties>
</file>