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E2901">
        <w:rPr>
          <w:sz w:val="22"/>
          <w:szCs w:val="22"/>
        </w:rPr>
        <w:t>2219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BE290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E2901">
        <w:t>7</w:t>
      </w:r>
      <w:r w:rsidR="00C22663">
        <w:t>6</w:t>
      </w:r>
      <w:r w:rsidR="00BE2901">
        <w:t>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84701">
        <w:rPr>
          <w:rFonts w:ascii="Arial" w:hAnsi="Arial" w:cs="Arial"/>
          <w:sz w:val="22"/>
          <w:szCs w:val="22"/>
        </w:rPr>
        <w:t> </w:t>
      </w:r>
      <w:r w:rsidR="00690874">
        <w:rPr>
          <w:rFonts w:ascii="Arial" w:hAnsi="Arial" w:cs="Arial"/>
          <w:sz w:val="22"/>
          <w:szCs w:val="22"/>
        </w:rPr>
        <w:t>8</w:t>
      </w:r>
      <w:r w:rsidR="00BE2901">
        <w:rPr>
          <w:rFonts w:ascii="Arial" w:hAnsi="Arial" w:cs="Arial"/>
          <w:sz w:val="22"/>
          <w:szCs w:val="22"/>
        </w:rPr>
        <w:t>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BE2901">
        <w:rPr>
          <w:rFonts w:cs="Arial"/>
          <w:szCs w:val="22"/>
        </w:rPr>
        <w:t>Jána FIGEĽA, Pavla HRUŠOVSKÉHO a Pavla ZAJACA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BE2901">
        <w:rPr>
          <w:rFonts w:cs="Arial"/>
          <w:szCs w:val="22"/>
        </w:rPr>
        <w:t>mení a dopĺňa zákon č. 171/2005 Z. z. o hazardných hrách a o zmene a doplnení niektorých zákonov v znení neskorších  predpisov  a  ktorým 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E2901">
        <w:rPr>
          <w:rFonts w:cs="Arial"/>
          <w:szCs w:val="22"/>
        </w:rPr>
        <w:t>788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E2901">
        <w:rPr>
          <w:rFonts w:cs="Arial"/>
          <w:szCs w:val="22"/>
        </w:rPr>
        <w:t>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9087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690874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90874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90874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0874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537CE"/>
    <w:rsid w:val="00BE2901"/>
    <w:rsid w:val="00BE56B2"/>
    <w:rsid w:val="00C11306"/>
    <w:rsid w:val="00C22663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74CDA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9087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690874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193</Words>
  <Characters>1102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2013-11-13T08:35:00Z</cp:lastPrinted>
  <dcterms:created xsi:type="dcterms:W3CDTF">2013-11-13T13:42:00Z</dcterms:created>
  <dcterms:modified xsi:type="dcterms:W3CDTF">2013-11-13T13:42:00Z</dcterms:modified>
</cp:coreProperties>
</file>