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D7D4A" w:rsidRPr="00580ADF" w:rsidP="008D7D4A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580ADF">
        <w:rPr>
          <w:rFonts w:ascii="Times New Roman" w:hAnsi="Times New Roman"/>
          <w:b/>
          <w:caps/>
          <w:spacing w:val="30"/>
        </w:rPr>
        <w:t>Doložka zlučiteľnosti</w:t>
      </w:r>
    </w:p>
    <w:p w:rsidR="008D7D4A" w:rsidRPr="00580ADF" w:rsidP="008D7D4A">
      <w:pPr>
        <w:bidi w:val="0"/>
        <w:jc w:val="center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právneho predpisu s právom Európskej únie </w:t>
      </w:r>
    </w:p>
    <w:p w:rsidR="008D7D4A" w:rsidRPr="00580ADF" w:rsidP="008D7D4A">
      <w:pPr>
        <w:bidi w:val="0"/>
        <w:rPr>
          <w:rFonts w:ascii="Times New Roman" w:hAnsi="Times New Roman"/>
        </w:rPr>
      </w:pPr>
    </w:p>
    <w:p w:rsidR="008D7D4A" w:rsidRPr="00580ADF" w:rsidP="008D7D4A">
      <w:pPr>
        <w:bidi w:val="0"/>
        <w:rPr>
          <w:rFonts w:ascii="Times New Roman" w:hAnsi="Times New Roman"/>
        </w:rPr>
      </w:pPr>
    </w:p>
    <w:p w:rsidR="008D7D4A" w:rsidRPr="00580ADF" w:rsidP="008D7D4A">
      <w:pPr>
        <w:bidi w:val="0"/>
        <w:ind w:left="360" w:hanging="360"/>
        <w:jc w:val="both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1.</w:t>
        <w:tab/>
        <w:t>Predkladateľ právneho predpisu:</w:t>
      </w:r>
      <w:r w:rsidRPr="00580A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skupina poslancov Národnej rady Slovenskej republiky</w:t>
      </w:r>
      <w:r w:rsidRPr="00580ADF">
        <w:rPr>
          <w:rFonts w:ascii="Times New Roman" w:hAnsi="Times New Roman"/>
        </w:rPr>
        <w:t> </w:t>
      </w:r>
    </w:p>
    <w:p w:rsidR="008D7D4A" w:rsidRPr="00580ADF" w:rsidP="008D7D4A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 w:rsidRPr="00580ADF">
        <w:rPr>
          <w:rFonts w:ascii="Times New Roman" w:hAnsi="Times New Roman"/>
        </w:rPr>
        <w:t xml:space="preserve"> </w:t>
      </w:r>
    </w:p>
    <w:p w:rsidR="008D7D4A" w:rsidRPr="00580ADF" w:rsidP="008D7D4A">
      <w:pPr>
        <w:bidi w:val="0"/>
        <w:ind w:left="360" w:hanging="360"/>
        <w:jc w:val="both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2.</w:t>
        <w:tab/>
        <w:t>Názov návrhu právneho predpisu:</w:t>
      </w:r>
      <w:r w:rsidRPr="00580ADF">
        <w:rPr>
          <w:rFonts w:ascii="Times New Roman" w:hAnsi="Times New Roman"/>
        </w:rPr>
        <w:t xml:space="preserve"> Návrh zákona</w:t>
      </w:r>
      <w:r>
        <w:rPr>
          <w:rFonts w:ascii="Times New Roman" w:hAnsi="Times New Roman"/>
        </w:rPr>
        <w:t>, ktorým sa mení a dopĺňa zákon č. 595/2003 Z. z.</w:t>
      </w:r>
      <w:r w:rsidRPr="00580ADF">
        <w:rPr>
          <w:rFonts w:ascii="Times New Roman" w:hAnsi="Times New Roman"/>
        </w:rPr>
        <w:t xml:space="preserve"> o</w:t>
      </w:r>
      <w:r>
        <w:rPr>
          <w:rFonts w:ascii="Times New Roman" w:hAnsi="Times New Roman"/>
        </w:rPr>
        <w:t xml:space="preserve"> dani z príjmov v znení neskorších predpisov </w:t>
      </w:r>
      <w:r w:rsidRPr="00580ADF">
        <w:rPr>
          <w:rFonts w:ascii="Times New Roman" w:hAnsi="Times New Roman"/>
        </w:rPr>
        <w:t> </w:t>
      </w:r>
    </w:p>
    <w:p w:rsidR="008D7D4A" w:rsidRPr="00580ADF" w:rsidP="008D7D4A">
      <w:pPr>
        <w:bidi w:val="0"/>
        <w:rPr>
          <w:rFonts w:ascii="Times New Roman" w:hAnsi="Times New Roman"/>
        </w:rPr>
      </w:pPr>
    </w:p>
    <w:p w:rsidR="008D7D4A" w:rsidRPr="008D7D4A" w:rsidP="008D7D4A">
      <w:pPr>
        <w:bidi w:val="0"/>
        <w:ind w:left="360" w:hanging="360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3.</w:t>
        <w:tab/>
        <w:t>Proble</w:t>
      </w:r>
      <w:r>
        <w:rPr>
          <w:rFonts w:ascii="Times New Roman" w:hAnsi="Times New Roman"/>
          <w:b/>
        </w:rPr>
        <w:t>matika návrhu právneho predpisu</w:t>
      </w:r>
      <w:r w:rsidRPr="0012245E">
        <w:rPr>
          <w:rFonts w:ascii="Times New Roman" w:hAnsi="Times New Roman"/>
          <w:b/>
          <w:bCs/>
        </w:rPr>
        <w:t xml:space="preserve">: </w:t>
      </w:r>
    </w:p>
    <w:p w:rsidR="008D7D4A" w:rsidRPr="0012245E" w:rsidP="008D7D4A">
      <w:pPr>
        <w:numPr>
          <w:ilvl w:val="1"/>
          <w:numId w:val="1"/>
        </w:numPr>
        <w:bidi w:val="0"/>
        <w:spacing w:after="120"/>
        <w:rPr>
          <w:rFonts w:ascii="Times New Roman" w:hAnsi="Times New Roman"/>
          <w:lang w:eastAsia="cs-CZ"/>
        </w:rPr>
      </w:pPr>
      <w:r w:rsidRPr="0012245E">
        <w:rPr>
          <w:rFonts w:ascii="Times New Roman" w:hAnsi="Times New Roman"/>
          <w:lang w:eastAsia="cs-CZ"/>
        </w:rPr>
        <w:t>je upravená v práve Európskej únie:</w:t>
      </w:r>
    </w:p>
    <w:p w:rsidR="008D7D4A" w:rsidRPr="0012245E" w:rsidP="008D7D4A">
      <w:pPr>
        <w:bidi w:val="0"/>
        <w:spacing w:after="120"/>
        <w:ind w:left="900" w:hanging="425"/>
        <w:rPr>
          <w:rFonts w:ascii="Times New Roman" w:hAnsi="Times New Roman"/>
          <w:b/>
          <w:bCs/>
          <w:iCs/>
          <w:lang w:eastAsia="cs-CZ"/>
        </w:rPr>
      </w:pPr>
      <w:r w:rsidRPr="0012245E">
        <w:rPr>
          <w:rFonts w:ascii="Times New Roman" w:hAnsi="Times New Roman"/>
          <w:b/>
          <w:bCs/>
          <w:iCs/>
          <w:lang w:eastAsia="cs-CZ"/>
        </w:rPr>
        <w:t xml:space="preserve">Primárne právo: </w:t>
      </w:r>
    </w:p>
    <w:p w:rsidR="008D7D4A" w:rsidRPr="0012245E" w:rsidP="008D7D4A">
      <w:pPr>
        <w:numPr>
          <w:numId w:val="2"/>
        </w:numPr>
        <w:bidi w:val="0"/>
        <w:spacing w:after="120"/>
        <w:rPr>
          <w:rFonts w:ascii="Times New Roman" w:hAnsi="Times New Roman"/>
          <w:lang w:eastAsia="cs-CZ"/>
        </w:rPr>
      </w:pPr>
      <w:r w:rsidRPr="0012245E">
        <w:rPr>
          <w:rFonts w:ascii="Times New Roman" w:hAnsi="Times New Roman"/>
          <w:lang w:eastAsia="cs-CZ"/>
        </w:rPr>
        <w:t>čl. 110 až 112 Zmluvy o fungovaní Európskej únie</w:t>
      </w:r>
      <w:r w:rsidRPr="0012245E">
        <w:rPr>
          <w:rFonts w:ascii="Times New Roman" w:hAnsi="Times New Roman"/>
        </w:rPr>
        <w:t>,</w:t>
      </w:r>
    </w:p>
    <w:p w:rsidR="008D7D4A" w:rsidRPr="0012245E" w:rsidP="008D7D4A">
      <w:pPr>
        <w:pStyle w:val="BodyTextIndent"/>
        <w:bidi w:val="0"/>
        <w:ind w:left="475"/>
        <w:rPr>
          <w:rFonts w:ascii="Times New Roman" w:hAnsi="Times New Roman"/>
          <w:b/>
          <w:bCs/>
          <w:i/>
          <w:iCs/>
        </w:rPr>
      </w:pPr>
      <w:r w:rsidRPr="0012245E">
        <w:rPr>
          <w:rFonts w:ascii="Times New Roman" w:hAnsi="Times New Roman"/>
          <w:b/>
          <w:bCs/>
          <w:iCs/>
        </w:rPr>
        <w:t>Sekundárne právo</w:t>
      </w:r>
      <w:r w:rsidRPr="0012245E">
        <w:rPr>
          <w:rFonts w:ascii="Times New Roman" w:hAnsi="Times New Roman"/>
          <w:b/>
          <w:bCs/>
          <w:i/>
          <w:iCs/>
        </w:rPr>
        <w:t xml:space="preserve">  </w:t>
      </w:r>
      <w:r w:rsidRPr="0012245E">
        <w:rPr>
          <w:rFonts w:ascii="Times New Roman" w:hAnsi="Times New Roman"/>
        </w:rPr>
        <w:t>(prijaté po nadobudnutí platnosti Lisabonskej zmluvy, ktorou sa mení a dopĺňa Zmluva o Európskom spoločenstve a Zmluva o Európskej únii - po 30. novembri 2009):</w:t>
      </w:r>
    </w:p>
    <w:p w:rsidR="008D7D4A" w:rsidRPr="0012245E" w:rsidP="008D7D4A">
      <w:pPr>
        <w:numPr>
          <w:numId w:val="11"/>
        </w:numPr>
        <w:autoSpaceDE w:val="0"/>
        <w:autoSpaceDN w:val="0"/>
        <w:bidi w:val="0"/>
        <w:adjustRightInd w:val="0"/>
        <w:spacing w:before="120"/>
        <w:ind w:left="782" w:hanging="357"/>
        <w:jc w:val="both"/>
        <w:rPr>
          <w:rFonts w:ascii="Times New Roman" w:hAnsi="Times New Roman"/>
          <w:bCs/>
          <w:iCs/>
          <w:u w:val="single"/>
        </w:rPr>
      </w:pPr>
      <w:r w:rsidRPr="0012245E">
        <w:rPr>
          <w:rFonts w:ascii="Times New Roman" w:hAnsi="Times New Roman"/>
          <w:bCs/>
          <w:iCs/>
          <w:u w:val="single"/>
        </w:rPr>
        <w:t>legislatívne akty:</w:t>
      </w:r>
    </w:p>
    <w:p w:rsidR="008D7D4A" w:rsidRPr="0012245E" w:rsidP="008D7D4A">
      <w:pPr>
        <w:numPr>
          <w:numId w:val="2"/>
        </w:numPr>
        <w:autoSpaceDE w:val="0"/>
        <w:autoSpaceDN w:val="0"/>
        <w:bidi w:val="0"/>
        <w:adjustRightInd w:val="0"/>
        <w:spacing w:before="120"/>
        <w:jc w:val="both"/>
        <w:rPr>
          <w:rFonts w:ascii="Times New Roman" w:hAnsi="Times New Roman"/>
          <w:bCs/>
          <w:i/>
          <w:iCs/>
          <w:u w:val="single"/>
        </w:rPr>
      </w:pPr>
      <w:r w:rsidRPr="0012245E">
        <w:rPr>
          <w:rFonts w:ascii="Times New Roman" w:hAnsi="Times New Roman"/>
          <w:bCs/>
          <w:iCs/>
        </w:rPr>
        <w:t xml:space="preserve">smernica </w:t>
      </w:r>
      <w:r w:rsidRPr="0012245E">
        <w:rPr>
          <w:rFonts w:ascii="Times New Roman" w:hAnsi="Times New Roman"/>
          <w:bCs/>
        </w:rPr>
        <w:t xml:space="preserve">Rady </w:t>
      </w:r>
      <w:r w:rsidRPr="0012245E">
        <w:rPr>
          <w:rFonts w:ascii="Times New Roman" w:hAnsi="Times New Roman"/>
          <w:bCs/>
          <w:u w:val="single"/>
        </w:rPr>
        <w:t>2011/96/EÚ</w:t>
      </w:r>
      <w:r w:rsidRPr="0012245E">
        <w:rPr>
          <w:rFonts w:ascii="Times New Roman" w:hAnsi="Times New Roman"/>
          <w:bCs/>
        </w:rPr>
        <w:t xml:space="preserve"> z 30. novembra 2011 o spoločnom systéme zdaňovania uplatňovanom v prípade materských spoločností a dcérskych spoločností v rozličných členských štátoch                       (prepracované znenie) (</w:t>
      </w:r>
      <w:r w:rsidRPr="0012245E">
        <w:rPr>
          <w:rStyle w:val="Emphasis"/>
          <w:rFonts w:ascii="Times New Roman" w:hAnsi="Times New Roman"/>
          <w:i w:val="0"/>
          <w:iCs/>
        </w:rPr>
        <w:t>Ú. v. EÚ L 345, 29.12.2011).</w:t>
      </w:r>
    </w:p>
    <w:p w:rsidR="008D7D4A" w:rsidRPr="0012245E" w:rsidP="008D7D4A">
      <w:pPr>
        <w:autoSpaceDE w:val="0"/>
        <w:autoSpaceDN w:val="0"/>
        <w:bidi w:val="0"/>
        <w:adjustRightInd w:val="0"/>
        <w:ind w:left="454"/>
        <w:jc w:val="both"/>
        <w:rPr>
          <w:rFonts w:ascii="Times New Roman" w:hAnsi="Times New Roman"/>
          <w:b/>
          <w:bCs/>
          <w:iCs/>
        </w:rPr>
      </w:pPr>
    </w:p>
    <w:p w:rsidR="008D7D4A" w:rsidRPr="0012245E" w:rsidP="008D7D4A">
      <w:pPr>
        <w:autoSpaceDE w:val="0"/>
        <w:autoSpaceDN w:val="0"/>
        <w:bidi w:val="0"/>
        <w:adjustRightInd w:val="0"/>
        <w:ind w:left="454"/>
        <w:jc w:val="both"/>
        <w:rPr>
          <w:rFonts w:ascii="Times New Roman" w:hAnsi="Times New Roman"/>
        </w:rPr>
      </w:pPr>
      <w:r w:rsidRPr="0012245E">
        <w:rPr>
          <w:rFonts w:ascii="Times New Roman" w:hAnsi="Times New Roman"/>
          <w:b/>
          <w:bCs/>
          <w:iCs/>
        </w:rPr>
        <w:t xml:space="preserve">Sekundárne právo </w:t>
      </w:r>
      <w:r w:rsidRPr="0012245E">
        <w:rPr>
          <w:rFonts w:ascii="Times New Roman" w:hAnsi="Times New Roman"/>
        </w:rPr>
        <w:t>(prijaté pred nadobudnutím platnosti Lisabonskej zmluvy, ktorou sa mení a dopĺňa Zmluva o Európskom spoločenstve a Zmluva o Európskej únii - do 30. novembra 2009):</w:t>
      </w:r>
    </w:p>
    <w:p w:rsidR="008D7D4A" w:rsidRPr="0012245E" w:rsidP="008D7D4A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  <w:b/>
          <w:bCs/>
          <w:iCs/>
        </w:rPr>
      </w:pPr>
    </w:p>
    <w:p w:rsidR="008D7D4A" w:rsidRPr="0012245E" w:rsidP="008D7D4A">
      <w:pPr>
        <w:numPr>
          <w:numId w:val="3"/>
        </w:numPr>
        <w:bidi w:val="0"/>
        <w:adjustRightInd w:val="0"/>
        <w:spacing w:after="120"/>
        <w:jc w:val="both"/>
        <w:rPr>
          <w:rFonts w:ascii="Times New Roman" w:hAnsi="Times New Roman"/>
        </w:rPr>
      </w:pPr>
      <w:r w:rsidRPr="0012245E">
        <w:rPr>
          <w:rFonts w:ascii="Times New Roman" w:hAnsi="Times New Roman"/>
          <w:bCs/>
        </w:rPr>
        <w:t xml:space="preserve">smernica Rady </w:t>
      </w:r>
      <w:r w:rsidRPr="0012245E">
        <w:rPr>
          <w:rFonts w:ascii="Times New Roman" w:hAnsi="Times New Roman"/>
          <w:bCs/>
          <w:u w:val="single"/>
        </w:rPr>
        <w:t>2003/48/ES</w:t>
      </w:r>
      <w:r w:rsidRPr="0012245E">
        <w:rPr>
          <w:rFonts w:ascii="Times New Roman" w:hAnsi="Times New Roman"/>
          <w:bCs/>
        </w:rPr>
        <w:t xml:space="preserve"> z 3. júna 2003 </w:t>
      </w:r>
      <w:r w:rsidRPr="0012245E">
        <w:rPr>
          <w:rFonts w:ascii="Times New Roman" w:hAnsi="Times New Roman"/>
        </w:rPr>
        <w:t xml:space="preserve">o zdaňovaní príjmu z úspor v podobe výplaty úrokov  </w:t>
      </w:r>
      <w:r w:rsidRPr="0012245E">
        <w:rPr>
          <w:rFonts w:ascii="Times New Roman" w:hAnsi="Times New Roman"/>
          <w:color w:val="000000"/>
        </w:rPr>
        <w:t>(</w:t>
      </w:r>
      <w:r w:rsidRPr="0012245E">
        <w:rPr>
          <w:rFonts w:ascii="Times New Roman" w:hAnsi="Times New Roman"/>
        </w:rPr>
        <w:t xml:space="preserve">Mimoriadne vydanie </w:t>
      </w:r>
      <w:r w:rsidRPr="0012245E">
        <w:rPr>
          <w:rFonts w:ascii="Times New Roman" w:hAnsi="Times New Roman"/>
          <w:color w:val="000000"/>
        </w:rPr>
        <w:t>Ú.v.</w:t>
      </w:r>
      <w:r w:rsidRPr="0012245E">
        <w:rPr>
          <w:rFonts w:ascii="Times New Roman" w:hAnsi="Times New Roman"/>
          <w:i/>
          <w:iCs/>
          <w:color w:val="000000"/>
        </w:rPr>
        <w:t xml:space="preserve"> </w:t>
      </w:r>
      <w:r w:rsidRPr="0012245E">
        <w:rPr>
          <w:rFonts w:ascii="Times New Roman" w:hAnsi="Times New Roman"/>
        </w:rPr>
        <w:t>EÚ, kap.  9/ zv. 1) v platnom znení,</w:t>
      </w:r>
    </w:p>
    <w:p w:rsidR="008D7D4A" w:rsidRPr="0012245E" w:rsidP="008D7D4A">
      <w:pPr>
        <w:numPr>
          <w:numId w:val="4"/>
        </w:numPr>
        <w:bidi w:val="0"/>
        <w:adjustRightInd w:val="0"/>
        <w:spacing w:after="120"/>
        <w:jc w:val="both"/>
        <w:rPr>
          <w:rFonts w:ascii="Times New Roman" w:hAnsi="Times New Roman"/>
        </w:rPr>
      </w:pPr>
      <w:r w:rsidRPr="0012245E">
        <w:rPr>
          <w:rFonts w:ascii="Times New Roman" w:hAnsi="Times New Roman"/>
          <w:bCs/>
        </w:rPr>
        <w:t xml:space="preserve">smernica Rady </w:t>
      </w:r>
      <w:r w:rsidRPr="0012245E">
        <w:rPr>
          <w:rFonts w:ascii="Times New Roman" w:hAnsi="Times New Roman"/>
          <w:bCs/>
          <w:u w:val="single"/>
        </w:rPr>
        <w:t>2003/49/ES</w:t>
      </w:r>
      <w:r w:rsidRPr="0012245E">
        <w:rPr>
          <w:rFonts w:ascii="Times New Roman" w:hAnsi="Times New Roman"/>
          <w:bCs/>
        </w:rPr>
        <w:t xml:space="preserve"> z 3. júna 2003 o spoločnom systéme zdaňovania uplatňovanom na výplaty úrokov a licenčných poplatkov medzi združenými spoločnosťami rôznych členských štátov  </w:t>
      </w:r>
      <w:r w:rsidRPr="0012245E">
        <w:rPr>
          <w:rFonts w:ascii="Times New Roman" w:hAnsi="Times New Roman"/>
          <w:color w:val="000000"/>
        </w:rPr>
        <w:t>(</w:t>
      </w:r>
      <w:r w:rsidRPr="0012245E">
        <w:rPr>
          <w:rFonts w:ascii="Times New Roman" w:hAnsi="Times New Roman"/>
        </w:rPr>
        <w:t xml:space="preserve">Mimoriadne vydanie </w:t>
      </w:r>
      <w:r w:rsidRPr="0012245E">
        <w:rPr>
          <w:rFonts w:ascii="Times New Roman" w:hAnsi="Times New Roman"/>
          <w:color w:val="000000"/>
        </w:rPr>
        <w:t>Ú.v.</w:t>
      </w:r>
      <w:r w:rsidRPr="0012245E">
        <w:rPr>
          <w:rFonts w:ascii="Times New Roman" w:hAnsi="Times New Roman"/>
          <w:i/>
          <w:iCs/>
          <w:color w:val="000000"/>
        </w:rPr>
        <w:t xml:space="preserve"> </w:t>
      </w:r>
      <w:r w:rsidRPr="0012245E">
        <w:rPr>
          <w:rFonts w:ascii="Times New Roman" w:hAnsi="Times New Roman"/>
        </w:rPr>
        <w:t>EÚ, kap. 9/ zv. 1) v platnom znení,</w:t>
      </w:r>
    </w:p>
    <w:p w:rsidR="008D7D4A" w:rsidRPr="0012245E" w:rsidP="008D7D4A">
      <w:pPr>
        <w:numPr>
          <w:numId w:val="4"/>
        </w:numPr>
        <w:bidi w:val="0"/>
        <w:adjustRightInd w:val="0"/>
        <w:spacing w:after="120"/>
        <w:jc w:val="both"/>
        <w:rPr>
          <w:rFonts w:ascii="Times New Roman" w:hAnsi="Times New Roman"/>
        </w:rPr>
      </w:pPr>
      <w:r w:rsidRPr="0012245E">
        <w:rPr>
          <w:rFonts w:ascii="Times New Roman" w:hAnsi="Times New Roman"/>
        </w:rPr>
        <w:t xml:space="preserve">smernica Rady </w:t>
      </w:r>
      <w:r w:rsidRPr="0012245E">
        <w:rPr>
          <w:rFonts w:ascii="Times New Roman" w:hAnsi="Times New Roman"/>
          <w:u w:val="single"/>
        </w:rPr>
        <w:t>2008/7/ES</w:t>
      </w:r>
      <w:r w:rsidRPr="0012245E">
        <w:rPr>
          <w:rFonts w:ascii="Times New Roman" w:hAnsi="Times New Roman"/>
        </w:rPr>
        <w:t xml:space="preserve"> z 12. februára 2008 o nepriamych daniach z navyšovania kapitálu ( Ú. v. EÚ L 46, 21.2. 2008),</w:t>
      </w:r>
    </w:p>
    <w:p w:rsidR="008D7D4A" w:rsidRPr="0012245E" w:rsidP="008D7D4A">
      <w:pPr>
        <w:numPr>
          <w:numId w:val="10"/>
        </w:numPr>
        <w:tabs>
          <w:tab w:val="clear" w:pos="360"/>
          <w:tab w:val="num" w:pos="851"/>
        </w:tabs>
        <w:bidi w:val="0"/>
        <w:spacing w:before="150" w:after="150"/>
        <w:ind w:left="851" w:hanging="284"/>
        <w:jc w:val="both"/>
        <w:rPr>
          <w:rFonts w:ascii="Times New Roman" w:hAnsi="Times New Roman"/>
        </w:rPr>
      </w:pPr>
      <w:r w:rsidRPr="0012245E">
        <w:rPr>
          <w:rFonts w:ascii="Times New Roman" w:hAnsi="Times New Roman"/>
        </w:rPr>
        <w:t xml:space="preserve">smernica Rady </w:t>
      </w:r>
      <w:r w:rsidRPr="0012245E">
        <w:rPr>
          <w:rFonts w:ascii="Times New Roman" w:hAnsi="Times New Roman"/>
          <w:u w:val="single"/>
        </w:rPr>
        <w:t>2009/133/ES</w:t>
      </w:r>
      <w:r w:rsidRPr="0012245E">
        <w:rPr>
          <w:rFonts w:ascii="Times New Roman" w:hAnsi="Times New Roman"/>
        </w:rPr>
        <w:t xml:space="preserve"> z  19. októbra 2009 o spoločnom systéme zdaňovania, uplatniteľnom pri zlučovaní, rozdeľovaní, čiastočnom rozdeľovaní, prevode aktív a výmene akcií spoločností rôznych členských štátov a pri premiestnení sídla SE alebo SCE medzi členskými štátmi (Ú. v. EÚ L 310, 25.11. 2009). </w:t>
      </w:r>
    </w:p>
    <w:p w:rsidR="008D7D4A" w:rsidRPr="0012245E" w:rsidP="008D7D4A">
      <w:pPr>
        <w:bidi w:val="0"/>
        <w:spacing w:before="150" w:after="150"/>
        <w:ind w:left="851"/>
        <w:jc w:val="both"/>
        <w:rPr>
          <w:rFonts w:ascii="Times New Roman" w:hAnsi="Times New Roman"/>
        </w:rPr>
      </w:pPr>
    </w:p>
    <w:p w:rsidR="008D7D4A" w:rsidRPr="0012245E" w:rsidP="008D7D4A">
      <w:pPr>
        <w:numPr>
          <w:ilvl w:val="1"/>
          <w:numId w:val="1"/>
        </w:numPr>
        <w:bidi w:val="0"/>
        <w:spacing w:after="120"/>
        <w:rPr>
          <w:rFonts w:ascii="Times New Roman" w:hAnsi="Times New Roman"/>
          <w:lang w:eastAsia="cs-CZ"/>
        </w:rPr>
      </w:pPr>
      <w:r w:rsidRPr="0012245E">
        <w:rPr>
          <w:rFonts w:ascii="Times New Roman" w:hAnsi="Times New Roman"/>
          <w:lang w:eastAsia="cs-CZ"/>
        </w:rPr>
        <w:t>je obsiahnutá v judikatúre Súdneho dvora Európskej únie:</w:t>
      </w:r>
    </w:p>
    <w:p w:rsidR="008D7D4A" w:rsidRPr="0012245E" w:rsidP="008D7D4A">
      <w:pPr>
        <w:numPr>
          <w:numId w:val="5"/>
        </w:numPr>
        <w:bidi w:val="0"/>
        <w:spacing w:after="120"/>
        <w:jc w:val="both"/>
        <w:rPr>
          <w:rFonts w:ascii="Times New Roman" w:hAnsi="Times New Roman"/>
          <w:color w:val="000000"/>
        </w:rPr>
      </w:pPr>
      <w:r w:rsidRPr="0012245E">
        <w:rPr>
          <w:rFonts w:ascii="Times New Roman" w:hAnsi="Times New Roman"/>
          <w:color w:val="000000"/>
        </w:rPr>
        <w:t xml:space="preserve">rozhodnutie Súdneho dvora vo veci C - 28/95, </w:t>
      </w:r>
      <w:r w:rsidRPr="0012245E">
        <w:rPr>
          <w:rFonts w:ascii="Times New Roman" w:hAnsi="Times New Roman"/>
          <w:bCs/>
          <w:color w:val="000000"/>
        </w:rPr>
        <w:t>A.Leur-Bloem v. Inspecteur der Belastingdienst/Ondernemingen Amsterdam 2</w:t>
      </w:r>
      <w:r w:rsidRPr="0012245E">
        <w:rPr>
          <w:rFonts w:ascii="Times New Roman" w:hAnsi="Times New Roman"/>
          <w:color w:val="000000"/>
        </w:rPr>
        <w:t>, rok 1997,</w:t>
      </w:r>
    </w:p>
    <w:p w:rsidR="008D7D4A" w:rsidRPr="0012245E" w:rsidP="008D7D4A">
      <w:pPr>
        <w:numPr>
          <w:numId w:val="6"/>
        </w:numPr>
        <w:bidi w:val="0"/>
        <w:spacing w:after="120"/>
        <w:jc w:val="both"/>
        <w:rPr>
          <w:rFonts w:ascii="Times New Roman" w:hAnsi="Times New Roman"/>
          <w:color w:val="000000"/>
        </w:rPr>
      </w:pPr>
      <w:r w:rsidRPr="0012245E">
        <w:rPr>
          <w:rFonts w:ascii="Times New Roman" w:hAnsi="Times New Roman"/>
          <w:color w:val="000000"/>
        </w:rPr>
        <w:t xml:space="preserve">rozhodnutie Súdneho dvora vo veci C - 43/2000, Andersen og Jensen ApS v. Skatteministeriet, rok 2002, </w:t>
      </w:r>
    </w:p>
    <w:p w:rsidR="008D7D4A" w:rsidRPr="0012245E" w:rsidP="008D7D4A">
      <w:pPr>
        <w:numPr>
          <w:numId w:val="7"/>
        </w:numPr>
        <w:bidi w:val="0"/>
        <w:spacing w:after="120"/>
        <w:jc w:val="both"/>
        <w:rPr>
          <w:rFonts w:ascii="Times New Roman" w:hAnsi="Times New Roman"/>
          <w:color w:val="000000"/>
        </w:rPr>
      </w:pPr>
      <w:r w:rsidRPr="0012245E">
        <w:rPr>
          <w:rFonts w:ascii="Times New Roman" w:hAnsi="Times New Roman"/>
          <w:color w:val="000000"/>
        </w:rPr>
        <w:t>rozhodnutie Súdneho dvora vo veci C - 522/04, Európska komisia v. Belgické kráľovstvo, rok  2007,</w:t>
      </w:r>
    </w:p>
    <w:p w:rsidR="008D7D4A" w:rsidRPr="0012245E" w:rsidP="008D7D4A">
      <w:pPr>
        <w:numPr>
          <w:numId w:val="8"/>
        </w:numPr>
        <w:bidi w:val="0"/>
        <w:spacing w:after="120"/>
        <w:jc w:val="both"/>
        <w:rPr>
          <w:rFonts w:ascii="Times New Roman" w:hAnsi="Times New Roman"/>
          <w:color w:val="000000"/>
          <w:lang w:val="cs-CZ"/>
        </w:rPr>
      </w:pPr>
      <w:r w:rsidRPr="0012245E">
        <w:rPr>
          <w:rFonts w:ascii="Times New Roman" w:hAnsi="Times New Roman"/>
          <w:color w:val="000000"/>
        </w:rPr>
        <w:t>rozhodnutie Súdneho dvora vo veci C - 294/99, Athinaïki Zythopoiia AE v. Elliniko Dimosio, rok  2001</w:t>
      </w:r>
      <w:r w:rsidRPr="0012245E">
        <w:rPr>
          <w:rFonts w:ascii="Times New Roman" w:hAnsi="Times New Roman"/>
          <w:color w:val="000000"/>
          <w:lang w:val="cs-CZ"/>
        </w:rPr>
        <w:t>.</w:t>
      </w:r>
    </w:p>
    <w:p w:rsidR="008D7D4A" w:rsidRPr="0012245E" w:rsidP="008D7D4A">
      <w:pPr>
        <w:bidi w:val="0"/>
        <w:ind w:left="425"/>
        <w:rPr>
          <w:rFonts w:ascii="Times New Roman" w:hAnsi="Times New Roman"/>
          <w:lang w:eastAsia="cs-CZ"/>
        </w:rPr>
      </w:pPr>
    </w:p>
    <w:p w:rsidR="008D7D4A" w:rsidRPr="008D7D4A" w:rsidP="008D7D4A">
      <w:pPr>
        <w:pStyle w:val="ListParagraph"/>
        <w:numPr>
          <w:ilvl w:val="1"/>
          <w:numId w:val="10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8D7D4A">
        <w:rPr>
          <w:rFonts w:ascii="Times New Roman" w:hAnsi="Times New Roman"/>
          <w:b/>
          <w:bCs/>
        </w:rPr>
        <w:t>Záväzky Slovenskej republiky vo vzťahu k Európskej únii:</w:t>
      </w:r>
    </w:p>
    <w:p w:rsidR="008D7D4A" w:rsidRPr="0012245E" w:rsidP="008D7D4A">
      <w:pPr>
        <w:numPr>
          <w:numId w:val="9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12245E">
        <w:rPr>
          <w:rFonts w:ascii="Times New Roman" w:hAnsi="Times New Roman"/>
          <w:lang w:eastAsia="cs-CZ"/>
        </w:rPr>
        <w:t xml:space="preserve">Lehota na prebratie smernice </w:t>
      </w:r>
      <w:r w:rsidRPr="0012245E">
        <w:rPr>
          <w:rFonts w:ascii="Times New Roman" w:hAnsi="Times New Roman"/>
        </w:rPr>
        <w:t>alebo lehota na implementáciu nariadenia alebo rozhodnutia</w:t>
      </w:r>
      <w:r w:rsidRPr="0012245E">
        <w:rPr>
          <w:rFonts w:ascii="Times New Roman" w:hAnsi="Times New Roman"/>
          <w:bCs/>
        </w:rPr>
        <w:t>: bezpredmetné</w:t>
      </w:r>
    </w:p>
    <w:p w:rsidR="008D7D4A" w:rsidRPr="0012245E" w:rsidP="008D7D4A">
      <w:pPr>
        <w:numPr>
          <w:numId w:val="9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12245E">
        <w:rPr>
          <w:rFonts w:ascii="Times New Roman" w:hAnsi="Times New Roman"/>
          <w:bCs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predpisov: bezpredmetné</w:t>
      </w:r>
      <w:r w:rsidRPr="0012245E">
        <w:rPr>
          <w:rFonts w:ascii="Times New Roman" w:hAnsi="Times New Roman"/>
          <w:lang w:eastAsia="cs-CZ"/>
        </w:rPr>
        <w:t>.</w:t>
      </w:r>
    </w:p>
    <w:p w:rsidR="008D7D4A" w:rsidRPr="0012245E" w:rsidP="008D7D4A">
      <w:pPr>
        <w:numPr>
          <w:numId w:val="9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12245E">
        <w:rPr>
          <w:rFonts w:ascii="Times New Roman" w:hAnsi="Times New Roman"/>
          <w:lang w:eastAsia="cs-CZ"/>
        </w:rPr>
        <w:t>Proti SR nebolo začaté konanie o porušení Zmluvy o fungovaní Európskej únie podľa čl. 258 až 260 Zmluvy o fungovaní Európskej únie.</w:t>
      </w:r>
    </w:p>
    <w:p w:rsidR="008D7D4A" w:rsidRPr="0012245E" w:rsidP="008D7D4A">
      <w:pPr>
        <w:numPr>
          <w:numId w:val="9"/>
        </w:numPr>
        <w:tabs>
          <w:tab w:val="left" w:pos="425"/>
          <w:tab w:val="clear" w:pos="720"/>
        </w:tabs>
        <w:bidi w:val="0"/>
        <w:ind w:left="425" w:hanging="425"/>
        <w:jc w:val="both"/>
        <w:rPr>
          <w:rFonts w:ascii="Times New Roman" w:hAnsi="Times New Roman"/>
          <w:lang w:eastAsia="cs-CZ"/>
        </w:rPr>
      </w:pPr>
      <w:r w:rsidRPr="0012245E">
        <w:rPr>
          <w:rFonts w:ascii="Times New Roman" w:hAnsi="Times New Roman"/>
          <w:lang w:eastAsia="cs-CZ"/>
        </w:rPr>
        <w:t>Bezpredmetné.</w:t>
      </w:r>
    </w:p>
    <w:p w:rsidR="008D7D4A" w:rsidRPr="0012245E" w:rsidP="008D7D4A">
      <w:pPr>
        <w:tabs>
          <w:tab w:val="left" w:pos="425"/>
        </w:tabs>
        <w:bidi w:val="0"/>
        <w:ind w:left="425"/>
        <w:jc w:val="both"/>
        <w:rPr>
          <w:rFonts w:ascii="Times New Roman" w:hAnsi="Times New Roman"/>
          <w:lang w:eastAsia="cs-CZ"/>
        </w:rPr>
      </w:pPr>
    </w:p>
    <w:p w:rsidR="008D7D4A" w:rsidRPr="008D7D4A" w:rsidP="008D7D4A">
      <w:pPr>
        <w:pStyle w:val="ListParagraph"/>
        <w:numPr>
          <w:ilvl w:val="1"/>
          <w:numId w:val="10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8D7D4A">
        <w:rPr>
          <w:rFonts w:ascii="Times New Roman" w:hAnsi="Times New Roman"/>
          <w:b/>
          <w:bCs/>
        </w:rPr>
        <w:t>Stupeň zlučiteľnosti návrhu zákona s právom Európskej únie:</w:t>
      </w:r>
    </w:p>
    <w:p w:rsidR="008D7D4A" w:rsidRPr="0012245E" w:rsidP="008D7D4A">
      <w:pPr>
        <w:bidi w:val="0"/>
        <w:spacing w:after="120"/>
        <w:ind w:left="425" w:hanging="425"/>
        <w:jc w:val="both"/>
        <w:rPr>
          <w:rFonts w:ascii="Times New Roman" w:hAnsi="Times New Roman"/>
        </w:rPr>
      </w:pPr>
      <w:r w:rsidRPr="0012245E">
        <w:rPr>
          <w:rFonts w:ascii="Times New Roman" w:hAnsi="Times New Roman"/>
        </w:rPr>
        <w:tab/>
        <w:t>Úplný.</w:t>
      </w:r>
    </w:p>
    <w:p w:rsidR="008D7D4A" w:rsidRPr="008D7D4A" w:rsidP="008D7D4A">
      <w:pPr>
        <w:pStyle w:val="ListParagraph"/>
        <w:numPr>
          <w:ilvl w:val="1"/>
          <w:numId w:val="10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8D7D4A">
        <w:rPr>
          <w:rFonts w:ascii="Times New Roman" w:hAnsi="Times New Roman"/>
          <w:b/>
          <w:bCs/>
        </w:rPr>
        <w:t xml:space="preserve">Gestor a spolupracujúce rezorty: </w:t>
      </w:r>
    </w:p>
    <w:p w:rsidR="008D7D4A" w:rsidP="008D7D4A">
      <w:pPr>
        <w:bidi w:val="0"/>
        <w:ind w:left="709" w:hanging="34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Bezpredmetné. </w:t>
      </w: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8D7D4A" w:rsidP="008D7D4A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D4A" w:rsidP="008D7D4A">
      <w:pPr>
        <w:bidi w:val="0"/>
        <w:rPr>
          <w:rFonts w:ascii="Times New Roman" w:hAnsi="Times New Roman"/>
          <w:b/>
          <w:bCs/>
        </w:rPr>
      </w:pPr>
    </w:p>
    <w:p w:rsidR="008D7D4A" w:rsidP="008D7D4A">
      <w:pPr>
        <w:bidi w:val="0"/>
        <w:jc w:val="both"/>
        <w:rPr>
          <w:rFonts w:ascii="Times New Roman" w:hAnsi="Times New Roman" w:cs="Arial"/>
        </w:rPr>
      </w:pPr>
      <w:r>
        <w:rPr>
          <w:rFonts w:ascii="Times New Roman" w:hAnsi="Times New Roman"/>
          <w:b/>
          <w:bCs/>
        </w:rPr>
        <w:t xml:space="preserve">A.1. Názov materiálu: </w:t>
      </w:r>
      <w:r>
        <w:rPr>
          <w:rFonts w:ascii="Times New Roman" w:hAnsi="Times New Roman"/>
          <w:color w:val="000000"/>
        </w:rPr>
        <w:t xml:space="preserve">Návrh zákona, ktorým sa mení a dopĺňa </w:t>
      </w:r>
      <w:r>
        <w:rPr>
          <w:rFonts w:ascii="Times New Roman" w:hAnsi="Times New Roman" w:cs="Arial"/>
        </w:rPr>
        <w:t xml:space="preserve">zákon </w:t>
      </w:r>
      <w:r w:rsidRPr="005E55D9">
        <w:rPr>
          <w:rFonts w:ascii="Times New Roman" w:hAnsi="Times New Roman" w:cs="Arial"/>
        </w:rPr>
        <w:t xml:space="preserve">č. </w:t>
      </w:r>
      <w:r w:rsidR="00C22913">
        <w:rPr>
          <w:rFonts w:ascii="Times New Roman" w:hAnsi="Times New Roman" w:cs="Arial"/>
        </w:rPr>
        <w:t>595</w:t>
      </w:r>
      <w:r>
        <w:rPr>
          <w:rFonts w:ascii="Times New Roman" w:hAnsi="Times New Roman" w:cs="Arial"/>
        </w:rPr>
        <w:t>/20</w:t>
      </w:r>
      <w:r w:rsidR="00C22913">
        <w:rPr>
          <w:rFonts w:ascii="Times New Roman" w:hAnsi="Times New Roman" w:cs="Arial"/>
        </w:rPr>
        <w:t>03</w:t>
      </w:r>
      <w:r w:rsidRPr="005E55D9">
        <w:rPr>
          <w:rFonts w:ascii="Times New Roman" w:hAnsi="Times New Roman" w:cs="Arial"/>
        </w:rPr>
        <w:t xml:space="preserve"> Z. z. o</w:t>
      </w:r>
      <w:r w:rsidR="00C22913">
        <w:rPr>
          <w:rFonts w:ascii="Times New Roman" w:hAnsi="Times New Roman" w:cs="Arial"/>
        </w:rPr>
        <w:t xml:space="preserve"> dani z príjmov v znení neskorších predpisov </w:t>
      </w:r>
      <w:r>
        <w:rPr>
          <w:rFonts w:ascii="Times New Roman" w:hAnsi="Times New Roman" w:cs="Arial"/>
        </w:rPr>
        <w:t xml:space="preserve">  </w:t>
      </w:r>
    </w:p>
    <w:p w:rsidR="008D7D4A" w:rsidP="008D7D4A">
      <w:pPr>
        <w:bidi w:val="0"/>
        <w:jc w:val="both"/>
        <w:rPr>
          <w:rFonts w:ascii="Times New Roman" w:hAnsi="Times New Roman" w:cs="Arial"/>
        </w:rPr>
      </w:pPr>
    </w:p>
    <w:p w:rsidR="008D7D4A" w:rsidP="008D7D4A">
      <w:pPr>
        <w:bidi w:val="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A.2. Vplyvy:</w:t>
      </w:r>
    </w:p>
    <w:p w:rsidR="008D7D4A" w:rsidP="008D7D4A">
      <w:pPr>
        <w:bidi w:val="0"/>
        <w:rPr>
          <w:rFonts w:ascii="Times New Roman" w:hAnsi="Times New Roman"/>
        </w:rPr>
      </w:pP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RPr="00915AFF" w:rsidP="005156B2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1. Vplyvy na rozpočet verejnej správy</w:t>
            </w:r>
          </w:p>
          <w:p w:rsidR="008D7D4A" w:rsidRPr="00915AFF" w:rsidP="005156B2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C22913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RPr="00915AFF" w:rsidP="005156B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C22913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3, Sociálne vplyvy </w:t>
            </w:r>
          </w:p>
          <w:p w:rsidR="008D7D4A" w:rsidP="005156B2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– vplyvy  na hospodárenie obyvateľstva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</w:p>
          <w:p w:rsidR="008D7D4A" w:rsidP="005156B2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sociálnu exklúziu,</w:t>
            </w:r>
          </w:p>
          <w:p w:rsidR="008D7D4A" w:rsidRPr="00915AFF" w:rsidP="005156B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RPr="00915AFF" w:rsidP="005156B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RPr="00915AFF" w:rsidP="005156B2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D7D4A" w:rsidP="008D7D4A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B564AB">
        <w:rPr>
          <w:rFonts w:ascii="Times New Roman" w:hAnsi="Times New Roman"/>
          <w:bCs/>
          <w:sz w:val="16"/>
          <w:szCs w:val="16"/>
        </w:rPr>
        <w:t>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8D7D4A" w:rsidRPr="003E1314" w:rsidP="008D7D4A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 w:rsidRPr="003E1314">
        <w:rPr>
          <w:rFonts w:ascii="Times New Roman" w:hAnsi="Times New Roman"/>
          <w:b/>
          <w:bCs/>
        </w:rPr>
        <w:t>A.3. Poznámky</w:t>
      </w:r>
    </w:p>
    <w:p w:rsidR="008D7D4A" w:rsidRPr="002531EE" w:rsidP="008D7D4A">
      <w:pPr>
        <w:pStyle w:val="BodyText"/>
        <w:bidi w:val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Novela zákona má pozitívny vplyv na</w:t>
      </w:r>
      <w:r w:rsidR="00C22913">
        <w:rPr>
          <w:rFonts w:ascii="Times New Roman" w:hAnsi="Times New Roman"/>
        </w:rPr>
        <w:t xml:space="preserve"> príjmovú stránku rozpočtu, nakoľko sa znižuje hranica, kedy je možné uplatniť nezdaniteľnú položku. </w:t>
      </w:r>
      <w:r w:rsidR="006F7290">
        <w:rPr>
          <w:rFonts w:ascii="Times New Roman" w:hAnsi="Times New Roman"/>
        </w:rPr>
        <w:t xml:space="preserve">Zároveň sa tým zabezpečujú finančné prostriedky pre uplatnenie si vyššej nezdaniteľnej položky pre nízkopríjmových skupinách obyvateľstva, za splnenia stanovených kritérií. </w:t>
      </w:r>
      <w:r w:rsidR="00C22913">
        <w:rPr>
          <w:rFonts w:ascii="Times New Roman" w:hAnsi="Times New Roman"/>
        </w:rPr>
        <w:t>Nízkopríjmovým obyvateľom sa návrhom dáva možnosť pri spoločnom daňovom priznaní uplatniť vyššiu nezdaniteľnú položku, na základe ktorej im zostane väčšia časť príjmu ako doteraz, čo má pozitívny sociálny dopad.</w:t>
      </w:r>
      <w:r>
        <w:rPr>
          <w:rFonts w:ascii="Times New Roman" w:hAnsi="Times New Roman"/>
        </w:rPr>
        <w:t xml:space="preserve"> </w:t>
      </w:r>
      <w:r w:rsidR="00C22913">
        <w:rPr>
          <w:rFonts w:ascii="Times New Roman" w:hAnsi="Times New Roman"/>
        </w:rPr>
        <w:t xml:space="preserve">Presný dopad nie je možné vyčísliť, nakoľko nie je možné presne určiť, koľkých daňovníkov sa navrhované opatrenia budú týkať. </w:t>
      </w:r>
    </w:p>
    <w:p w:rsidR="008D7D4A" w:rsidRPr="003E1314" w:rsidP="008D7D4A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  <w:r w:rsidRPr="003E1314">
        <w:rPr>
          <w:rFonts w:ascii="Times New Roman" w:hAnsi="Times New Roman"/>
          <w:b/>
        </w:rPr>
        <w:t>A.4. Alternatívne riešenia</w:t>
      </w:r>
    </w:p>
    <w:p w:rsidR="008D7D4A" w:rsidP="008D7D4A">
      <w:pPr>
        <w:pStyle w:val="BodyText"/>
        <w:bidi w:val="0"/>
        <w:ind w:left="1416"/>
        <w:jc w:val="both"/>
        <w:rPr>
          <w:rFonts w:ascii="Times New Roman" w:hAnsi="Times New Roman"/>
          <w:b/>
          <w:sz w:val="22"/>
          <w:szCs w:val="22"/>
        </w:rPr>
      </w:pPr>
    </w:p>
    <w:p w:rsidR="008D7D4A" w:rsidP="008D7D4A">
      <w:pPr>
        <w:pStyle w:val="BodyText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Nepredkladajú sa. </w:t>
      </w:r>
    </w:p>
    <w:p w:rsidR="008D7D4A" w:rsidP="008D7D4A">
      <w:pPr>
        <w:pStyle w:val="BodyText"/>
        <w:bidi w:val="0"/>
        <w:jc w:val="both"/>
        <w:rPr>
          <w:rFonts w:ascii="Times New Roman" w:hAnsi="Times New Roman"/>
        </w:rPr>
      </w:pPr>
    </w:p>
    <w:p w:rsidR="008D7D4A" w:rsidP="008D7D4A">
      <w:pPr>
        <w:pStyle w:val="BodyText2"/>
        <w:bidi w:val="0"/>
        <w:outlineLvl w:val="0"/>
        <w:rPr>
          <w:rFonts w:ascii="Times New Roman" w:hAnsi="Times New Roman"/>
          <w:b/>
        </w:rPr>
      </w:pPr>
      <w:r w:rsidRPr="002076B4">
        <w:rPr>
          <w:rFonts w:ascii="Times New Roman" w:hAnsi="Times New Roman"/>
          <w:b/>
        </w:rPr>
        <w:t xml:space="preserve">A.5. Stanovisko gestorov </w:t>
      </w:r>
    </w:p>
    <w:p w:rsidR="008D7D4A" w:rsidRPr="00582C8D" w:rsidP="008D7D4A">
      <w:pPr>
        <w:pStyle w:val="BodyText2"/>
        <w:bidi w:val="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Bezpredmetné</w:t>
      </w: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altName w:val="Arial Narrow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preferrelative="t" o:bullet="t" stroked="f">
        <v:imagedata r:id="rId1" o:title=""/>
      </v:shape>
    </w:pict>
  </w:numPicBullet>
  <w:numPicBullet w:numPicBulletId="1">
    <w:pict>
      <v:shape id="_x0000_i1026" type="#_x0000_t75" style="width:3in;height:3in" o:preferrelative="t" o:bullet="t" stroked="f">
        <v:imagedata r:id="rId2" o:title=""/>
      </v:shape>
    </w:pict>
  </w:numPicBullet>
  <w:abstractNum w:abstractNumId="0">
    <w:nsid w:val="01A40FCF"/>
    <w:multiLevelType w:val="hybridMultilevel"/>
    <w:tmpl w:val="78608D7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86D4C49"/>
    <w:multiLevelType w:val="hybridMultilevel"/>
    <w:tmpl w:val="8658866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3F850B32"/>
    <w:multiLevelType w:val="hybridMultilevel"/>
    <w:tmpl w:val="586A431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4437644"/>
    <w:multiLevelType w:val="hybridMultilevel"/>
    <w:tmpl w:val="B4BC25C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5ADE45D2"/>
    <w:multiLevelType w:val="hybridMultilevel"/>
    <w:tmpl w:val="B0789A54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C9B77D4"/>
    <w:multiLevelType w:val="multilevel"/>
    <w:tmpl w:val="C262C0B0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ascii="Times New Roman" w:eastAsia="Times New Roman" w:hAnsi="Times New Roman" w:cs="Times New Roman"/>
        <w:b w:val="0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6">
    <w:nsid w:val="5D0B44FF"/>
    <w:multiLevelType w:val="hybrid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EC612B4"/>
    <w:multiLevelType w:val="hybridMultilevel"/>
    <w:tmpl w:val="62ACBE8A"/>
    <w:lvl w:ilvl="0">
      <w:start w:val="1"/>
      <w:numFmt w:val="decimal"/>
      <w:lvlText w:val="%1."/>
      <w:lvlJc w:val="left"/>
      <w:pPr>
        <w:ind w:left="786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8">
    <w:nsid w:val="63DC34B7"/>
    <w:multiLevelType w:val="hybridMultilevel"/>
    <w:tmpl w:val="2C80850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67381AF0"/>
    <w:multiLevelType w:val="hybridMultilevel"/>
    <w:tmpl w:val="545C9D60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654E1F"/>
    <w:multiLevelType w:val="multilevel"/>
    <w:tmpl w:val="D63EA44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>
      <w:start w:val="4"/>
      <w:numFmt w:val="decimal"/>
      <w:lvlText w:val="%2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7F56F6"/>
    <w:rsid w:val="0012245E"/>
    <w:rsid w:val="002076B4"/>
    <w:rsid w:val="002531EE"/>
    <w:rsid w:val="003C35A1"/>
    <w:rsid w:val="003E1314"/>
    <w:rsid w:val="003F430C"/>
    <w:rsid w:val="005156B2"/>
    <w:rsid w:val="00580ADF"/>
    <w:rsid w:val="00582C8D"/>
    <w:rsid w:val="005E55D9"/>
    <w:rsid w:val="006F7290"/>
    <w:rsid w:val="007F56F6"/>
    <w:rsid w:val="008D7D4A"/>
    <w:rsid w:val="00915AFF"/>
    <w:rsid w:val="00B564AB"/>
    <w:rsid w:val="00C22913"/>
    <w:rsid w:val="00D840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D4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8D7D4A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D7D4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D7D4A"/>
    <w:rPr>
      <w:rFonts w:cs="Times New Roman"/>
      <w:i/>
      <w:rtl w:val="0"/>
      <w:cs w:val="0"/>
    </w:rPr>
  </w:style>
  <w:style w:type="paragraph" w:styleId="ListParagraph">
    <w:name w:val="List Paragraph"/>
    <w:basedOn w:val="Normal"/>
    <w:uiPriority w:val="34"/>
    <w:qFormat/>
    <w:rsid w:val="008D7D4A"/>
    <w:pPr>
      <w:ind w:left="720"/>
      <w:contextualSpacing/>
      <w:jc w:val="left"/>
    </w:pPr>
  </w:style>
  <w:style w:type="paragraph" w:styleId="BodyText">
    <w:name w:val="Body Text"/>
    <w:basedOn w:val="Normal"/>
    <w:link w:val="BodyTextChar"/>
    <w:uiPriority w:val="99"/>
    <w:unhideWhenUsed/>
    <w:rsid w:val="008D7D4A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D7D4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unhideWhenUsed/>
    <w:rsid w:val="008D7D4A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8D7D4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730</Words>
  <Characters>4165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2013-11-08T18:19:00Z</dcterms:created>
  <dcterms:modified xsi:type="dcterms:W3CDTF">2013-11-08T18:19:00Z</dcterms:modified>
</cp:coreProperties>
</file>