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B0FA0" w:rsidRPr="00770870" w:rsidP="00981DD1">
      <w:pPr>
        <w:keepNext/>
        <w:bidi w:val="0"/>
        <w:spacing w:after="0" w:line="240" w:lineRule="auto"/>
        <w:jc w:val="center"/>
        <w:outlineLvl w:val="1"/>
        <w:rPr>
          <w:rFonts w:ascii="Times New Roman" w:hAnsi="Times New Roman"/>
          <w:b/>
          <w:bCs/>
          <w:sz w:val="24"/>
          <w:szCs w:val="24"/>
          <w:lang w:eastAsia="cs-CZ"/>
        </w:rPr>
      </w:pPr>
      <w:r w:rsidRPr="00770870">
        <w:rPr>
          <w:rFonts w:ascii="Times New Roman" w:hAnsi="Times New Roman"/>
          <w:b/>
          <w:bCs/>
          <w:sz w:val="24"/>
          <w:szCs w:val="24"/>
          <w:lang w:eastAsia="cs-CZ"/>
        </w:rPr>
        <w:t>Dôvodová správa</w:t>
      </w:r>
    </w:p>
    <w:p w:rsidR="00AB0FA0" w:rsidRPr="00770870" w:rsidP="00981DD1">
      <w:pPr>
        <w:keepNext/>
        <w:bidi w:val="0"/>
        <w:spacing w:after="0" w:line="240" w:lineRule="auto"/>
        <w:jc w:val="center"/>
        <w:outlineLvl w:val="1"/>
        <w:rPr>
          <w:rFonts w:ascii="Times New Roman" w:hAnsi="Times New Roman"/>
          <w:sz w:val="24"/>
          <w:szCs w:val="24"/>
          <w:lang w:eastAsia="cs-CZ"/>
        </w:rPr>
      </w:pPr>
    </w:p>
    <w:p w:rsidR="00AB0FA0" w:rsidRPr="00770870" w:rsidP="00981DD1">
      <w:pPr>
        <w:bidi w:val="0"/>
        <w:spacing w:after="0" w:line="240" w:lineRule="auto"/>
        <w:rPr>
          <w:rFonts w:ascii="Times New Roman" w:hAnsi="Times New Roman"/>
          <w:b/>
          <w:bCs/>
          <w:sz w:val="24"/>
          <w:szCs w:val="24"/>
          <w:u w:val="single"/>
          <w:lang w:eastAsia="cs-CZ"/>
        </w:rPr>
      </w:pPr>
    </w:p>
    <w:p w:rsidR="00AB0FA0" w:rsidRPr="00770870" w:rsidP="00981DD1">
      <w:pPr>
        <w:bidi w:val="0"/>
        <w:spacing w:after="0" w:line="240" w:lineRule="auto"/>
        <w:rPr>
          <w:rFonts w:ascii="Times New Roman" w:hAnsi="Times New Roman"/>
          <w:b/>
          <w:bCs/>
          <w:sz w:val="24"/>
          <w:szCs w:val="24"/>
          <w:u w:val="single"/>
          <w:lang w:eastAsia="cs-CZ"/>
        </w:rPr>
      </w:pPr>
      <w:r w:rsidRPr="00770870">
        <w:rPr>
          <w:rFonts w:ascii="Times New Roman" w:hAnsi="Times New Roman"/>
          <w:b/>
          <w:bCs/>
          <w:sz w:val="24"/>
          <w:szCs w:val="24"/>
          <w:u w:val="single"/>
          <w:lang w:eastAsia="cs-CZ"/>
        </w:rPr>
        <w:t>Všeobecná časť</w:t>
      </w:r>
    </w:p>
    <w:p w:rsidR="00AB0FA0" w:rsidRPr="00770870" w:rsidP="00981DD1">
      <w:pPr>
        <w:bidi w:val="0"/>
        <w:spacing w:after="0" w:line="240" w:lineRule="auto"/>
        <w:rPr>
          <w:rFonts w:ascii="Times New Roman" w:hAnsi="Times New Roman"/>
          <w:sz w:val="24"/>
          <w:szCs w:val="24"/>
          <w:lang w:eastAsia="cs-CZ"/>
        </w:rPr>
      </w:pPr>
    </w:p>
    <w:p w:rsidR="00AB0FA0" w:rsidRPr="00770870" w:rsidP="00981DD1">
      <w:pPr>
        <w:bidi w:val="0"/>
        <w:spacing w:after="0" w:line="240" w:lineRule="auto"/>
        <w:ind w:firstLine="708"/>
        <w:jc w:val="both"/>
        <w:rPr>
          <w:rFonts w:ascii="Times New Roman" w:hAnsi="Times New Roman"/>
          <w:sz w:val="24"/>
          <w:szCs w:val="24"/>
          <w:lang w:eastAsia="cs-CZ"/>
        </w:rPr>
      </w:pPr>
      <w:r w:rsidRPr="00770870">
        <w:rPr>
          <w:rFonts w:ascii="Times New Roman" w:hAnsi="Times New Roman"/>
          <w:sz w:val="24"/>
          <w:szCs w:val="24"/>
          <w:lang w:eastAsia="cs-CZ"/>
        </w:rPr>
        <w:t>Návrh zákona, ktorým sa mení a dopĺňa zákon č. 206/2009 Z. z. o múzeách a o galériách a o ochrane predmetov kultúrnej hodnoty a o zmene zákona Slovenskej národnej rady č. 372/1990 Zb. o priestupkoch v znení neskorších predpisov a ktorým sa menia a dopĺňajú niektoré zákony (ďalej len „návrh zákona“), sa predkladá do legislatívneho procesu na základe Plánu legislatívnych úloh vlády SR na rok 2013, úloha č. 2 z plánu na mesiac október 2013.</w:t>
      </w:r>
    </w:p>
    <w:p w:rsidR="00AB0FA0" w:rsidRPr="00770870" w:rsidP="00981DD1">
      <w:pPr>
        <w:bidi w:val="0"/>
        <w:spacing w:after="0" w:line="240" w:lineRule="auto"/>
        <w:ind w:firstLine="708"/>
        <w:jc w:val="both"/>
        <w:rPr>
          <w:rFonts w:ascii="Times New Roman" w:hAnsi="Times New Roman"/>
          <w:sz w:val="24"/>
          <w:szCs w:val="24"/>
          <w:lang w:eastAsia="cs-CZ"/>
        </w:rPr>
      </w:pPr>
    </w:p>
    <w:p w:rsidR="00AB0FA0" w:rsidRPr="00770870" w:rsidP="00981DD1">
      <w:pPr>
        <w:bidi w:val="0"/>
        <w:spacing w:after="0" w:line="240" w:lineRule="auto"/>
        <w:ind w:firstLine="708"/>
        <w:jc w:val="both"/>
        <w:rPr>
          <w:rFonts w:ascii="Times New Roman" w:hAnsi="Times New Roman"/>
          <w:sz w:val="24"/>
          <w:szCs w:val="24"/>
        </w:rPr>
      </w:pPr>
      <w:r w:rsidRPr="00770870">
        <w:rPr>
          <w:rFonts w:ascii="Times New Roman" w:hAnsi="Times New Roman"/>
          <w:sz w:val="24"/>
          <w:szCs w:val="24"/>
        </w:rPr>
        <w:t>Múzeá a galérie majú osobitné poslanie v procese rozvoja spoločnosti. Uchovávajú a sprostredkúvajú základné spoločenské poznanie. Slúžia ako zbierkotvorné inštitúcie v procese výchovy a vzdelávania, spravovania najvýznamnejších kultúrnych a spoločenských hodnôt, manažovania lokalít kultúrneho dedičstva a najatraktívnejších lokalít kultúrneho turizmu. Sprístupňujú poznatky, ktoré spravujú pre ďalší výskum a použitie. Sú motorom rozvoja kreatívneho priemyslu a rozvoja poznatkovo orientovaných produktov.</w:t>
      </w:r>
    </w:p>
    <w:p w:rsidR="00AB0FA0" w:rsidRPr="00770870" w:rsidP="00981DD1">
      <w:pPr>
        <w:bidi w:val="0"/>
        <w:spacing w:after="0" w:line="240" w:lineRule="auto"/>
        <w:ind w:firstLine="708"/>
        <w:jc w:val="both"/>
        <w:rPr>
          <w:rFonts w:ascii="Times New Roman" w:hAnsi="Times New Roman"/>
          <w:sz w:val="24"/>
          <w:szCs w:val="24"/>
        </w:rPr>
      </w:pPr>
    </w:p>
    <w:p w:rsidR="00AB0FA0" w:rsidRPr="00770870" w:rsidP="00981DD1">
      <w:pPr>
        <w:bidi w:val="0"/>
        <w:spacing w:after="0" w:line="240" w:lineRule="auto"/>
        <w:ind w:firstLine="708"/>
        <w:jc w:val="both"/>
        <w:rPr>
          <w:rFonts w:ascii="Times New Roman" w:hAnsi="Times New Roman"/>
          <w:sz w:val="24"/>
          <w:szCs w:val="24"/>
        </w:rPr>
      </w:pPr>
      <w:r w:rsidRPr="00770870">
        <w:rPr>
          <w:rFonts w:ascii="Times New Roman" w:hAnsi="Times New Roman"/>
          <w:sz w:val="24"/>
          <w:szCs w:val="24"/>
        </w:rPr>
        <w:t>Predkladateľ pri príprave novely zákona vychádzal z podnetov a praktických skúseností pri  aplikácii zákona o múzeách a o galériách najmä národných múzejných a galerijných inštitúcií (Slovenského národného múzea a Slovenskej národnej galérie) a stavovských organizácií z oblasti múzeí a galérií (Zväzu múzeí na Slovensku, Rady galérií Slovenska a Slovenského výboru Slovenskej komisie ICOM).</w:t>
      </w:r>
    </w:p>
    <w:p w:rsidR="00AB0FA0" w:rsidRPr="00770870" w:rsidP="00981DD1">
      <w:pPr>
        <w:bidi w:val="0"/>
        <w:spacing w:after="0" w:line="240" w:lineRule="auto"/>
        <w:ind w:firstLine="708"/>
        <w:jc w:val="both"/>
        <w:rPr>
          <w:rFonts w:ascii="Times New Roman" w:hAnsi="Times New Roman"/>
          <w:sz w:val="24"/>
          <w:szCs w:val="24"/>
        </w:rPr>
      </w:pPr>
    </w:p>
    <w:p w:rsidR="00AB0FA0" w:rsidRPr="00770870" w:rsidP="00981DD1">
      <w:pPr>
        <w:pStyle w:val="NormalWeb"/>
        <w:bidi w:val="0"/>
        <w:spacing w:before="0" w:beforeAutospacing="0" w:after="0" w:afterAutospacing="0"/>
        <w:ind w:firstLine="708"/>
        <w:jc w:val="both"/>
        <w:rPr>
          <w:rFonts w:ascii="Times New Roman" w:hAnsi="Times New Roman"/>
        </w:rPr>
      </w:pPr>
      <w:r w:rsidRPr="00770870">
        <w:rPr>
          <w:rFonts w:ascii="Times New Roman" w:hAnsi="Times New Roman"/>
        </w:rPr>
        <w:t>Novelou zákona sa spresňujú pojmy (napr. galéria, vedomostný systém múzeí a galérií), zavádza sa nový pojem – múzejné a galerijné zariadenie, spresňujú sa práva a povinnosti zriaďovateľa alebo zakladateľa, ustanovenia Registra múzeí a galérií Slovenskej republiky, sústavy múzeí a galérií, výkonu základných odborných činností, znižuje sa administratívna záťaž a rozsah povinností v evidencii predmetov kultúrnej hodnoty, ktoré nie sú uchovávané v múzeu alebo v galérií a tiež administratívna záťaž v prípade dočasných vývozov zbierkových predmetov. Vzhľadom na rozsah drobných úprav a potreby zosúladenia znenia príloh predkladateľ pristúpil k úprave Prílohy č. 1 a Príloh č. 3 – 6 ako celku. Predmetom návrhu zákona nebolo meniť kategorizáciu múzeí a galérií.</w:t>
      </w:r>
    </w:p>
    <w:p w:rsidR="00AB0FA0" w:rsidRPr="00770870" w:rsidP="00981DD1">
      <w:pPr>
        <w:bidi w:val="0"/>
        <w:spacing w:after="0" w:line="240" w:lineRule="auto"/>
        <w:ind w:firstLine="708"/>
        <w:jc w:val="both"/>
        <w:rPr>
          <w:rFonts w:ascii="Times New Roman" w:hAnsi="Times New Roman"/>
          <w:sz w:val="24"/>
          <w:szCs w:val="24"/>
        </w:rPr>
      </w:pPr>
    </w:p>
    <w:p w:rsidR="00AB0FA0" w:rsidRPr="00770870" w:rsidP="00981DD1">
      <w:pPr>
        <w:pStyle w:val="NoSpacing"/>
        <w:tabs>
          <w:tab w:val="left" w:pos="0"/>
        </w:tabs>
        <w:bidi w:val="0"/>
        <w:jc w:val="both"/>
        <w:rPr>
          <w:rFonts w:ascii="Times New Roman" w:hAnsi="Times New Roman"/>
          <w:bCs/>
          <w:iCs/>
          <w:sz w:val="24"/>
          <w:szCs w:val="24"/>
        </w:rPr>
      </w:pPr>
      <w:r w:rsidRPr="00770870">
        <w:rPr>
          <w:rFonts w:ascii="Times New Roman" w:hAnsi="Times New Roman"/>
          <w:bCs/>
          <w:iCs/>
          <w:sz w:val="24"/>
          <w:szCs w:val="24"/>
        </w:rPr>
        <w:tab/>
        <w:t xml:space="preserve">Návrh zákona zároveň novelizuje: </w:t>
      </w:r>
    </w:p>
    <w:p w:rsidR="00AB0FA0" w:rsidRPr="00770870" w:rsidP="00981DD1">
      <w:pPr>
        <w:pStyle w:val="NoSpacing"/>
        <w:numPr>
          <w:numId w:val="1"/>
        </w:numPr>
        <w:tabs>
          <w:tab w:val="left" w:pos="0"/>
        </w:tabs>
        <w:bidi w:val="0"/>
        <w:jc w:val="both"/>
        <w:rPr>
          <w:rFonts w:ascii="Times New Roman" w:hAnsi="Times New Roman"/>
          <w:i/>
          <w:sz w:val="24"/>
          <w:szCs w:val="24"/>
        </w:rPr>
      </w:pPr>
      <w:r w:rsidRPr="00770870">
        <w:rPr>
          <w:rFonts w:ascii="Times New Roman" w:hAnsi="Times New Roman"/>
          <w:bCs/>
          <w:iCs/>
          <w:sz w:val="24"/>
          <w:szCs w:val="24"/>
        </w:rPr>
        <w:t xml:space="preserve">zákon č. 61/2000 Z. z. o osvetovej činnosti v znení zákona č. 416/2001 Z. z. z dôvodu, že Slovenská ústredná hvezdáreň v Hurbanove splynie s Národným osvetovým centrom v Bratislave, </w:t>
      </w:r>
    </w:p>
    <w:p w:rsidR="00AB0FA0" w:rsidRPr="00770870" w:rsidP="00981DD1">
      <w:pPr>
        <w:pStyle w:val="NoSpacing"/>
        <w:numPr>
          <w:numId w:val="1"/>
        </w:numPr>
        <w:tabs>
          <w:tab w:val="left" w:pos="0"/>
        </w:tabs>
        <w:bidi w:val="0"/>
        <w:jc w:val="both"/>
        <w:rPr>
          <w:rStyle w:val="Emphasis"/>
          <w:rFonts w:ascii="Times New Roman" w:hAnsi="Times New Roman"/>
          <w:sz w:val="24"/>
          <w:szCs w:val="24"/>
        </w:rPr>
      </w:pPr>
      <w:r w:rsidRPr="00770870">
        <w:rPr>
          <w:rFonts w:ascii="Times New Roman" w:hAnsi="Times New Roman"/>
          <w:bCs/>
          <w:iCs/>
          <w:sz w:val="24"/>
          <w:szCs w:val="24"/>
        </w:rPr>
        <w:t xml:space="preserve">zákon č. 207/2009 Z. z. </w:t>
      </w:r>
      <w:r w:rsidRPr="00770870">
        <w:rPr>
          <w:rFonts w:ascii="Times New Roman" w:hAnsi="Times New Roman"/>
          <w:bCs/>
          <w:iCs/>
          <w:color w:val="000000"/>
          <w:sz w:val="24"/>
          <w:szCs w:val="24"/>
        </w:rPr>
        <w:t xml:space="preserve">o podmienkach vývozu a dovozu predmetu kultúrnej hodnoty a o doplnení zákona č. 652/2004 Z. z. o orgánoch štátnej správy v colníctve a o zmene a doplnení niektorých zákonov z dôvodu určenia Ministerstva kultúry SR príslušným orgánom na vystavenie povolenia podľa </w:t>
      </w:r>
      <w:r w:rsidRPr="00770870">
        <w:rPr>
          <w:rFonts w:ascii="Times New Roman" w:hAnsi="Times New Roman"/>
          <w:sz w:val="24"/>
          <w:szCs w:val="24"/>
        </w:rPr>
        <w:t>Vykonávacieho nariadenia Komisie (EÚ) č. 1081/2012 zo dňa 9. novembra 2012 k nariadeniu Rady (ES) č. 116/2009 o vývoze tovaru kultúrneho charakteru (</w:t>
      </w:r>
      <w:r w:rsidRPr="00770870">
        <w:rPr>
          <w:rStyle w:val="Emphasis"/>
          <w:rFonts w:ascii="Times New Roman" w:hAnsi="Times New Roman"/>
          <w:i w:val="0"/>
          <w:sz w:val="24"/>
          <w:szCs w:val="24"/>
        </w:rPr>
        <w:t>Ú. v. EÚ L 324, 22.11.2012),</w:t>
      </w:r>
    </w:p>
    <w:p w:rsidR="00AB0FA0" w:rsidRPr="00770870" w:rsidP="00981DD1">
      <w:pPr>
        <w:pStyle w:val="NoSpacing"/>
        <w:numPr>
          <w:numId w:val="1"/>
        </w:numPr>
        <w:tabs>
          <w:tab w:val="left" w:pos="0"/>
        </w:tabs>
        <w:bidi w:val="0"/>
        <w:jc w:val="both"/>
        <w:rPr>
          <w:rFonts w:ascii="Times New Roman" w:hAnsi="Times New Roman"/>
          <w:i/>
          <w:sz w:val="24"/>
          <w:szCs w:val="24"/>
        </w:rPr>
      </w:pPr>
      <w:r w:rsidRPr="00770870">
        <w:rPr>
          <w:rFonts w:ascii="Times New Roman" w:hAnsi="Times New Roman"/>
          <w:sz w:val="24"/>
          <w:szCs w:val="24"/>
        </w:rPr>
        <w:t xml:space="preserve">zákon </w:t>
      </w:r>
      <w:r w:rsidRPr="00770870">
        <w:rPr>
          <w:rFonts w:ascii="Times New Roman" w:hAnsi="Times New Roman"/>
          <w:iCs/>
          <w:sz w:val="24"/>
          <w:szCs w:val="24"/>
        </w:rPr>
        <w:t xml:space="preserve">č. 49/2002 Z. z. o ochrane pamiatkového fondu v znení zákona č. 208/2009 Z. z. </w:t>
      </w:r>
      <w:r w:rsidRPr="00770870">
        <w:rPr>
          <w:rFonts w:ascii="Times New Roman" w:hAnsi="Times New Roman"/>
          <w:sz w:val="24"/>
          <w:szCs w:val="24"/>
        </w:rPr>
        <w:t xml:space="preserve">z dôvodu spresnenia podmienok, za ktorých je múzeum povinné prijať do svojej správy archeologické nálezy, ak boli získané z archeologických výskumov vykonaných v regióne jeho pôsobenia. </w:t>
      </w:r>
    </w:p>
    <w:p w:rsidR="00AB0FA0" w:rsidRPr="00770870" w:rsidP="00981DD1">
      <w:pPr>
        <w:pStyle w:val="NormalWeb"/>
        <w:bidi w:val="0"/>
        <w:spacing w:before="0" w:beforeAutospacing="0" w:after="0" w:afterAutospacing="0"/>
        <w:ind w:firstLine="708"/>
        <w:jc w:val="both"/>
        <w:rPr>
          <w:rFonts w:ascii="Times New Roman" w:hAnsi="Times New Roman"/>
          <w:color w:val="000000"/>
        </w:rPr>
      </w:pPr>
    </w:p>
    <w:p w:rsidR="00AB0FA0" w:rsidP="00981DD1">
      <w:pPr>
        <w:pStyle w:val="NormalWeb"/>
        <w:bidi w:val="0"/>
        <w:spacing w:before="0" w:beforeAutospacing="0" w:after="0" w:afterAutospacing="0"/>
        <w:ind w:firstLine="708"/>
        <w:jc w:val="both"/>
        <w:rPr>
          <w:rFonts w:ascii="Times New Roman" w:hAnsi="Times New Roman"/>
          <w:color w:val="000000"/>
        </w:rPr>
      </w:pPr>
      <w:r w:rsidRPr="00770870">
        <w:rPr>
          <w:rFonts w:ascii="Times New Roman" w:hAnsi="Times New Roman"/>
          <w:color w:val="000000"/>
        </w:rPr>
        <w:t>Návrh zákona je v súlade s Ústavou Slovenskej republiky, inými zákonmi a všeobecne záväznými právnymi predpismi, s medzinárodnými zmluvami, ktorými je Slovenská republika viazaná, ako aj s právom Európskej únie.</w:t>
      </w:r>
    </w:p>
    <w:p w:rsidR="00770870" w:rsidP="00981DD1">
      <w:pPr>
        <w:pStyle w:val="NormalWeb"/>
        <w:bidi w:val="0"/>
        <w:spacing w:before="0" w:beforeAutospacing="0" w:after="0" w:afterAutospacing="0"/>
        <w:ind w:firstLine="708"/>
        <w:jc w:val="both"/>
        <w:rPr>
          <w:rFonts w:ascii="Times New Roman" w:hAnsi="Times New Roman"/>
          <w:color w:val="000000"/>
        </w:rPr>
      </w:pPr>
    </w:p>
    <w:p w:rsidR="00770870" w:rsidRPr="00770870" w:rsidP="00981DD1">
      <w:pPr>
        <w:pStyle w:val="NormalWeb"/>
        <w:bidi w:val="0"/>
        <w:spacing w:before="0" w:beforeAutospacing="0" w:after="0" w:afterAutospacing="0"/>
        <w:ind w:firstLine="708"/>
        <w:jc w:val="both"/>
        <w:rPr>
          <w:rFonts w:ascii="Times New Roman" w:hAnsi="Times New Roman"/>
        </w:rPr>
      </w:pPr>
    </w:p>
    <w:p w:rsidR="00ED703E" w:rsidRPr="00770870" w:rsidP="00981DD1">
      <w:pPr>
        <w:widowControl w:val="0"/>
        <w:autoSpaceDE w:val="0"/>
        <w:autoSpaceDN w:val="0"/>
        <w:bidi w:val="0"/>
        <w:adjustRightInd w:val="0"/>
        <w:spacing w:after="0" w:line="240" w:lineRule="auto"/>
        <w:jc w:val="center"/>
        <w:rPr>
          <w:rFonts w:ascii="Times New Roman" w:hAnsi="Times New Roman"/>
          <w:b/>
          <w:caps/>
          <w:spacing w:val="30"/>
          <w:sz w:val="24"/>
          <w:szCs w:val="24"/>
          <w:lang w:eastAsia="sk-SK"/>
        </w:rPr>
      </w:pPr>
      <w:r w:rsidRPr="00770870">
        <w:rPr>
          <w:rFonts w:ascii="Times New Roman" w:hAnsi="Times New Roman"/>
          <w:b/>
          <w:caps/>
          <w:spacing w:val="30"/>
          <w:sz w:val="24"/>
          <w:szCs w:val="24"/>
          <w:lang w:eastAsia="sk-SK"/>
        </w:rPr>
        <w:t>Doložka zlučiteľnosti</w:t>
      </w:r>
    </w:p>
    <w:p w:rsidR="00ED703E" w:rsidRPr="00770870" w:rsidP="00981DD1">
      <w:pPr>
        <w:widowControl w:val="0"/>
        <w:autoSpaceDE w:val="0"/>
        <w:autoSpaceDN w:val="0"/>
        <w:bidi w:val="0"/>
        <w:adjustRightInd w:val="0"/>
        <w:spacing w:after="0" w:line="240" w:lineRule="auto"/>
        <w:jc w:val="center"/>
        <w:rPr>
          <w:rFonts w:ascii="Times New Roman" w:hAnsi="Times New Roman"/>
          <w:b/>
          <w:sz w:val="24"/>
          <w:szCs w:val="24"/>
          <w:lang w:eastAsia="sk-SK"/>
        </w:rPr>
      </w:pPr>
      <w:r w:rsidRPr="00770870">
        <w:rPr>
          <w:rFonts w:ascii="Times New Roman" w:hAnsi="Times New Roman"/>
          <w:b/>
          <w:sz w:val="24"/>
          <w:szCs w:val="24"/>
          <w:lang w:eastAsia="sk-SK"/>
        </w:rPr>
        <w:t>právneho predpisu s právom Európskej únie </w:t>
      </w:r>
    </w:p>
    <w:p w:rsidR="00ED703E" w:rsidRPr="00770870" w:rsidP="00981DD1">
      <w:pPr>
        <w:widowControl w:val="0"/>
        <w:autoSpaceDE w:val="0"/>
        <w:autoSpaceDN w:val="0"/>
        <w:bidi w:val="0"/>
        <w:adjustRightInd w:val="0"/>
        <w:spacing w:after="0" w:line="240" w:lineRule="auto"/>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left="360" w:hanging="360"/>
        <w:jc w:val="both"/>
        <w:rPr>
          <w:rFonts w:ascii="Times New Roman" w:hAnsi="Times New Roman"/>
          <w:b/>
          <w:sz w:val="24"/>
          <w:szCs w:val="24"/>
          <w:lang w:eastAsia="sk-SK"/>
        </w:rPr>
      </w:pPr>
      <w:r w:rsidRPr="00770870">
        <w:rPr>
          <w:rFonts w:ascii="Times New Roman" w:hAnsi="Times New Roman"/>
          <w:b/>
          <w:sz w:val="24"/>
          <w:szCs w:val="24"/>
          <w:lang w:eastAsia="sk-SK"/>
        </w:rPr>
        <w:t>1.</w:t>
        <w:tab/>
        <w:t>Predkladateľ právneho predpisu:</w:t>
      </w:r>
      <w:r w:rsidRPr="00770870">
        <w:rPr>
          <w:rFonts w:ascii="Times New Roman" w:hAnsi="Times New Roman"/>
          <w:sz w:val="24"/>
          <w:szCs w:val="24"/>
          <w:lang w:eastAsia="sk-SK"/>
        </w:rPr>
        <w:t xml:space="preserve"> vláda Slovenskej republiky </w:t>
      </w:r>
    </w:p>
    <w:p w:rsidR="00ED703E" w:rsidRPr="00770870" w:rsidP="00981DD1">
      <w:pPr>
        <w:widowControl w:val="0"/>
        <w:tabs>
          <w:tab w:val="left" w:pos="360"/>
        </w:tabs>
        <w:autoSpaceDE w:val="0"/>
        <w:autoSpaceDN w:val="0"/>
        <w:bidi w:val="0"/>
        <w:adjustRightInd w:val="0"/>
        <w:spacing w:after="0" w:line="240" w:lineRule="auto"/>
        <w:ind w:left="360"/>
        <w:jc w:val="both"/>
        <w:rPr>
          <w:rFonts w:ascii="Times New Roman" w:hAnsi="Times New Roman"/>
          <w:sz w:val="24"/>
          <w:szCs w:val="24"/>
          <w:lang w:eastAsia="sk-SK"/>
        </w:rPr>
      </w:pPr>
      <w:r w:rsidRPr="00770870">
        <w:rPr>
          <w:rFonts w:ascii="Times New Roman" w:hAnsi="Times New Roman"/>
          <w:sz w:val="24"/>
          <w:szCs w:val="24"/>
          <w:lang w:eastAsia="sk-SK"/>
        </w:rPr>
        <w:t xml:space="preserve"> </w:t>
      </w:r>
    </w:p>
    <w:p w:rsidR="00ED703E" w:rsidRPr="00770870" w:rsidP="00981DD1">
      <w:pPr>
        <w:widowControl w:val="0"/>
        <w:autoSpaceDE w:val="0"/>
        <w:autoSpaceDN w:val="0"/>
        <w:bidi w:val="0"/>
        <w:adjustRightInd w:val="0"/>
        <w:spacing w:after="0" w:line="240" w:lineRule="auto"/>
        <w:ind w:left="360" w:hanging="360"/>
        <w:jc w:val="both"/>
        <w:rPr>
          <w:rFonts w:ascii="Times New Roman" w:hAnsi="Times New Roman"/>
          <w:b/>
          <w:sz w:val="24"/>
          <w:szCs w:val="24"/>
          <w:lang w:eastAsia="sk-SK"/>
        </w:rPr>
      </w:pPr>
      <w:r w:rsidRPr="00770870">
        <w:rPr>
          <w:rFonts w:ascii="Times New Roman" w:hAnsi="Times New Roman"/>
          <w:b/>
          <w:sz w:val="24"/>
          <w:szCs w:val="24"/>
          <w:lang w:eastAsia="sk-SK"/>
        </w:rPr>
        <w:t>2.</w:t>
        <w:tab/>
        <w:t>Názov návrhu právneho predpisu:</w:t>
      </w:r>
      <w:r w:rsidRPr="00770870">
        <w:rPr>
          <w:rFonts w:ascii="Times New Roman" w:hAnsi="Times New Roman"/>
          <w:sz w:val="24"/>
          <w:szCs w:val="24"/>
          <w:lang w:eastAsia="sk-SK"/>
        </w:rPr>
        <w:t xml:space="preserve"> Návrh zákona, ktorým sa mení a dopĺňa zákon č. 206/2009 Z. z. o múzeách a o galériách a o ochrane predmetov kultúrnej hodnoty a o zmene zákona Slovenskej národnej rady č. 372/1990 Zb. o priestupkoch v znení neskorších predpisov a ktorým sa menia a dopĺňajú niektoré zákony  </w:t>
      </w:r>
    </w:p>
    <w:p w:rsidR="00ED703E" w:rsidRPr="00770870" w:rsidP="00981DD1">
      <w:pPr>
        <w:widowControl w:val="0"/>
        <w:autoSpaceDE w:val="0"/>
        <w:autoSpaceDN w:val="0"/>
        <w:bidi w:val="0"/>
        <w:adjustRightInd w:val="0"/>
        <w:spacing w:after="0" w:line="240" w:lineRule="auto"/>
        <w:jc w:val="both"/>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left="360" w:hanging="360"/>
        <w:jc w:val="both"/>
        <w:rPr>
          <w:rFonts w:ascii="Times New Roman" w:hAnsi="Times New Roman"/>
          <w:b/>
          <w:sz w:val="24"/>
          <w:szCs w:val="24"/>
          <w:lang w:eastAsia="sk-SK"/>
        </w:rPr>
      </w:pPr>
      <w:r w:rsidRPr="00770870">
        <w:rPr>
          <w:rFonts w:ascii="Times New Roman" w:hAnsi="Times New Roman"/>
          <w:b/>
          <w:sz w:val="24"/>
          <w:szCs w:val="24"/>
          <w:lang w:eastAsia="sk-SK"/>
        </w:rPr>
        <w:t>3.</w:t>
        <w:tab/>
        <w:t>Problematika návrhu právneho predpisu:</w:t>
      </w:r>
    </w:p>
    <w:p w:rsidR="00ED703E" w:rsidRPr="00770870" w:rsidP="00981DD1">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left="709" w:hanging="349"/>
        <w:jc w:val="both"/>
        <w:rPr>
          <w:rFonts w:ascii="Times New Roman" w:hAnsi="Times New Roman"/>
          <w:sz w:val="24"/>
          <w:szCs w:val="24"/>
          <w:lang w:eastAsia="sk-SK"/>
        </w:rPr>
      </w:pPr>
      <w:r w:rsidRPr="00770870">
        <w:rPr>
          <w:rFonts w:ascii="Times New Roman" w:hAnsi="Times New Roman"/>
          <w:sz w:val="24"/>
          <w:szCs w:val="24"/>
          <w:lang w:eastAsia="sk-SK"/>
        </w:rPr>
        <w:t>a)</w:t>
        <w:tab/>
        <w:t>je upravená v práve Európskej únie</w:t>
      </w:r>
    </w:p>
    <w:p w:rsidR="00ED703E" w:rsidRPr="00770870" w:rsidP="00981DD1">
      <w:pPr>
        <w:widowControl w:val="0"/>
        <w:autoSpaceDE w:val="0"/>
        <w:autoSpaceDN w:val="0"/>
        <w:bidi w:val="0"/>
        <w:adjustRightInd w:val="0"/>
        <w:spacing w:after="0" w:line="240" w:lineRule="auto"/>
        <w:ind w:left="360"/>
        <w:jc w:val="both"/>
        <w:rPr>
          <w:rFonts w:ascii="Times New Roman" w:hAnsi="Times New Roman"/>
          <w:sz w:val="24"/>
          <w:szCs w:val="24"/>
          <w:lang w:eastAsia="sk-SK"/>
        </w:rPr>
      </w:pPr>
    </w:p>
    <w:p w:rsidR="00ED703E" w:rsidRPr="00770870" w:rsidP="00981DD1">
      <w:pPr>
        <w:widowControl w:val="0"/>
        <w:tabs>
          <w:tab w:val="left" w:pos="1068"/>
        </w:tabs>
        <w:autoSpaceDE w:val="0"/>
        <w:autoSpaceDN w:val="0"/>
        <w:bidi w:val="0"/>
        <w:adjustRightInd w:val="0"/>
        <w:spacing w:after="0" w:line="240" w:lineRule="auto"/>
        <w:ind w:left="879" w:hanging="171"/>
        <w:jc w:val="both"/>
        <w:rPr>
          <w:rFonts w:ascii="Times New Roman" w:hAnsi="Times New Roman"/>
          <w:i/>
          <w:sz w:val="24"/>
          <w:szCs w:val="24"/>
          <w:lang w:eastAsia="sk-SK"/>
        </w:rPr>
      </w:pPr>
      <w:r w:rsidRPr="00770870">
        <w:rPr>
          <w:rFonts w:ascii="Times New Roman" w:hAnsi="Times New Roman"/>
          <w:sz w:val="24"/>
          <w:szCs w:val="24"/>
          <w:lang w:eastAsia="sk-SK"/>
        </w:rPr>
        <w:t>-</w:t>
        <w:tab/>
      </w:r>
      <w:r w:rsidRPr="00770870">
        <w:rPr>
          <w:rFonts w:ascii="Times New Roman" w:hAnsi="Times New Roman"/>
          <w:i/>
          <w:sz w:val="24"/>
          <w:szCs w:val="24"/>
          <w:lang w:eastAsia="sk-SK"/>
        </w:rPr>
        <w:t>primárnom</w:t>
      </w:r>
    </w:p>
    <w:p w:rsidR="00ED703E" w:rsidRPr="00770870" w:rsidP="00981DD1">
      <w:pPr>
        <w:widowControl w:val="0"/>
        <w:autoSpaceDE w:val="0"/>
        <w:autoSpaceDN w:val="0"/>
        <w:bidi w:val="0"/>
        <w:adjustRightInd w:val="0"/>
        <w:spacing w:after="0" w:line="240" w:lineRule="auto"/>
        <w:ind w:left="851"/>
        <w:jc w:val="both"/>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left="851"/>
        <w:jc w:val="both"/>
        <w:rPr>
          <w:rFonts w:ascii="Times New Roman" w:hAnsi="Times New Roman"/>
          <w:sz w:val="24"/>
          <w:szCs w:val="24"/>
          <w:lang w:eastAsia="sk-SK"/>
        </w:rPr>
      </w:pPr>
      <w:r w:rsidRPr="00770870">
        <w:rPr>
          <w:rFonts w:ascii="Times New Roman" w:hAnsi="Times New Roman"/>
          <w:sz w:val="24"/>
          <w:szCs w:val="24"/>
          <w:lang w:eastAsia="sk-SK"/>
        </w:rPr>
        <w:t>Zmluva o fungovaní Európskej únie - hlava XIII, článok 167 </w:t>
      </w:r>
    </w:p>
    <w:p w:rsidR="00ED703E" w:rsidRPr="00770870" w:rsidP="00981DD1">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p>
    <w:p w:rsidR="00ED703E" w:rsidRPr="00770870" w:rsidP="00981DD1">
      <w:pPr>
        <w:widowControl w:val="0"/>
        <w:tabs>
          <w:tab w:val="left" w:pos="1068"/>
        </w:tabs>
        <w:autoSpaceDE w:val="0"/>
        <w:autoSpaceDN w:val="0"/>
        <w:bidi w:val="0"/>
        <w:adjustRightInd w:val="0"/>
        <w:spacing w:after="0" w:line="240" w:lineRule="auto"/>
        <w:ind w:left="879" w:hanging="171"/>
        <w:jc w:val="both"/>
        <w:rPr>
          <w:rFonts w:ascii="Times New Roman" w:hAnsi="Times New Roman"/>
          <w:i/>
          <w:sz w:val="24"/>
          <w:szCs w:val="24"/>
          <w:lang w:eastAsia="sk-SK"/>
        </w:rPr>
      </w:pPr>
      <w:r w:rsidRPr="00770870">
        <w:rPr>
          <w:rFonts w:ascii="Times New Roman" w:hAnsi="Times New Roman"/>
          <w:sz w:val="24"/>
          <w:szCs w:val="24"/>
          <w:lang w:eastAsia="sk-SK"/>
        </w:rPr>
        <w:t>-</w:t>
        <w:tab/>
      </w:r>
      <w:r w:rsidRPr="00770870">
        <w:rPr>
          <w:rFonts w:ascii="Times New Roman" w:hAnsi="Times New Roman"/>
          <w:i/>
          <w:sz w:val="24"/>
          <w:szCs w:val="24"/>
          <w:lang w:eastAsia="sk-SK"/>
        </w:rPr>
        <w:t>sekundárnom (prijatom po nadobudnutím platnosti Lisabonskej zmluvy, ktorou sa mení a dopĺňa Zmluva o Európskom spoločenstve a Zmluva o Európskej únii – po 30. novembri 2009)</w:t>
      </w:r>
    </w:p>
    <w:p w:rsidR="00ED703E" w:rsidRPr="00770870" w:rsidP="00981DD1">
      <w:pPr>
        <w:widowControl w:val="0"/>
        <w:tabs>
          <w:tab w:val="left" w:pos="1068"/>
        </w:tabs>
        <w:autoSpaceDE w:val="0"/>
        <w:autoSpaceDN w:val="0"/>
        <w:bidi w:val="0"/>
        <w:adjustRightInd w:val="0"/>
        <w:spacing w:after="0" w:line="240" w:lineRule="auto"/>
        <w:ind w:left="879" w:hanging="171"/>
        <w:jc w:val="both"/>
        <w:rPr>
          <w:rFonts w:ascii="Times New Roman" w:hAnsi="Times New Roman"/>
          <w:i/>
          <w:sz w:val="24"/>
          <w:szCs w:val="24"/>
          <w:lang w:eastAsia="sk-SK"/>
        </w:rPr>
      </w:pPr>
    </w:p>
    <w:p w:rsidR="00ED703E" w:rsidRPr="00770870" w:rsidP="00981DD1">
      <w:pPr>
        <w:widowControl w:val="0"/>
        <w:autoSpaceDE w:val="0"/>
        <w:autoSpaceDN w:val="0"/>
        <w:bidi w:val="0"/>
        <w:adjustRightInd w:val="0"/>
        <w:spacing w:after="0" w:line="240" w:lineRule="auto"/>
        <w:ind w:left="1239" w:hanging="360"/>
        <w:jc w:val="both"/>
        <w:rPr>
          <w:rFonts w:ascii="Times New Roman" w:hAnsi="Times New Roman"/>
          <w:i/>
          <w:sz w:val="24"/>
          <w:szCs w:val="24"/>
          <w:lang w:eastAsia="sk-SK"/>
        </w:rPr>
      </w:pPr>
      <w:r w:rsidRPr="00770870">
        <w:rPr>
          <w:rFonts w:ascii="Times New Roman" w:hAnsi="Times New Roman"/>
          <w:sz w:val="24"/>
          <w:szCs w:val="24"/>
          <w:lang w:eastAsia="sk-SK"/>
        </w:rPr>
        <w:t>1.</w:t>
        <w:tab/>
        <w:t xml:space="preserve">legislatívne akty </w:t>
      </w:r>
    </w:p>
    <w:p w:rsidR="00ED703E" w:rsidRPr="00770870" w:rsidP="00981DD1">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p>
    <w:p w:rsidR="00981DD1" w:rsidRPr="00770870" w:rsidP="00981DD1">
      <w:pPr>
        <w:widowControl w:val="0"/>
        <w:autoSpaceDE w:val="0"/>
        <w:autoSpaceDN w:val="0"/>
        <w:bidi w:val="0"/>
        <w:adjustRightInd w:val="0"/>
        <w:spacing w:after="0" w:line="240" w:lineRule="auto"/>
        <w:ind w:left="851"/>
        <w:jc w:val="both"/>
        <w:rPr>
          <w:rFonts w:ascii="Times New Roman" w:hAnsi="Times New Roman"/>
          <w:sz w:val="24"/>
          <w:szCs w:val="24"/>
          <w:lang w:eastAsia="sk-SK"/>
        </w:rPr>
      </w:pPr>
      <w:r w:rsidRPr="00770870" w:rsidR="00ED703E">
        <w:rPr>
          <w:rFonts w:ascii="Times New Roman" w:hAnsi="Times New Roman"/>
          <w:sz w:val="24"/>
          <w:szCs w:val="24"/>
          <w:lang w:eastAsia="sk-SK"/>
        </w:rPr>
        <w:t xml:space="preserve">Vykonávacie nariadenie Komisie (EÚ) č. 1081/2012 zo dňa 9. novembra 2012 k nariadeniu Rady (ES) č. 116/2009 o vývoze tovaru kultúrneho charakteru kodifikované znenie (Ú. v. EÚ L 324, 22. 11. 2012). </w:t>
      </w:r>
    </w:p>
    <w:p w:rsidR="00981DD1" w:rsidRPr="00770870" w:rsidP="00981DD1">
      <w:pPr>
        <w:widowControl w:val="0"/>
        <w:autoSpaceDE w:val="0"/>
        <w:autoSpaceDN w:val="0"/>
        <w:bidi w:val="0"/>
        <w:adjustRightInd w:val="0"/>
        <w:spacing w:after="0" w:line="240" w:lineRule="auto"/>
        <w:ind w:left="851"/>
        <w:jc w:val="both"/>
        <w:rPr>
          <w:rFonts w:ascii="Times New Roman" w:hAnsi="Times New Roman"/>
          <w:sz w:val="24"/>
          <w:szCs w:val="24"/>
          <w:lang w:eastAsia="sk-SK"/>
        </w:rPr>
      </w:pPr>
    </w:p>
    <w:p w:rsidR="00981DD1" w:rsidRPr="00770870" w:rsidP="00981DD1">
      <w:pPr>
        <w:widowControl w:val="0"/>
        <w:autoSpaceDE w:val="0"/>
        <w:autoSpaceDN w:val="0"/>
        <w:bidi w:val="0"/>
        <w:adjustRightInd w:val="0"/>
        <w:spacing w:after="0" w:line="240" w:lineRule="auto"/>
        <w:ind w:left="851"/>
        <w:jc w:val="both"/>
        <w:rPr>
          <w:rFonts w:ascii="Times New Roman" w:hAnsi="Times New Roman"/>
          <w:sz w:val="24"/>
          <w:szCs w:val="24"/>
          <w:lang w:eastAsia="sk-SK"/>
        </w:rPr>
      </w:pPr>
      <w:r w:rsidRPr="00770870" w:rsidR="00ED703E">
        <w:rPr>
          <w:rFonts w:ascii="Times New Roman" w:hAnsi="Times New Roman"/>
          <w:sz w:val="24"/>
          <w:szCs w:val="24"/>
          <w:lang w:eastAsia="sk-SK"/>
        </w:rPr>
        <w:t xml:space="preserve">Nariadenie Rady (ES) č. 116/2009 zo dňa 18. decembra 2008 o vývoze tovaru kultúrneho charakteru kodifikované znenie (Ú. v. EÚ L 39, 10. 2. 2009). </w:t>
      </w:r>
    </w:p>
    <w:p w:rsidR="00ED703E" w:rsidRPr="00770870" w:rsidP="00981DD1">
      <w:pPr>
        <w:widowControl w:val="0"/>
        <w:autoSpaceDE w:val="0"/>
        <w:autoSpaceDN w:val="0"/>
        <w:bidi w:val="0"/>
        <w:adjustRightInd w:val="0"/>
        <w:spacing w:after="0" w:line="240" w:lineRule="auto"/>
        <w:ind w:left="851"/>
        <w:jc w:val="both"/>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left="1239" w:hanging="360"/>
        <w:jc w:val="both"/>
        <w:rPr>
          <w:rFonts w:ascii="Times New Roman" w:hAnsi="Times New Roman"/>
          <w:i/>
          <w:sz w:val="24"/>
          <w:szCs w:val="24"/>
          <w:lang w:eastAsia="sk-SK"/>
        </w:rPr>
      </w:pPr>
      <w:r w:rsidRPr="00770870">
        <w:rPr>
          <w:rFonts w:ascii="Times New Roman" w:hAnsi="Times New Roman"/>
          <w:sz w:val="24"/>
          <w:szCs w:val="24"/>
          <w:lang w:eastAsia="sk-SK"/>
        </w:rPr>
        <w:t>2.</w:t>
        <w:tab/>
        <w:t>nelegislatívne akty</w:t>
      </w:r>
    </w:p>
    <w:p w:rsidR="00ED703E" w:rsidRPr="00770870" w:rsidP="00981DD1">
      <w:pPr>
        <w:widowControl w:val="0"/>
        <w:autoSpaceDE w:val="0"/>
        <w:autoSpaceDN w:val="0"/>
        <w:bidi w:val="0"/>
        <w:adjustRightInd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 </w:t>
      </w:r>
    </w:p>
    <w:p w:rsidR="00ED703E" w:rsidRPr="00770870" w:rsidP="00981DD1">
      <w:pPr>
        <w:widowControl w:val="0"/>
        <w:autoSpaceDE w:val="0"/>
        <w:autoSpaceDN w:val="0"/>
        <w:bidi w:val="0"/>
        <w:adjustRightInd w:val="0"/>
        <w:spacing w:after="0" w:line="240" w:lineRule="auto"/>
        <w:ind w:left="879" w:hanging="171"/>
        <w:jc w:val="both"/>
        <w:rPr>
          <w:rFonts w:ascii="Times New Roman" w:hAnsi="Times New Roman"/>
          <w:i/>
          <w:sz w:val="24"/>
          <w:szCs w:val="24"/>
          <w:lang w:eastAsia="sk-SK"/>
        </w:rPr>
      </w:pPr>
      <w:r w:rsidRPr="00770870">
        <w:rPr>
          <w:rFonts w:ascii="Times New Roman" w:hAnsi="Times New Roman"/>
          <w:sz w:val="24"/>
          <w:szCs w:val="24"/>
          <w:lang w:eastAsia="sk-SK"/>
        </w:rPr>
        <w:t>-</w:t>
        <w:tab/>
      </w:r>
      <w:r w:rsidRPr="00770870">
        <w:rPr>
          <w:rFonts w:ascii="Times New Roman" w:hAnsi="Times New Roman"/>
          <w:i/>
          <w:sz w:val="24"/>
          <w:szCs w:val="24"/>
          <w:lang w:eastAsia="sk-SK"/>
        </w:rPr>
        <w:t>sekundárnom (prijatom pred nadobudnutím platnosti Lisabonskej zmluvy, ktorou sa mení a dopĺňa Zmluva o Európskom spoločenstve a Zmluva o Európskej únii – do 30. novembra 2009)</w:t>
      </w:r>
    </w:p>
    <w:p w:rsidR="00ED703E" w:rsidRPr="00770870" w:rsidP="00981DD1">
      <w:pPr>
        <w:widowControl w:val="0"/>
        <w:autoSpaceDE w:val="0"/>
        <w:autoSpaceDN w:val="0"/>
        <w:bidi w:val="0"/>
        <w:adjustRightInd w:val="0"/>
        <w:spacing w:after="0" w:line="240" w:lineRule="auto"/>
        <w:ind w:firstLine="708"/>
        <w:jc w:val="both"/>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left="879"/>
        <w:jc w:val="both"/>
        <w:rPr>
          <w:rFonts w:ascii="Times New Roman" w:hAnsi="Times New Roman"/>
          <w:sz w:val="24"/>
          <w:szCs w:val="24"/>
          <w:lang w:eastAsia="sk-SK"/>
        </w:rPr>
      </w:pPr>
      <w:r w:rsidRPr="00770870">
        <w:rPr>
          <w:rFonts w:ascii="Times New Roman" w:hAnsi="Times New Roman"/>
          <w:sz w:val="24"/>
          <w:szCs w:val="24"/>
          <w:lang w:eastAsia="sk-SK"/>
        </w:rPr>
        <w:t>Smernica Rady 93/7/EHS z 15. marca 1993o navrátení predmetov kultúrnej hodnoty nezákonne vyvezených z územia členského štátu (Mimoriadne vydanie Ú. v. EÚ, kap. 02/zv. 04).  </w:t>
      </w:r>
    </w:p>
    <w:p w:rsidR="00ED703E" w:rsidRPr="00770870" w:rsidP="00981DD1">
      <w:pPr>
        <w:widowControl w:val="0"/>
        <w:autoSpaceDE w:val="0"/>
        <w:autoSpaceDN w:val="0"/>
        <w:bidi w:val="0"/>
        <w:adjustRightInd w:val="0"/>
        <w:spacing w:after="0" w:line="240" w:lineRule="auto"/>
        <w:ind w:left="851"/>
        <w:jc w:val="both"/>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left="709" w:hanging="349"/>
        <w:jc w:val="both"/>
        <w:rPr>
          <w:rFonts w:ascii="Times New Roman" w:hAnsi="Times New Roman"/>
          <w:sz w:val="24"/>
          <w:szCs w:val="24"/>
          <w:lang w:eastAsia="sk-SK"/>
        </w:rPr>
      </w:pPr>
      <w:r w:rsidRPr="00770870">
        <w:rPr>
          <w:rFonts w:ascii="Times New Roman" w:hAnsi="Times New Roman"/>
          <w:sz w:val="24"/>
          <w:szCs w:val="24"/>
          <w:lang w:eastAsia="sk-SK"/>
        </w:rPr>
        <w:t>b)</w:t>
        <w:tab/>
        <w:t>nie je obsiahnutá v judikatúre Súdneho dvora Európskej únie.</w:t>
      </w:r>
    </w:p>
    <w:p w:rsidR="00ED703E" w:rsidRPr="00770870" w:rsidP="00981DD1">
      <w:pPr>
        <w:widowControl w:val="0"/>
        <w:autoSpaceDE w:val="0"/>
        <w:autoSpaceDN w:val="0"/>
        <w:bidi w:val="0"/>
        <w:adjustRightInd w:val="0"/>
        <w:spacing w:after="0" w:line="240" w:lineRule="auto"/>
        <w:jc w:val="both"/>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left="360" w:hanging="360"/>
        <w:jc w:val="both"/>
        <w:rPr>
          <w:rFonts w:ascii="Times New Roman" w:hAnsi="Times New Roman"/>
          <w:b/>
          <w:sz w:val="24"/>
          <w:szCs w:val="24"/>
          <w:lang w:eastAsia="sk-SK"/>
        </w:rPr>
      </w:pPr>
      <w:r w:rsidRPr="00770870">
        <w:rPr>
          <w:rFonts w:ascii="Times New Roman" w:hAnsi="Times New Roman"/>
          <w:b/>
          <w:sz w:val="24"/>
          <w:szCs w:val="24"/>
          <w:lang w:eastAsia="sk-SK"/>
        </w:rPr>
        <w:t>4.</w:t>
        <w:tab/>
        <w:t xml:space="preserve">Záväzky Slovenskej republiky vo vzťahu k Európskej únii: </w:t>
      </w:r>
    </w:p>
    <w:p w:rsidR="00ED703E" w:rsidRPr="00770870" w:rsidP="00981DD1">
      <w:pPr>
        <w:widowControl w:val="0"/>
        <w:autoSpaceDE w:val="0"/>
        <w:autoSpaceDN w:val="0"/>
        <w:bidi w:val="0"/>
        <w:adjustRightInd w:val="0"/>
        <w:spacing w:after="0" w:line="240" w:lineRule="auto"/>
        <w:jc w:val="both"/>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left="709" w:hanging="349"/>
        <w:jc w:val="both"/>
        <w:rPr>
          <w:rFonts w:ascii="Times New Roman" w:hAnsi="Times New Roman"/>
          <w:sz w:val="24"/>
          <w:szCs w:val="24"/>
          <w:lang w:eastAsia="sk-SK"/>
        </w:rPr>
      </w:pPr>
      <w:r w:rsidRPr="00770870">
        <w:rPr>
          <w:rFonts w:ascii="Times New Roman" w:hAnsi="Times New Roman"/>
          <w:sz w:val="24"/>
          <w:szCs w:val="24"/>
          <w:lang w:eastAsia="sk-SK"/>
        </w:rPr>
        <w:t>a)</w:t>
        <w:tab/>
        <w:t>lehota na prebratie smernice alebo lehota na implementáciu nariadenia alebo rozhodnutia</w:t>
      </w:r>
    </w:p>
    <w:p w:rsidR="00ED703E" w:rsidRPr="00770870" w:rsidP="00981DD1">
      <w:pPr>
        <w:widowControl w:val="0"/>
        <w:autoSpaceDE w:val="0"/>
        <w:autoSpaceDN w:val="0"/>
        <w:bidi w:val="0"/>
        <w:adjustRightInd w:val="0"/>
        <w:spacing w:after="0" w:line="240" w:lineRule="auto"/>
        <w:ind w:left="720"/>
        <w:jc w:val="both"/>
        <w:rPr>
          <w:rFonts w:ascii="Times New Roman" w:hAnsi="Times New Roman"/>
          <w:sz w:val="24"/>
          <w:szCs w:val="24"/>
          <w:lang w:eastAsia="sk-SK"/>
        </w:rPr>
      </w:pPr>
      <w:r w:rsidRPr="00770870">
        <w:rPr>
          <w:rFonts w:ascii="Times New Roman" w:hAnsi="Times New Roman"/>
          <w:sz w:val="24"/>
          <w:szCs w:val="24"/>
          <w:lang w:eastAsia="sk-SK"/>
        </w:rPr>
        <w:t> </w:t>
      </w:r>
    </w:p>
    <w:p w:rsidR="00ED703E" w:rsidRPr="00770870" w:rsidP="00981DD1">
      <w:pPr>
        <w:widowControl w:val="0"/>
        <w:autoSpaceDE w:val="0"/>
        <w:autoSpaceDN w:val="0"/>
        <w:bidi w:val="0"/>
        <w:adjustRightInd w:val="0"/>
        <w:spacing w:after="0" w:line="240" w:lineRule="auto"/>
        <w:ind w:left="709" w:hanging="349"/>
        <w:jc w:val="both"/>
        <w:rPr>
          <w:rFonts w:ascii="Times New Roman" w:hAnsi="Times New Roman"/>
          <w:sz w:val="24"/>
          <w:szCs w:val="24"/>
          <w:lang w:eastAsia="sk-SK"/>
        </w:rPr>
      </w:pPr>
      <w:r w:rsidRPr="00770870">
        <w:rPr>
          <w:rFonts w:ascii="Times New Roman" w:hAnsi="Times New Roman"/>
          <w:sz w:val="24"/>
          <w:szCs w:val="24"/>
          <w:lang w:eastAsia="sk-SK"/>
        </w:rPr>
        <w:t>b)</w:t>
        <w:tab/>
      </w:r>
      <w:r w:rsidRPr="00770870">
        <w:rPr>
          <w:rFonts w:ascii="Times New Roman" w:hAnsi="Times New Roman"/>
          <w:color w:val="000000"/>
          <w:sz w:val="24"/>
          <w:szCs w:val="24"/>
          <w:lang w:eastAsia="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ED703E" w:rsidRPr="00770870" w:rsidP="00981DD1">
      <w:pPr>
        <w:widowControl w:val="0"/>
        <w:autoSpaceDE w:val="0"/>
        <w:autoSpaceDN w:val="0"/>
        <w:bidi w:val="0"/>
        <w:adjustRightInd w:val="0"/>
        <w:spacing w:after="0" w:line="240" w:lineRule="auto"/>
        <w:ind w:left="709" w:hanging="349"/>
        <w:jc w:val="both"/>
        <w:rPr>
          <w:rFonts w:ascii="Times New Roman" w:hAnsi="Times New Roman"/>
          <w:sz w:val="24"/>
          <w:szCs w:val="24"/>
          <w:lang w:eastAsia="sk-SK"/>
        </w:rPr>
      </w:pPr>
      <w:r w:rsidRPr="00770870">
        <w:rPr>
          <w:rFonts w:ascii="Times New Roman" w:hAnsi="Times New Roman"/>
          <w:sz w:val="24"/>
          <w:szCs w:val="24"/>
          <w:lang w:eastAsia="sk-SK"/>
        </w:rPr>
        <w:tab/>
      </w:r>
    </w:p>
    <w:p w:rsidR="00ED703E" w:rsidRPr="00770870" w:rsidP="00981DD1">
      <w:pPr>
        <w:widowControl w:val="0"/>
        <w:autoSpaceDE w:val="0"/>
        <w:autoSpaceDN w:val="0"/>
        <w:bidi w:val="0"/>
        <w:adjustRightInd w:val="0"/>
        <w:spacing w:after="0" w:line="240" w:lineRule="auto"/>
        <w:ind w:left="709" w:hanging="349"/>
        <w:jc w:val="both"/>
        <w:rPr>
          <w:rFonts w:ascii="Times New Roman" w:hAnsi="Times New Roman"/>
          <w:sz w:val="24"/>
          <w:szCs w:val="24"/>
          <w:lang w:eastAsia="sk-SK"/>
        </w:rPr>
      </w:pPr>
      <w:r w:rsidRPr="00770870">
        <w:rPr>
          <w:rFonts w:ascii="Times New Roman" w:hAnsi="Times New Roman"/>
          <w:sz w:val="24"/>
          <w:szCs w:val="24"/>
          <w:lang w:eastAsia="sk-SK"/>
        </w:rPr>
        <w:t>c)</w:t>
        <w:tab/>
        <w:t>informácia o konaní začatom proti Slovenskej republike o porušení podľa čl. 258 až 260 Zmluvy o fungovaní Európskej únie</w:t>
      </w:r>
    </w:p>
    <w:p w:rsidR="00ED703E" w:rsidRPr="00770870" w:rsidP="00981DD1">
      <w:pPr>
        <w:widowControl w:val="0"/>
        <w:autoSpaceDE w:val="0"/>
        <w:autoSpaceDN w:val="0"/>
        <w:bidi w:val="0"/>
        <w:adjustRightInd w:val="0"/>
        <w:spacing w:after="0" w:line="240" w:lineRule="auto"/>
        <w:ind w:firstLine="708"/>
        <w:jc w:val="both"/>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left="709" w:hanging="349"/>
        <w:jc w:val="both"/>
        <w:rPr>
          <w:rFonts w:ascii="Times New Roman" w:hAnsi="Times New Roman"/>
          <w:sz w:val="24"/>
          <w:szCs w:val="24"/>
          <w:lang w:eastAsia="sk-SK"/>
        </w:rPr>
      </w:pPr>
      <w:r w:rsidRPr="00770870">
        <w:rPr>
          <w:rFonts w:ascii="Times New Roman" w:hAnsi="Times New Roman"/>
          <w:sz w:val="24"/>
          <w:szCs w:val="24"/>
          <w:lang w:eastAsia="sk-SK"/>
        </w:rPr>
        <w:t>d)</w:t>
        <w:tab/>
        <w:t>informácia o právnych predpisoch, v ktorých sú preberané smernice už prebraté spolu s uvedením rozsahu tohto prebratia</w:t>
      </w:r>
    </w:p>
    <w:p w:rsidR="00ED703E" w:rsidRPr="00770870" w:rsidP="00981DD1">
      <w:pPr>
        <w:widowControl w:val="0"/>
        <w:autoSpaceDE w:val="0"/>
        <w:autoSpaceDN w:val="0"/>
        <w:bidi w:val="0"/>
        <w:adjustRightInd w:val="0"/>
        <w:spacing w:after="0" w:line="240" w:lineRule="auto"/>
        <w:ind w:firstLine="708"/>
        <w:jc w:val="both"/>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left="360" w:hanging="360"/>
        <w:jc w:val="both"/>
        <w:rPr>
          <w:rFonts w:ascii="Times New Roman" w:hAnsi="Times New Roman"/>
          <w:b/>
          <w:sz w:val="24"/>
          <w:szCs w:val="24"/>
          <w:lang w:eastAsia="sk-SK"/>
        </w:rPr>
      </w:pPr>
      <w:r w:rsidRPr="00770870">
        <w:rPr>
          <w:rFonts w:ascii="Times New Roman" w:hAnsi="Times New Roman"/>
          <w:b/>
          <w:sz w:val="24"/>
          <w:szCs w:val="24"/>
          <w:lang w:eastAsia="sk-SK"/>
        </w:rPr>
        <w:t>5.</w:t>
        <w:tab/>
        <w:t>Stupeň zlučiteľnosti návrhu právneho predpisu s právom Európskej únie:</w:t>
      </w:r>
    </w:p>
    <w:p w:rsidR="00ED703E" w:rsidRPr="00770870" w:rsidP="00981DD1">
      <w:pPr>
        <w:widowControl w:val="0"/>
        <w:autoSpaceDE w:val="0"/>
        <w:autoSpaceDN w:val="0"/>
        <w:bidi w:val="0"/>
        <w:adjustRightInd w:val="0"/>
        <w:spacing w:after="0" w:line="240" w:lineRule="auto"/>
        <w:jc w:val="both"/>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r w:rsidRPr="00770870">
        <w:rPr>
          <w:rFonts w:ascii="Times New Roman" w:hAnsi="Times New Roman"/>
          <w:sz w:val="24"/>
          <w:szCs w:val="24"/>
          <w:lang w:eastAsia="sk-SK"/>
        </w:rPr>
        <w:t>Stupeň zlučiteľnosti - úplný </w:t>
      </w:r>
    </w:p>
    <w:p w:rsidR="00ED703E" w:rsidRPr="00770870" w:rsidP="00981DD1">
      <w:pPr>
        <w:widowControl w:val="0"/>
        <w:autoSpaceDE w:val="0"/>
        <w:autoSpaceDN w:val="0"/>
        <w:bidi w:val="0"/>
        <w:adjustRightInd w:val="0"/>
        <w:spacing w:after="0" w:line="240" w:lineRule="auto"/>
        <w:jc w:val="both"/>
        <w:rPr>
          <w:rFonts w:ascii="Times New Roman" w:hAnsi="Times New Roman"/>
          <w:sz w:val="24"/>
          <w:szCs w:val="24"/>
          <w:lang w:eastAsia="sk-SK"/>
        </w:rPr>
      </w:pPr>
    </w:p>
    <w:p w:rsidR="00ED703E" w:rsidRPr="00770870" w:rsidP="00981DD1">
      <w:pPr>
        <w:widowControl w:val="0"/>
        <w:autoSpaceDE w:val="0"/>
        <w:autoSpaceDN w:val="0"/>
        <w:bidi w:val="0"/>
        <w:adjustRightInd w:val="0"/>
        <w:spacing w:after="0" w:line="240" w:lineRule="auto"/>
        <w:ind w:left="360" w:hanging="360"/>
        <w:jc w:val="both"/>
        <w:rPr>
          <w:rFonts w:ascii="Times New Roman" w:hAnsi="Times New Roman"/>
          <w:b/>
          <w:sz w:val="24"/>
          <w:szCs w:val="24"/>
          <w:lang w:eastAsia="sk-SK"/>
        </w:rPr>
      </w:pPr>
      <w:r w:rsidRPr="00770870">
        <w:rPr>
          <w:rFonts w:ascii="Times New Roman" w:hAnsi="Times New Roman"/>
          <w:b/>
          <w:sz w:val="24"/>
          <w:szCs w:val="24"/>
          <w:lang w:eastAsia="sk-SK"/>
        </w:rPr>
        <w:t>6.</w:t>
        <w:tab/>
        <w:t xml:space="preserve">Gestor a spolupracujúce rezorty: </w:t>
      </w:r>
    </w:p>
    <w:p w:rsidR="00ED703E" w:rsidRPr="00770870" w:rsidP="00981DD1">
      <w:pPr>
        <w:widowControl w:val="0"/>
        <w:tabs>
          <w:tab w:val="left" w:pos="360"/>
        </w:tabs>
        <w:autoSpaceDE w:val="0"/>
        <w:autoSpaceDN w:val="0"/>
        <w:bidi w:val="0"/>
        <w:adjustRightInd w:val="0"/>
        <w:spacing w:after="0" w:line="240" w:lineRule="auto"/>
        <w:ind w:left="360"/>
        <w:jc w:val="both"/>
        <w:rPr>
          <w:rFonts w:ascii="Times New Roman" w:hAnsi="Times New Roman"/>
          <w:sz w:val="24"/>
          <w:szCs w:val="24"/>
          <w:lang w:eastAsia="sk-SK"/>
        </w:rPr>
      </w:pPr>
    </w:p>
    <w:p w:rsidR="000842B2" w:rsidRPr="00770870" w:rsidP="00981DD1">
      <w:pPr>
        <w:bidi w:val="0"/>
        <w:spacing w:after="0" w:line="240" w:lineRule="auto"/>
        <w:jc w:val="both"/>
        <w:rPr>
          <w:rFonts w:ascii="Times New Roman" w:hAnsi="Times New Roman"/>
          <w:sz w:val="24"/>
          <w:szCs w:val="24"/>
          <w:lang w:eastAsia="sk-SK"/>
        </w:rPr>
      </w:pPr>
      <w:r w:rsidRPr="00770870" w:rsidR="00ED703E">
        <w:rPr>
          <w:rFonts w:ascii="Times New Roman" w:hAnsi="Times New Roman"/>
          <w:sz w:val="24"/>
          <w:szCs w:val="24"/>
          <w:lang w:eastAsia="sk-SK"/>
        </w:rPr>
        <w:t>Ministerstvo kultúry Slovenskej republiky</w:t>
      </w:r>
    </w:p>
    <w:p w:rsidR="00407A0F" w:rsidRPr="00770870" w:rsidP="00981DD1">
      <w:pPr>
        <w:bidi w:val="0"/>
        <w:spacing w:after="0" w:line="240" w:lineRule="auto"/>
        <w:jc w:val="both"/>
        <w:rPr>
          <w:rFonts w:ascii="Times New Roman" w:hAnsi="Times New Roman"/>
          <w:sz w:val="24"/>
          <w:szCs w:val="24"/>
          <w:lang w:eastAsia="sk-SK"/>
        </w:rPr>
      </w:pPr>
    </w:p>
    <w:p w:rsidR="00407A0F" w:rsidRPr="00770870" w:rsidP="00981DD1">
      <w:pPr>
        <w:bidi w:val="0"/>
        <w:spacing w:after="0" w:line="240" w:lineRule="auto"/>
        <w:jc w:val="both"/>
        <w:rPr>
          <w:rFonts w:ascii="Times New Roman" w:hAnsi="Times New Roman"/>
          <w:sz w:val="24"/>
          <w:szCs w:val="24"/>
          <w:lang w:eastAsia="sk-SK"/>
        </w:rPr>
      </w:pPr>
    </w:p>
    <w:p w:rsidR="000842B2" w:rsidRPr="00770870" w:rsidP="00981DD1">
      <w:pPr>
        <w:bidi w:val="0"/>
        <w:spacing w:after="0" w:line="240" w:lineRule="auto"/>
        <w:jc w:val="center"/>
        <w:rPr>
          <w:rFonts w:ascii="Times New Roman" w:hAnsi="Times New Roman"/>
          <w:sz w:val="24"/>
          <w:szCs w:val="24"/>
          <w:lang w:eastAsia="sk-SK"/>
        </w:rPr>
      </w:pPr>
      <w:r w:rsidRPr="00770870">
        <w:rPr>
          <w:rFonts w:ascii="Times New Roman" w:hAnsi="Times New Roman"/>
          <w:b/>
          <w:bCs/>
          <w:caps/>
          <w:color w:val="000000"/>
          <w:spacing w:val="30"/>
          <w:sz w:val="24"/>
          <w:szCs w:val="24"/>
          <w:lang w:eastAsia="sk-SK"/>
        </w:rPr>
        <w:t>D</w:t>
      </w:r>
      <w:r w:rsidRPr="00770870">
        <w:rPr>
          <w:rFonts w:ascii="Times New Roman" w:hAnsi="Times New Roman"/>
          <w:b/>
          <w:bCs/>
          <w:color w:val="000000"/>
          <w:spacing w:val="30"/>
          <w:sz w:val="24"/>
          <w:szCs w:val="24"/>
          <w:lang w:eastAsia="sk-SK"/>
        </w:rPr>
        <w:t>oložka</w:t>
      </w:r>
    </w:p>
    <w:p w:rsidR="000842B2" w:rsidRPr="00770870" w:rsidP="00981DD1">
      <w:pPr>
        <w:bidi w:val="0"/>
        <w:spacing w:after="0" w:line="240" w:lineRule="auto"/>
        <w:jc w:val="center"/>
        <w:rPr>
          <w:rFonts w:ascii="Times New Roman" w:hAnsi="Times New Roman"/>
          <w:b/>
          <w:bCs/>
          <w:color w:val="000000"/>
          <w:sz w:val="24"/>
          <w:szCs w:val="24"/>
          <w:lang w:eastAsia="sk-SK"/>
        </w:rPr>
      </w:pPr>
      <w:r w:rsidRPr="00770870">
        <w:rPr>
          <w:rFonts w:ascii="Times New Roman" w:hAnsi="Times New Roman"/>
          <w:b/>
          <w:bCs/>
          <w:color w:val="000000"/>
          <w:sz w:val="24"/>
          <w:szCs w:val="24"/>
          <w:lang w:eastAsia="sk-SK"/>
        </w:rPr>
        <w:t>vybraných vplyvov</w:t>
      </w:r>
    </w:p>
    <w:p w:rsidR="000842B2" w:rsidRPr="00770870" w:rsidP="00981DD1">
      <w:pPr>
        <w:bidi w:val="0"/>
        <w:spacing w:after="0" w:line="240" w:lineRule="auto"/>
        <w:jc w:val="center"/>
        <w:rPr>
          <w:rFonts w:ascii="Times New Roman" w:hAnsi="Times New Roman"/>
          <w:sz w:val="24"/>
          <w:szCs w:val="24"/>
          <w:lang w:eastAsia="sk-SK"/>
        </w:rPr>
      </w:pPr>
    </w:p>
    <w:p w:rsidR="000842B2" w:rsidRPr="00770870" w:rsidP="00981DD1">
      <w:pPr>
        <w:pStyle w:val="Title"/>
        <w:bidi w:val="0"/>
        <w:jc w:val="both"/>
        <w:rPr>
          <w:rFonts w:ascii="Times New Roman" w:hAnsi="Times New Roman" w:cs="Times New Roman"/>
          <w:b/>
          <w:bCs/>
          <w:i w:val="0"/>
          <w:color w:val="000000"/>
          <w:u w:val="none"/>
          <w:lang w:eastAsia="sk-SK"/>
        </w:rPr>
      </w:pPr>
      <w:r w:rsidRPr="00770870">
        <w:rPr>
          <w:rFonts w:ascii="Times New Roman" w:hAnsi="Times New Roman" w:cs="Times New Roman"/>
          <w:b/>
          <w:bCs/>
          <w:i w:val="0"/>
          <w:color w:val="000000"/>
          <w:u w:val="none"/>
          <w:lang w:eastAsia="sk-SK"/>
        </w:rPr>
        <w:t xml:space="preserve">A.1. Názov materiálu: </w:t>
      </w:r>
    </w:p>
    <w:p w:rsidR="000842B2" w:rsidRPr="00770870" w:rsidP="00981DD1">
      <w:pPr>
        <w:pStyle w:val="Title"/>
        <w:bidi w:val="0"/>
        <w:jc w:val="both"/>
        <w:rPr>
          <w:rFonts w:ascii="Times New Roman" w:hAnsi="Times New Roman" w:cs="Times New Roman"/>
          <w:b/>
          <w:bCs/>
          <w:i w:val="0"/>
          <w:color w:val="000000"/>
          <w:u w:val="none"/>
          <w:lang w:eastAsia="sk-SK"/>
        </w:rPr>
      </w:pPr>
    </w:p>
    <w:p w:rsidR="000842B2" w:rsidRPr="00770870" w:rsidP="00981DD1">
      <w:pPr>
        <w:pStyle w:val="Title"/>
        <w:bidi w:val="0"/>
        <w:jc w:val="both"/>
        <w:rPr>
          <w:rFonts w:ascii="Times New Roman" w:hAnsi="Times New Roman" w:cs="Times New Roman"/>
          <w:i w:val="0"/>
          <w:color w:val="000000"/>
          <w:u w:val="none"/>
          <w:lang w:eastAsia="sk-SK"/>
        </w:rPr>
      </w:pPr>
      <w:r w:rsidRPr="00770870">
        <w:rPr>
          <w:rFonts w:ascii="Times New Roman" w:hAnsi="Times New Roman" w:cs="Times New Roman"/>
          <w:bCs/>
          <w:i w:val="0"/>
          <w:iCs w:val="0"/>
          <w:u w:val="none"/>
        </w:rPr>
        <w:t>Návrh zákona ktorým sa mení a dopĺňa zákon č. 206/2009 Z. z. o múzeách a o galériách a o ochrane predmetov kultúrnej hodnoty a o zmene zákona Slovenskej národnej rady č. 372/1990 Zb. o priestupkoch v znení neskorších predpisov a ktorým sa menia a dopĺňajú niektoré zákony</w:t>
      </w:r>
    </w:p>
    <w:p w:rsidR="000842B2" w:rsidRPr="00770870" w:rsidP="00981DD1">
      <w:pPr>
        <w:pStyle w:val="Title"/>
        <w:bidi w:val="0"/>
        <w:jc w:val="both"/>
        <w:rPr>
          <w:rFonts w:ascii="Times New Roman" w:hAnsi="Times New Roman" w:cs="Times New Roman"/>
          <w:bCs/>
          <w:i w:val="0"/>
          <w:u w:val="none"/>
        </w:rPr>
      </w:pPr>
    </w:p>
    <w:p w:rsidR="000842B2" w:rsidRPr="00770870" w:rsidP="00981DD1">
      <w:pPr>
        <w:bidi w:val="0"/>
        <w:spacing w:after="0" w:line="240" w:lineRule="auto"/>
        <w:jc w:val="both"/>
        <w:rPr>
          <w:rFonts w:ascii="Times New Roman" w:hAnsi="Times New Roman"/>
          <w:color w:val="FF0000"/>
          <w:sz w:val="24"/>
          <w:szCs w:val="24"/>
          <w:lang w:eastAsia="sk-SK"/>
        </w:rPr>
      </w:pPr>
      <w:r w:rsidRPr="00770870">
        <w:rPr>
          <w:rFonts w:ascii="Times New Roman" w:hAnsi="Times New Roman"/>
          <w:b/>
          <w:bCs/>
          <w:color w:val="000000"/>
          <w:sz w:val="24"/>
          <w:szCs w:val="24"/>
          <w:lang w:eastAsia="sk-SK"/>
        </w:rPr>
        <w:t>Termín začatia a ukončenia PPK:</w:t>
      </w:r>
      <w:r w:rsidRPr="00770870">
        <w:rPr>
          <w:rFonts w:ascii="Times New Roman" w:hAnsi="Times New Roman"/>
          <w:color w:val="000000"/>
          <w:sz w:val="24"/>
          <w:szCs w:val="24"/>
          <w:lang w:eastAsia="sk-SK"/>
        </w:rPr>
        <w:t xml:space="preserve"> </w:t>
      </w:r>
      <w:r w:rsidRPr="00770870">
        <w:rPr>
          <w:rFonts w:ascii="Times New Roman" w:hAnsi="Times New Roman"/>
          <w:sz w:val="24"/>
          <w:szCs w:val="24"/>
          <w:lang w:eastAsia="sk-SK"/>
        </w:rPr>
        <w:t>3. 9. 2013 – 9. 9. 2013</w:t>
      </w:r>
    </w:p>
    <w:p w:rsidR="000842B2" w:rsidRPr="00770870" w:rsidP="00981DD1">
      <w:pPr>
        <w:bidi w:val="0"/>
        <w:spacing w:after="0" w:line="240" w:lineRule="auto"/>
        <w:jc w:val="both"/>
        <w:rPr>
          <w:rFonts w:ascii="Times New Roman" w:hAnsi="Times New Roman"/>
          <w:sz w:val="24"/>
          <w:szCs w:val="24"/>
          <w:lang w:eastAsia="sk-SK"/>
        </w:rPr>
      </w:pPr>
    </w:p>
    <w:p w:rsidR="000842B2" w:rsidRPr="00770870" w:rsidP="00981DD1">
      <w:pPr>
        <w:bidi w:val="0"/>
        <w:spacing w:after="0" w:line="240" w:lineRule="auto"/>
        <w:jc w:val="both"/>
        <w:rPr>
          <w:rFonts w:ascii="Times New Roman" w:hAnsi="Times New Roman"/>
          <w:b/>
          <w:bCs/>
          <w:color w:val="000000"/>
          <w:sz w:val="24"/>
          <w:szCs w:val="24"/>
          <w:lang w:eastAsia="sk-SK"/>
        </w:rPr>
      </w:pPr>
      <w:r w:rsidRPr="00770870">
        <w:rPr>
          <w:rFonts w:ascii="Times New Roman" w:hAnsi="Times New Roman"/>
          <w:b/>
          <w:bCs/>
          <w:color w:val="000000"/>
          <w:sz w:val="24"/>
          <w:szCs w:val="24"/>
          <w:lang w:eastAsia="sk-SK"/>
        </w:rPr>
        <w:t>A.2. Vplyvy:</w:t>
      </w:r>
    </w:p>
    <w:p w:rsidR="000842B2" w:rsidRPr="00770870" w:rsidP="00981DD1">
      <w:pPr>
        <w:bidi w:val="0"/>
        <w:spacing w:after="0" w:line="240" w:lineRule="auto"/>
        <w:jc w:val="both"/>
        <w:rPr>
          <w:rFonts w:ascii="Times New Roman" w:hAnsi="Times New Roman"/>
          <w:sz w:val="24"/>
          <w:szCs w:val="24"/>
          <w:lang w:eastAsia="sk-SK"/>
        </w:rPr>
      </w:pPr>
    </w:p>
    <w:tbl>
      <w:tblPr>
        <w:tblStyle w:val="TableNormal"/>
        <w:tblW w:w="5000" w:type="pct"/>
        <w:tblCellMar>
          <w:left w:w="0" w:type="dxa"/>
          <w:right w:w="0" w:type="dxa"/>
        </w:tblCellMar>
        <w:tblLook w:val="04A0"/>
      </w:tblPr>
      <w:tblGrid>
        <w:gridCol w:w="5534"/>
        <w:gridCol w:w="1187"/>
        <w:gridCol w:w="1176"/>
        <w:gridCol w:w="1191"/>
      </w:tblGrid>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r w:rsidRPr="00770870">
              <w:rPr>
                <w:rFonts w:ascii="Times New Roman" w:hAnsi="Times New Roman"/>
                <w:color w:val="000000"/>
                <w:sz w:val="24"/>
                <w:szCs w:val="24"/>
                <w:lang w:eastAsia="sk-SK"/>
              </w:rPr>
              <w:t xml:space="preserve">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r w:rsidRPr="00770870">
              <w:rPr>
                <w:rFonts w:ascii="Times New Roman" w:hAnsi="Times New Roman"/>
                <w:color w:val="000000"/>
                <w:sz w:val="24"/>
                <w:szCs w:val="24"/>
                <w:lang w:eastAsia="sk-SK"/>
              </w:rPr>
              <w:t xml:space="preserve">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r w:rsidRPr="00770870">
              <w:rPr>
                <w:rFonts w:ascii="Times New Roman" w:hAnsi="Times New Roman"/>
                <w:color w:val="000000"/>
                <w:sz w:val="24"/>
                <w:szCs w:val="24"/>
                <w:lang w:eastAsia="sk-SK"/>
              </w:rPr>
              <w:t xml:space="preserve">Negatívne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r w:rsidRPr="00770870">
              <w:rPr>
                <w:rFonts w:ascii="Times New Roman" w:hAnsi="Times New Roman"/>
                <w:color w:val="000000"/>
                <w:sz w:val="24"/>
                <w:szCs w:val="24"/>
                <w:lang w:eastAsia="sk-SK"/>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r w:rsidRPr="00770870">
              <w:rPr>
                <w:rFonts w:ascii="Times New Roman" w:hAnsi="Times New Roman"/>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r w:rsidRPr="00770870">
              <w:rPr>
                <w:rFonts w:ascii="Times New Roman" w:hAnsi="Times New Roman"/>
                <w:color w:val="000000"/>
                <w:sz w:val="24"/>
                <w:szCs w:val="24"/>
                <w:lang w:eastAsia="sk-SK"/>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r w:rsidRPr="00770870">
              <w:rPr>
                <w:rFonts w:ascii="Times New Roman" w:hAnsi="Times New Roman"/>
                <w:color w:val="000000"/>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r w:rsidRPr="00770870">
              <w:rPr>
                <w:rFonts w:ascii="Times New Roman" w:hAnsi="Times New Roman"/>
                <w:color w:val="000000"/>
                <w:sz w:val="24"/>
                <w:szCs w:val="24"/>
                <w:lang w:eastAsia="sk-SK"/>
              </w:rPr>
              <w:t>3. Sociálne vplyvy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r w:rsidRPr="00770870">
              <w:rPr>
                <w:rFonts w:ascii="Times New Roman" w:hAnsi="Times New Roman"/>
                <w:color w:val="000000"/>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r w:rsidRPr="00770870">
              <w:rPr>
                <w:rFonts w:ascii="Times New Roman" w:hAnsi="Times New Roman"/>
                <w:color w:val="000000"/>
                <w:sz w:val="24"/>
                <w:szCs w:val="24"/>
                <w:lang w:eastAsia="sk-SK"/>
              </w:rPr>
              <w:t>– vplyvy na hospodárenie obyvateľstva,</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r w:rsidRPr="00770870">
              <w:rPr>
                <w:rFonts w:ascii="Times New Roman" w:hAnsi="Times New Roman"/>
                <w:color w:val="000000"/>
                <w:sz w:val="24"/>
                <w:szCs w:val="24"/>
                <w:lang w:eastAsia="sk-SK"/>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r w:rsidRPr="00770870">
              <w:rPr>
                <w:rFonts w:ascii="Times New Roman" w:hAnsi="Times New Roman"/>
                <w:color w:val="000000"/>
                <w:sz w:val="24"/>
                <w:szCs w:val="24"/>
                <w:lang w:eastAsia="sk-SK"/>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r w:rsidRPr="00770870">
              <w:rPr>
                <w:rFonts w:ascii="Times New Roman" w:hAnsi="Times New Roman"/>
                <w:color w:val="000000"/>
                <w:sz w:val="24"/>
                <w:szCs w:val="24"/>
                <w:lang w:eastAsia="sk-SK"/>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r w:rsidRPr="00770870">
              <w:rPr>
                <w:rFonts w:ascii="Times New Roman" w:hAnsi="Times New Roman"/>
                <w:color w:val="000000"/>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r w:rsidRPr="00770870">
              <w:rPr>
                <w:rFonts w:ascii="Times New Roman" w:hAnsi="Times New Roman"/>
                <w:color w:val="000000"/>
                <w:sz w:val="24"/>
                <w:szCs w:val="24"/>
                <w:lang w:eastAsia="sk-SK"/>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jc w:val="center"/>
              <w:rPr>
                <w:rFonts w:ascii="Times New Roman" w:hAnsi="Times New Roman"/>
                <w:sz w:val="24"/>
                <w:szCs w:val="24"/>
                <w:lang w:eastAsia="sk-SK"/>
              </w:rPr>
            </w:pPr>
            <w:r w:rsidRPr="00770870">
              <w:rPr>
                <w:rFonts w:ascii="Times New Roman" w:hAnsi="Times New Roman"/>
                <w:color w:val="000000"/>
                <w:sz w:val="24"/>
                <w:szCs w:val="24"/>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0842B2" w:rsidRPr="00770870" w:rsidP="00981DD1">
            <w:pPr>
              <w:bidi w:val="0"/>
              <w:spacing w:after="0" w:line="240" w:lineRule="auto"/>
              <w:rPr>
                <w:rFonts w:ascii="Times New Roman" w:hAnsi="Times New Roman"/>
                <w:sz w:val="24"/>
                <w:szCs w:val="24"/>
                <w:lang w:eastAsia="sk-SK"/>
              </w:rPr>
            </w:pPr>
          </w:p>
        </w:tc>
      </w:tr>
    </w:tbl>
    <w:p w:rsidR="000842B2" w:rsidRPr="00770870" w:rsidP="00981DD1">
      <w:pPr>
        <w:bidi w:val="0"/>
        <w:spacing w:after="0" w:line="240" w:lineRule="auto"/>
        <w:rPr>
          <w:rFonts w:ascii="Times New Roman" w:hAnsi="Times New Roman"/>
          <w:sz w:val="24"/>
          <w:szCs w:val="24"/>
        </w:rPr>
      </w:pPr>
    </w:p>
    <w:p w:rsidR="000842B2" w:rsidRPr="00770870" w:rsidP="00981DD1">
      <w:pPr>
        <w:pStyle w:val="NormalWeb"/>
        <w:bidi w:val="0"/>
        <w:spacing w:before="0" w:beforeAutospacing="0" w:after="0" w:afterAutospacing="0"/>
        <w:jc w:val="both"/>
        <w:rPr>
          <w:rFonts w:ascii="Times New Roman" w:hAnsi="Times New Roman"/>
          <w:b/>
          <w:bCs/>
        </w:rPr>
      </w:pPr>
      <w:r w:rsidRPr="00770870">
        <w:rPr>
          <w:rFonts w:ascii="Times New Roman" w:hAnsi="Times New Roman"/>
          <w:b/>
          <w:bCs/>
        </w:rPr>
        <w:t>A.3. Poznámky</w:t>
      </w:r>
    </w:p>
    <w:p w:rsidR="000842B2" w:rsidRPr="00770870" w:rsidP="00981DD1">
      <w:pPr>
        <w:pStyle w:val="Title"/>
        <w:bidi w:val="0"/>
        <w:ind w:firstLine="708"/>
        <w:jc w:val="both"/>
        <w:rPr>
          <w:rFonts w:ascii="Times New Roman" w:hAnsi="Times New Roman" w:cs="Times New Roman"/>
          <w:bCs/>
          <w:i w:val="0"/>
          <w:u w:val="none"/>
        </w:rPr>
      </w:pPr>
      <w:r w:rsidRPr="00770870">
        <w:rPr>
          <w:rFonts w:ascii="Times New Roman" w:hAnsi="Times New Roman" w:cs="Times New Roman"/>
          <w:bCs/>
          <w:i w:val="0"/>
          <w:u w:val="none"/>
        </w:rPr>
        <w:t xml:space="preserve">Návrh zákona v čl. 2 novelizuje zákon č. 61/2000 Z. z. o osvetovej činnosti v znení zákona č. 416/2001 Z. z. z dôvodu, že Slovenská ústredná hvezdáreň v Hurbanove (ďalej „SÚH“) splynie s Národným osvetovým centrom v Bratislave (ďalej „NOC“). </w:t>
      </w:r>
      <w:r w:rsidRPr="00770870">
        <w:rPr>
          <w:rFonts w:ascii="Times New Roman" w:hAnsi="Times New Roman" w:cs="Times New Roman"/>
          <w:i w:val="0"/>
          <w:u w:val="none"/>
        </w:rPr>
        <w:t>Spojenie uvedených príspevkových organizácií v zriaďovateľskej pôsobnosti Ministerstva kultúry SR nepredpokladá úsporu celkových výdavkov v rozpočte kapitoly Ministerstva kultúry SR.  Úspora v celkovej sume 42 345,00 eur pozostáva zo mzdových prostriedkov v súvislosti so zrušením pracovného miesta generálneho riaditeľa Slovenskej ústrednej hvezdárne v Hurbanove, jedného pracovného miesta mzdovej účtovníčky a jedného pracovného miesta finančnej účtovníčky v sume 26 357,00 eur a zákonných odvodov v sume 9 212,00 eur. Zároveň v súvislosti so zrušením prenájmu, konkrétne z prenájmu priestorov redakcie časopisu KOZMOS v Bratislave, ktorej sídlo by sa presunulo do sídla Národného osvetového centra v Bratislave, úspora bežných výdavkov predstavuje sumu 6 776,00 eur. Nadväzne na vyčíslenú úsporu výdavkov nepredpokladáme pozitívny vplyv na rozpočet verejnej správy, nakoľko čiastku 42 345,00 eur navrhuje použiť na odstránenie havarijného stavu budovy Národného osvetového centra v Bratislave.</w:t>
      </w:r>
    </w:p>
    <w:p w:rsidR="000842B2" w:rsidRPr="00770870" w:rsidP="00981DD1">
      <w:pPr>
        <w:pStyle w:val="Title"/>
        <w:bidi w:val="0"/>
        <w:jc w:val="both"/>
        <w:rPr>
          <w:rFonts w:ascii="Times New Roman" w:hAnsi="Times New Roman" w:cs="Times New Roman"/>
          <w:i w:val="0"/>
          <w:color w:val="FF0000"/>
          <w:u w:val="none"/>
        </w:rPr>
      </w:pPr>
    </w:p>
    <w:p w:rsidR="000842B2" w:rsidRPr="00770870" w:rsidP="00981DD1">
      <w:pPr>
        <w:pStyle w:val="NormalWeb"/>
        <w:bidi w:val="0"/>
        <w:spacing w:before="0" w:beforeAutospacing="0" w:after="0" w:afterAutospacing="0"/>
        <w:jc w:val="both"/>
        <w:rPr>
          <w:rFonts w:ascii="Times New Roman" w:hAnsi="Times New Roman"/>
          <w:b/>
          <w:bCs/>
          <w:color w:val="000000"/>
        </w:rPr>
      </w:pPr>
      <w:r w:rsidRPr="00770870">
        <w:rPr>
          <w:rFonts w:ascii="Times New Roman" w:hAnsi="Times New Roman"/>
          <w:b/>
          <w:bCs/>
          <w:color w:val="000000"/>
        </w:rPr>
        <w:t>A.4. Alternatívne riešenia</w:t>
      </w:r>
    </w:p>
    <w:p w:rsidR="000842B2" w:rsidRPr="00770870" w:rsidP="00981DD1">
      <w:pPr>
        <w:pStyle w:val="NormalWeb"/>
        <w:bidi w:val="0"/>
        <w:spacing w:before="0" w:beforeAutospacing="0" w:after="0" w:afterAutospacing="0"/>
        <w:jc w:val="both"/>
        <w:rPr>
          <w:rFonts w:ascii="Times New Roman" w:hAnsi="Times New Roman"/>
        </w:rPr>
      </w:pPr>
    </w:p>
    <w:p w:rsidR="000842B2" w:rsidRPr="00770870" w:rsidP="00981DD1">
      <w:pPr>
        <w:pStyle w:val="NormalWeb"/>
        <w:bidi w:val="0"/>
        <w:spacing w:before="0" w:beforeAutospacing="0" w:after="0" w:afterAutospacing="0"/>
        <w:jc w:val="both"/>
        <w:rPr>
          <w:rFonts w:ascii="Times New Roman" w:hAnsi="Times New Roman"/>
          <w:b/>
          <w:bCs/>
        </w:rPr>
      </w:pPr>
      <w:r w:rsidRPr="00770870">
        <w:rPr>
          <w:rFonts w:ascii="Times New Roman" w:hAnsi="Times New Roman"/>
          <w:b/>
          <w:bCs/>
        </w:rPr>
        <w:t>A.5. Stanovisko gestorov</w:t>
      </w:r>
    </w:p>
    <w:p w:rsidR="000842B2" w:rsidRPr="00770870" w:rsidP="00981DD1">
      <w:pPr>
        <w:pStyle w:val="NormalWeb"/>
        <w:bidi w:val="0"/>
        <w:spacing w:before="0" w:beforeAutospacing="0" w:after="0" w:afterAutospacing="0"/>
        <w:jc w:val="both"/>
        <w:rPr>
          <w:rFonts w:ascii="Times New Roman" w:hAnsi="Times New Roman"/>
          <w:b/>
          <w:bCs/>
          <w:color w:val="FF0000"/>
        </w:rPr>
      </w:pPr>
    </w:p>
    <w:p w:rsidR="000842B2" w:rsidRPr="00770870" w:rsidP="00981DD1">
      <w:pPr>
        <w:pStyle w:val="Title"/>
        <w:bidi w:val="0"/>
        <w:jc w:val="both"/>
        <w:rPr>
          <w:rFonts w:ascii="Times New Roman" w:hAnsi="Times New Roman" w:cs="Times New Roman"/>
          <w:bCs/>
          <w:i w:val="0"/>
          <w:iCs w:val="0"/>
          <w:u w:val="none"/>
        </w:rPr>
      </w:pPr>
      <w:r w:rsidRPr="00770870">
        <w:rPr>
          <w:rFonts w:ascii="Times New Roman" w:hAnsi="Times New Roman" w:cs="Times New Roman"/>
          <w:b/>
          <w:i w:val="0"/>
          <w:u w:val="none"/>
        </w:rPr>
        <w:t>Ministerstvo financií SR</w:t>
      </w:r>
      <w:r w:rsidRPr="00770870">
        <w:rPr>
          <w:rFonts w:ascii="Times New Roman" w:hAnsi="Times New Roman" w:cs="Times New Roman"/>
          <w:i w:val="0"/>
          <w:u w:val="none"/>
        </w:rPr>
        <w:t xml:space="preserve"> ako gestor posudzovania návrhu za oblasť vplyvov na rozpočet verejnej správy a zamestnanosť vo verejnej správe predložilo </w:t>
      </w:r>
      <w:r w:rsidRPr="00770870">
        <w:rPr>
          <w:rFonts w:ascii="Times New Roman" w:hAnsi="Times New Roman" w:cs="Times New Roman"/>
          <w:bCs/>
          <w:i w:val="0"/>
          <w:iCs w:val="0"/>
          <w:u w:val="none"/>
        </w:rPr>
        <w:t>jednu pripomienku</w:t>
      </w:r>
      <w:r w:rsidRPr="00770870">
        <w:rPr>
          <w:rFonts w:ascii="Times New Roman" w:hAnsi="Times New Roman" w:cs="Times New Roman"/>
          <w:i w:val="0"/>
          <w:u w:val="none"/>
        </w:rPr>
        <w:t xml:space="preserve"> k doložke vybraných vplyvov</w:t>
      </w:r>
      <w:r w:rsidRPr="00770870">
        <w:rPr>
          <w:rFonts w:ascii="Times New Roman" w:hAnsi="Times New Roman" w:cs="Times New Roman"/>
          <w:u w:val="none"/>
        </w:rPr>
        <w:t xml:space="preserve"> </w:t>
      </w:r>
      <w:r w:rsidRPr="00770870">
        <w:rPr>
          <w:rFonts w:ascii="Times New Roman" w:hAnsi="Times New Roman" w:cs="Times New Roman"/>
          <w:bCs/>
          <w:i w:val="0"/>
          <w:iCs w:val="0"/>
          <w:u w:val="none"/>
        </w:rPr>
        <w:t xml:space="preserve">Návrhu zákona ktorým sa mení a dopĺňa zákon č. 206/2009 Z. z. o múzeách a o galériách a o ochrane predmetov kultúrnej hodnoty a o zmene zákona Slovenskej národnej rady č. 372/1990 Zb. o priestupkoch v znení neskorších predpisov a ktorým sa menia a dopĺňajú niektoré zákony. </w:t>
      </w:r>
      <w:r w:rsidRPr="00770870">
        <w:rPr>
          <w:rFonts w:ascii="Times New Roman" w:hAnsi="Times New Roman" w:cs="Times New Roman"/>
          <w:i w:val="0"/>
          <w:u w:val="none"/>
        </w:rPr>
        <w:t xml:space="preserve">Ministerstvo financií SR sa nestotožňuje s konštatovaním predkladateľa, že návrh nebude mať vplyv na rozpočet verejnej správy. Dôvodom je skutočnosť, že predložený návrh zákona novelizuje o. i. zákon č. 61/2000 Z. z. o osvetovej činnosti tak, že Slovenská ústredná hvezdáreň v Hurbanove splynie s Národným osvetovým centrom v Bratislave, z čoho je možné predpokladať, že dôjde k úspore výdavkov v rozpočte kapitoly Ministerstva kultúry SR. Vzhľadom na to, že navrhujeme predmetnú úsporu súčasne ponechať v kapitole Ministerstva kultúry s tým, že tieto finančné prostriedky budú použité na odstránenie havarijného stavu budovy Národného osvetového centra v Bratislave, ponechávame pôvodne uvedený  žiadny vplyv na rozpočet verejnej správy. </w:t>
      </w:r>
    </w:p>
    <w:p w:rsidR="000842B2" w:rsidRPr="00770870" w:rsidP="00981DD1">
      <w:pPr>
        <w:pStyle w:val="Title"/>
        <w:bidi w:val="0"/>
        <w:jc w:val="both"/>
        <w:rPr>
          <w:rFonts w:ascii="Times New Roman" w:hAnsi="Times New Roman" w:cs="Times New Roman"/>
          <w:i w:val="0"/>
          <w:u w:val="none"/>
        </w:rPr>
      </w:pPr>
    </w:p>
    <w:p w:rsidR="000842B2" w:rsidRPr="00770870" w:rsidP="00981DD1">
      <w:pPr>
        <w:pStyle w:val="Title"/>
        <w:bidi w:val="0"/>
        <w:jc w:val="both"/>
        <w:rPr>
          <w:rFonts w:ascii="Times New Roman" w:hAnsi="Times New Roman" w:cs="Times New Roman"/>
        </w:rPr>
      </w:pPr>
      <w:r w:rsidRPr="00770870">
        <w:rPr>
          <w:rFonts w:ascii="Times New Roman" w:hAnsi="Times New Roman" w:cs="Times New Roman"/>
          <w:i w:val="0"/>
          <w:u w:val="none"/>
        </w:rPr>
        <w:t xml:space="preserve">Na základe uvedeného predkladateľ návrhu zákona upravil doložku vybraných vplyvov vyznačením žiadneho vplyvu na rozpočet verejnej správy a doplnením zdôvodnenia v časti A.3. Poznámky.  </w:t>
      </w:r>
    </w:p>
    <w:p w:rsidR="000842B2" w:rsidRPr="00770870" w:rsidP="00981DD1">
      <w:pPr>
        <w:bidi w:val="0"/>
        <w:spacing w:after="0" w:line="240" w:lineRule="auto"/>
        <w:rPr>
          <w:rFonts w:ascii="Times New Roman" w:hAnsi="Times New Roman"/>
          <w:color w:val="FF0000"/>
          <w:sz w:val="24"/>
          <w:szCs w:val="24"/>
        </w:rPr>
      </w:pPr>
    </w:p>
    <w:p w:rsidR="000842B2" w:rsidRPr="00770870" w:rsidP="00981DD1">
      <w:pPr>
        <w:pStyle w:val="NormalWeb"/>
        <w:bidi w:val="0"/>
        <w:spacing w:before="0" w:beforeAutospacing="0" w:after="0" w:afterAutospacing="0"/>
        <w:jc w:val="both"/>
        <w:rPr>
          <w:rFonts w:ascii="Times New Roman" w:hAnsi="Times New Roman"/>
        </w:rPr>
      </w:pPr>
      <w:r w:rsidRPr="00770870">
        <w:rPr>
          <w:rFonts w:ascii="Times New Roman" w:hAnsi="Times New Roman"/>
          <w:b/>
          <w:bCs/>
        </w:rPr>
        <w:t>Ministerstvo financií SR</w:t>
      </w:r>
      <w:r w:rsidRPr="00770870">
        <w:rPr>
          <w:rFonts w:ascii="Times New Roman" w:hAnsi="Times New Roman"/>
          <w:bCs/>
        </w:rPr>
        <w:t xml:space="preserve"> </w:t>
      </w:r>
      <w:r w:rsidRPr="00770870">
        <w:rPr>
          <w:rFonts w:ascii="Times New Roman" w:hAnsi="Times New Roman"/>
        </w:rPr>
        <w:t xml:space="preserve">ako gestor posudzovania návrhu </w:t>
      </w:r>
      <w:r w:rsidRPr="00770870">
        <w:rPr>
          <w:rFonts w:ascii="Times New Roman" w:hAnsi="Times New Roman"/>
          <w:bCs/>
        </w:rPr>
        <w:t xml:space="preserve">z hľadiska vplyvov na informatizáciu spoločnosti </w:t>
      </w:r>
      <w:r w:rsidRPr="00770870">
        <w:rPr>
          <w:rFonts w:ascii="Times New Roman" w:hAnsi="Times New Roman"/>
        </w:rPr>
        <w:t>súhlasí s doložkou vybraných vplyvov.</w:t>
      </w:r>
    </w:p>
    <w:p w:rsidR="000842B2" w:rsidRPr="00770870" w:rsidP="00981DD1">
      <w:pPr>
        <w:pStyle w:val="NormalWeb"/>
        <w:bidi w:val="0"/>
        <w:spacing w:before="0" w:beforeAutospacing="0" w:after="0" w:afterAutospacing="0"/>
        <w:jc w:val="both"/>
        <w:rPr>
          <w:rFonts w:ascii="Times New Roman" w:hAnsi="Times New Roman"/>
          <w:bCs/>
        </w:rPr>
      </w:pPr>
    </w:p>
    <w:p w:rsidR="000842B2" w:rsidRPr="00770870" w:rsidP="00981DD1">
      <w:pPr>
        <w:pStyle w:val="NormalWeb"/>
        <w:bidi w:val="0"/>
        <w:spacing w:before="0" w:beforeAutospacing="0" w:after="0" w:afterAutospacing="0"/>
        <w:jc w:val="both"/>
        <w:rPr>
          <w:rFonts w:ascii="Times New Roman" w:hAnsi="Times New Roman"/>
        </w:rPr>
      </w:pPr>
      <w:r w:rsidRPr="00770870">
        <w:rPr>
          <w:rFonts w:ascii="Times New Roman" w:hAnsi="Times New Roman"/>
          <w:b/>
        </w:rPr>
        <w:t>Ministerstvo práce, sociálnych vecí a rodiny SR</w:t>
      </w:r>
      <w:r w:rsidRPr="00770870">
        <w:rPr>
          <w:rFonts w:ascii="Times New Roman" w:hAnsi="Times New Roman"/>
        </w:rPr>
        <w:t xml:space="preserve"> ako gestor posudzovania návrhu </w:t>
      </w:r>
      <w:r w:rsidRPr="00770870">
        <w:rPr>
          <w:rFonts w:ascii="Times New Roman" w:hAnsi="Times New Roman"/>
          <w:bCs/>
        </w:rPr>
        <w:t xml:space="preserve">z hľadiska </w:t>
      </w:r>
      <w:r w:rsidRPr="00770870">
        <w:rPr>
          <w:rFonts w:ascii="Times New Roman" w:hAnsi="Times New Roman"/>
        </w:rPr>
        <w:t>sociálnych vplyvov súhlasí s doložkou vybraných vplyvov.</w:t>
      </w:r>
    </w:p>
    <w:p w:rsidR="000842B2" w:rsidRPr="00770870" w:rsidP="00981DD1">
      <w:pPr>
        <w:pStyle w:val="NormalWeb"/>
        <w:bidi w:val="0"/>
        <w:spacing w:before="0" w:beforeAutospacing="0" w:after="0" w:afterAutospacing="0"/>
        <w:jc w:val="both"/>
        <w:rPr>
          <w:rFonts w:ascii="Times New Roman" w:hAnsi="Times New Roman"/>
        </w:rPr>
      </w:pPr>
    </w:p>
    <w:p w:rsidR="000842B2" w:rsidRPr="00770870" w:rsidP="00981DD1">
      <w:pPr>
        <w:pStyle w:val="NormalWeb"/>
        <w:bidi w:val="0"/>
        <w:spacing w:before="0" w:beforeAutospacing="0" w:after="0" w:afterAutospacing="0"/>
        <w:jc w:val="both"/>
        <w:rPr>
          <w:rFonts w:ascii="Times New Roman" w:hAnsi="Times New Roman"/>
        </w:rPr>
      </w:pPr>
      <w:r w:rsidRPr="00770870">
        <w:rPr>
          <w:rFonts w:ascii="Times New Roman" w:hAnsi="Times New Roman"/>
          <w:b/>
        </w:rPr>
        <w:t>Ministerstvo životného prostredia SR</w:t>
      </w:r>
      <w:r w:rsidRPr="00770870">
        <w:rPr>
          <w:rFonts w:ascii="Times New Roman" w:hAnsi="Times New Roman"/>
        </w:rPr>
        <w:t xml:space="preserve"> ako gestor posudzovania návrhu </w:t>
      </w:r>
      <w:r w:rsidRPr="00770870">
        <w:rPr>
          <w:rFonts w:ascii="Times New Roman" w:hAnsi="Times New Roman"/>
          <w:bCs/>
        </w:rPr>
        <w:t xml:space="preserve">za oblasť </w:t>
      </w:r>
      <w:r w:rsidRPr="00770870">
        <w:rPr>
          <w:rFonts w:ascii="Times New Roman" w:hAnsi="Times New Roman"/>
        </w:rPr>
        <w:t>vplyvov na životné prostredie súhlasí s doložkou vybraných vplyvov.</w:t>
      </w:r>
    </w:p>
    <w:p w:rsidR="000842B2" w:rsidRPr="00770870" w:rsidP="00981DD1">
      <w:pPr>
        <w:pStyle w:val="NormalWeb"/>
        <w:bidi w:val="0"/>
        <w:spacing w:before="0" w:beforeAutospacing="0" w:after="0" w:afterAutospacing="0"/>
        <w:jc w:val="both"/>
        <w:rPr>
          <w:rFonts w:ascii="Times New Roman" w:hAnsi="Times New Roman"/>
        </w:rPr>
      </w:pPr>
    </w:p>
    <w:p w:rsidR="000842B2" w:rsidRPr="00770870" w:rsidP="00981DD1">
      <w:pPr>
        <w:pStyle w:val="NormalWeb"/>
        <w:bidi w:val="0"/>
        <w:spacing w:before="0" w:beforeAutospacing="0" w:after="0" w:afterAutospacing="0"/>
        <w:jc w:val="both"/>
        <w:rPr>
          <w:rFonts w:ascii="Times New Roman" w:hAnsi="Times New Roman"/>
        </w:rPr>
      </w:pPr>
      <w:r w:rsidRPr="00770870">
        <w:rPr>
          <w:rFonts w:ascii="Times New Roman" w:hAnsi="Times New Roman"/>
          <w:b/>
        </w:rPr>
        <w:t>Ministerstvo hospodárstva SR</w:t>
      </w:r>
      <w:r w:rsidRPr="00770870">
        <w:rPr>
          <w:rFonts w:ascii="Times New Roman" w:hAnsi="Times New Roman"/>
        </w:rPr>
        <w:t xml:space="preserve"> ako gestor posudzovania návrhu </w:t>
      </w:r>
      <w:r w:rsidRPr="00770870">
        <w:rPr>
          <w:rFonts w:ascii="Times New Roman" w:hAnsi="Times New Roman"/>
          <w:bCs/>
        </w:rPr>
        <w:t>z hľadiska</w:t>
      </w:r>
      <w:r w:rsidRPr="00770870">
        <w:rPr>
          <w:rFonts w:ascii="Times New Roman" w:hAnsi="Times New Roman"/>
        </w:rPr>
        <w:t xml:space="preserve"> vplyvov na podnikateľské prostredie súhlasí s doložkou vybraných vplyvov. </w:t>
      </w:r>
    </w:p>
    <w:p w:rsidR="000842B2" w:rsidP="00981DD1">
      <w:pPr>
        <w:pStyle w:val="NormalWeb"/>
        <w:bidi w:val="0"/>
        <w:spacing w:before="0" w:beforeAutospacing="0" w:after="0" w:afterAutospacing="0"/>
        <w:jc w:val="both"/>
        <w:rPr>
          <w:rFonts w:ascii="Times New Roman" w:hAnsi="Times New Roman"/>
          <w:b/>
          <w:bCs/>
          <w:color w:val="000000"/>
        </w:rPr>
      </w:pPr>
    </w:p>
    <w:p w:rsidR="00770870" w:rsidRPr="00770870" w:rsidP="00981DD1">
      <w:pPr>
        <w:pStyle w:val="NormalWeb"/>
        <w:bidi w:val="0"/>
        <w:spacing w:before="0" w:beforeAutospacing="0" w:after="0" w:afterAutospacing="0"/>
        <w:jc w:val="both"/>
        <w:rPr>
          <w:rFonts w:ascii="Times New Roman" w:hAnsi="Times New Roman"/>
          <w:b/>
          <w:bCs/>
          <w:color w:val="000000"/>
        </w:rPr>
      </w:pPr>
    </w:p>
    <w:p w:rsidR="000842B2" w:rsidRPr="00770870" w:rsidP="00981DD1">
      <w:pPr>
        <w:pStyle w:val="Title"/>
        <w:bidi w:val="0"/>
        <w:rPr>
          <w:rFonts w:ascii="Times New Roman" w:hAnsi="Times New Roman" w:cs="Times New Roman"/>
          <w:b/>
          <w:i w:val="0"/>
          <w:u w:val="none"/>
        </w:rPr>
      </w:pPr>
      <w:r w:rsidRPr="00770870">
        <w:rPr>
          <w:rFonts w:ascii="Times New Roman" w:hAnsi="Times New Roman" w:cs="Times New Roman"/>
          <w:b/>
          <w:i w:val="0"/>
          <w:u w:val="none"/>
        </w:rPr>
        <w:t>Vplyvy na rozpočet verejnej správy,</w:t>
      </w:r>
    </w:p>
    <w:p w:rsidR="000842B2" w:rsidP="00981DD1">
      <w:pPr>
        <w:pStyle w:val="Title"/>
        <w:bidi w:val="0"/>
        <w:rPr>
          <w:rFonts w:ascii="Times New Roman" w:hAnsi="Times New Roman" w:cs="Times New Roman"/>
          <w:b/>
          <w:i w:val="0"/>
          <w:u w:val="none"/>
        </w:rPr>
      </w:pPr>
      <w:r w:rsidRPr="00770870">
        <w:rPr>
          <w:rFonts w:ascii="Times New Roman" w:hAnsi="Times New Roman" w:cs="Times New Roman"/>
          <w:b/>
          <w:i w:val="0"/>
          <w:u w:val="none"/>
        </w:rPr>
        <w:t>na zamestnanosť vo verejnej správe a financovanie návrhu</w:t>
      </w:r>
    </w:p>
    <w:p w:rsidR="00770870" w:rsidRPr="00770870" w:rsidP="00981DD1">
      <w:pPr>
        <w:pStyle w:val="Title"/>
        <w:bidi w:val="0"/>
        <w:rPr>
          <w:rFonts w:ascii="Times New Roman" w:hAnsi="Times New Roman" w:cs="Times New Roman"/>
          <w:b/>
          <w:i w:val="0"/>
          <w:u w:val="none"/>
        </w:rPr>
      </w:pPr>
    </w:p>
    <w:p w:rsidR="000842B2" w:rsidRPr="00770870" w:rsidP="00981DD1">
      <w:pPr>
        <w:pStyle w:val="Title"/>
        <w:bidi w:val="0"/>
        <w:jc w:val="both"/>
        <w:rPr>
          <w:rFonts w:ascii="Times New Roman" w:hAnsi="Times New Roman" w:cs="Times New Roman"/>
          <w:b/>
          <w:i w:val="0"/>
          <w:u w:val="none"/>
        </w:rPr>
      </w:pPr>
      <w:r w:rsidRPr="00770870">
        <w:rPr>
          <w:rFonts w:ascii="Times New Roman" w:hAnsi="Times New Roman" w:cs="Times New Roman"/>
          <w:i w:val="0"/>
          <w:u w:val="none"/>
        </w:rPr>
        <w:t> </w:t>
      </w:r>
      <w:r w:rsidRPr="00770870">
        <w:rPr>
          <w:rFonts w:ascii="Times New Roman" w:hAnsi="Times New Roman" w:cs="Times New Roman"/>
          <w:b/>
          <w:i w:val="0"/>
          <w:u w:val="none"/>
        </w:rPr>
        <w:t>2.1. Zhrnutie vplyvov na rozpočet verejnej správy v návrhu</w:t>
      </w:r>
    </w:p>
    <w:p w:rsidR="000842B2" w:rsidRPr="00770870" w:rsidP="00981DD1">
      <w:pPr>
        <w:pStyle w:val="Title"/>
        <w:bidi w:val="0"/>
        <w:jc w:val="both"/>
        <w:rPr>
          <w:rFonts w:ascii="Times New Roman" w:hAnsi="Times New Roman" w:cs="Times New Roman"/>
          <w:i w:val="0"/>
          <w:u w:val="none"/>
        </w:rPr>
      </w:pP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 xml:space="preserve">Tabuľka č. 1 </w:t>
      </w:r>
    </w:p>
    <w:tbl>
      <w:tblPr>
        <w:tblStyle w:val="TableNormal"/>
        <w:tblW w:w="5000" w:type="pct"/>
        <w:tblCellMar>
          <w:left w:w="0" w:type="dxa"/>
          <w:right w:w="0" w:type="dxa"/>
        </w:tblCellMar>
      </w:tblPr>
      <w:tblGrid>
        <w:gridCol w:w="4415"/>
        <w:gridCol w:w="1200"/>
        <w:gridCol w:w="1199"/>
        <w:gridCol w:w="1199"/>
        <w:gridCol w:w="1199"/>
      </w:tblGrid>
      <w:tr>
        <w:tblPrEx>
          <w:tblW w:w="5000" w:type="pct"/>
          <w:tblCellMar>
            <w:left w:w="0" w:type="dxa"/>
            <w:right w:w="0" w:type="dxa"/>
          </w:tblCellMar>
        </w:tblPrEx>
        <w:trPr>
          <w:trHeight w:val="194"/>
        </w:trPr>
        <w:tc>
          <w:tcPr>
            <w:tcW w:w="2396"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bookmarkStart w:id="0" w:name="OLE_LINK1"/>
            <w:bookmarkEnd w:id="0"/>
            <w:r w:rsidRPr="00770870">
              <w:rPr>
                <w:rFonts w:ascii="Times New Roman" w:hAnsi="Times New Roman" w:cs="Times New Roman"/>
                <w:i w:val="0"/>
                <w:u w:val="none"/>
              </w:rPr>
              <w:t>Vplyvy na rozpočet verejnej správy</w:t>
            </w:r>
          </w:p>
        </w:tc>
        <w:tc>
          <w:tcPr>
            <w:tcW w:w="2604" w:type="pct"/>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Vplyv na rozpočet verejnej správy (v eurách)</w:t>
            </w:r>
          </w:p>
        </w:tc>
      </w:tr>
      <w:tr>
        <w:tblPrEx>
          <w:tblW w:w="5000" w:type="pct"/>
          <w:tblCellMar>
            <w:left w:w="0" w:type="dxa"/>
            <w:right w:w="0" w:type="dxa"/>
          </w:tblCellMar>
        </w:tblPrEx>
        <w:trPr>
          <w:trHeight w:val="70"/>
        </w:trPr>
        <w:tc>
          <w:tcPr>
            <w:tcW w:w="2396" w:type="pct"/>
            <w:vMerge/>
            <w:tcBorders>
              <w:top w:val="single" w:sz="4" w:space="0" w:color="000000"/>
              <w:left w:val="single" w:sz="4" w:space="0" w:color="000000"/>
              <w:bottom w:val="single" w:sz="4" w:space="0" w:color="000000"/>
              <w:right w:val="single" w:sz="4" w:space="0" w:color="000000"/>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2013</w:t>
            </w:r>
          </w:p>
        </w:tc>
        <w:tc>
          <w:tcPr>
            <w:tcW w:w="651"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2014</w:t>
            </w:r>
          </w:p>
        </w:tc>
        <w:tc>
          <w:tcPr>
            <w:tcW w:w="651"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2015</w:t>
            </w:r>
          </w:p>
        </w:tc>
        <w:tc>
          <w:tcPr>
            <w:tcW w:w="651"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2016</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Príjmy verejnej správy celkom</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r>
      <w:tr>
        <w:tblPrEx>
          <w:tblW w:w="5000" w:type="pct"/>
          <w:tblCellMar>
            <w:left w:w="0" w:type="dxa"/>
            <w:right w:w="0" w:type="dxa"/>
          </w:tblCellMar>
        </w:tblPrEx>
        <w:trPr>
          <w:trHeight w:val="132"/>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 tom: za každý subjekt verejnej správy zvlášť</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z toho: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125"/>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vplyv na ŠR</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r>
      <w:tr>
        <w:tblPrEx>
          <w:tblW w:w="5000" w:type="pct"/>
          <w:tblCellMar>
            <w:left w:w="0" w:type="dxa"/>
            <w:right w:w="0" w:type="dxa"/>
          </w:tblCellMar>
        </w:tblPrEx>
        <w:trPr>
          <w:trHeight w:val="125"/>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vplyv na územnú samosprávu</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r>
      <w:tr>
        <w:tblPrEx>
          <w:tblW w:w="5000" w:type="pct"/>
          <w:tblCellMar>
            <w:left w:w="0" w:type="dxa"/>
            <w:right w:w="0" w:type="dxa"/>
          </w:tblCellMar>
        </w:tblPrEx>
        <w:trPr>
          <w:trHeight w:val="125"/>
        </w:trPr>
        <w:tc>
          <w:tcPr>
            <w:tcW w:w="2396"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Výdavky verejnej správy celkom</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 tom: kapitola Ministerstva kultúry SR</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08S0107, FK 08.2.03 SÚH 641 001</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xml:space="preserve"> - 476 985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xml:space="preserve">- 476 985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sz w:val="22"/>
                <w:szCs w:val="22"/>
                <w:u w:val="none"/>
              </w:rPr>
              <w:t xml:space="preserve">- 476 985        </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 tom:  610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- 189 122</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- 189 122</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- 189 122</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xml:space="preserve">            620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66 098</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66 098</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66 098</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            630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-221 765</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-221 765</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-221 765</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08S0107, FK 08.2.04 NOC 641 001</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xml:space="preserve">+ 476 985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xml:space="preserve">+ 476 985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xml:space="preserve">+ 476 985        </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 tom: 610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+162 765</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+162 765</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+162 765</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           620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+ 56 886</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+ 56 886</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+ 56 886</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           630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+ 257 334</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+ 257 334</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+ 257 334</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z toho: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vplyv na ŠR</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vplyv na územnú samosprávu</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Celková zamestnanosť </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-3</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-3</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-3</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 z toho vplyv na ŠR </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Financovanie zabezpečené v rozpočte</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476 985</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476 985</w:t>
            </w:r>
          </w:p>
        </w:tc>
        <w:tc>
          <w:tcPr>
            <w:tcW w:w="651" w:type="pc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476 985</w:t>
            </w:r>
          </w:p>
        </w:tc>
      </w:tr>
      <w:tr>
        <w:tblPrEx>
          <w:tblW w:w="5000" w:type="pct"/>
          <w:tblCellMar>
            <w:left w:w="0" w:type="dxa"/>
            <w:right w:w="0" w:type="dxa"/>
          </w:tblCellMar>
        </w:tblPrEx>
        <w:trPr>
          <w:trHeight w:val="70"/>
        </w:trPr>
        <w:tc>
          <w:tcPr>
            <w:tcW w:w="239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 tom: kapitola Ministerstvo kultúry SR</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476 985</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476 985</w:t>
            </w:r>
          </w:p>
        </w:tc>
        <w:tc>
          <w:tcPr>
            <w:tcW w:w="651"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476 985</w:t>
            </w:r>
          </w:p>
        </w:tc>
      </w:tr>
      <w:tr>
        <w:tblPrEx>
          <w:tblW w:w="5000" w:type="pct"/>
          <w:tblCellMar>
            <w:left w:w="0" w:type="dxa"/>
            <w:right w:w="0" w:type="dxa"/>
          </w:tblCellMar>
        </w:tblPrEx>
        <w:trPr>
          <w:trHeight w:val="70"/>
        </w:trPr>
        <w:tc>
          <w:tcPr>
            <w:tcW w:w="2396" w:type="pct"/>
            <w:tcBorders>
              <w:top w:val="nil"/>
              <w:left w:val="nil"/>
              <w:bottom w:val="nil"/>
              <w:right w:val="nil"/>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nil"/>
              <w:left w:val="nil"/>
              <w:bottom w:val="nil"/>
              <w:right w:val="nil"/>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nil"/>
              <w:left w:val="nil"/>
              <w:bottom w:val="nil"/>
              <w:right w:val="nil"/>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nil"/>
              <w:left w:val="nil"/>
              <w:bottom w:val="nil"/>
              <w:right w:val="nil"/>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nil"/>
              <w:left w:val="nil"/>
              <w:bottom w:val="nil"/>
              <w:right w:val="nil"/>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PrEx>
        <w:tc>
          <w:tcPr>
            <w:tcW w:w="2396"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51"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r>
    </w:tbl>
    <w:p w:rsidR="000842B2" w:rsidRPr="00770870" w:rsidP="00981DD1">
      <w:pPr>
        <w:pStyle w:val="Title"/>
        <w:bidi w:val="0"/>
        <w:jc w:val="both"/>
        <w:rPr>
          <w:rFonts w:ascii="Times New Roman" w:hAnsi="Times New Roman" w:cs="Times New Roman"/>
          <w:b/>
          <w:i w:val="0"/>
          <w:u w:val="none"/>
        </w:rPr>
      </w:pPr>
      <w:r w:rsidRPr="00770870">
        <w:rPr>
          <w:rFonts w:ascii="Times New Roman" w:hAnsi="Times New Roman" w:cs="Times New Roman"/>
          <w:b/>
          <w:i w:val="0"/>
          <w:u w:val="none"/>
        </w:rPr>
        <w:t>2.2. Financovanie návrhu</w:t>
      </w:r>
    </w:p>
    <w:p w:rsidR="000842B2" w:rsidRPr="00770870" w:rsidP="00981DD1">
      <w:pPr>
        <w:pStyle w:val="Title"/>
        <w:bidi w:val="0"/>
        <w:jc w:val="both"/>
        <w:rPr>
          <w:rFonts w:ascii="Times New Roman" w:hAnsi="Times New Roman" w:cs="Times New Roman"/>
          <w:i w:val="0"/>
          <w:u w:val="none"/>
        </w:rPr>
      </w:pP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Tabuľka č. 2</w:t>
      </w:r>
    </w:p>
    <w:tbl>
      <w:tblPr>
        <w:tblStyle w:val="TableNormal"/>
        <w:tblW w:w="5000" w:type="pct"/>
        <w:tblCellMar>
          <w:left w:w="0" w:type="dxa"/>
          <w:right w:w="0" w:type="dxa"/>
        </w:tblCellMar>
      </w:tblPr>
      <w:tblGrid>
        <w:gridCol w:w="4235"/>
        <w:gridCol w:w="1244"/>
        <w:gridCol w:w="1244"/>
        <w:gridCol w:w="1244"/>
        <w:gridCol w:w="1245"/>
      </w:tblGrid>
      <w:tr>
        <w:tblPrEx>
          <w:tblW w:w="5000" w:type="pct"/>
          <w:tblCellMar>
            <w:left w:w="0" w:type="dxa"/>
            <w:right w:w="0" w:type="dxa"/>
          </w:tblCellMar>
        </w:tblPrEx>
        <w:trPr>
          <w:trHeight w:val="70"/>
        </w:trPr>
        <w:tc>
          <w:tcPr>
            <w:tcW w:w="2299"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Financovanie</w:t>
            </w:r>
          </w:p>
        </w:tc>
        <w:tc>
          <w:tcPr>
            <w:tcW w:w="2701" w:type="pct"/>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Vplyv na rozpočet verejnej správy (v eurách)</w:t>
            </w:r>
          </w:p>
        </w:tc>
      </w:tr>
      <w:tr>
        <w:tblPrEx>
          <w:tblW w:w="5000" w:type="pct"/>
          <w:tblCellMar>
            <w:left w:w="0" w:type="dxa"/>
            <w:right w:w="0" w:type="dxa"/>
          </w:tblCellMar>
        </w:tblPrEx>
        <w:trPr>
          <w:trHeight w:val="70"/>
        </w:trPr>
        <w:tc>
          <w:tcPr>
            <w:tcW w:w="2299" w:type="pct"/>
            <w:vMerge/>
            <w:tcBorders>
              <w:top w:val="single" w:sz="4" w:space="0" w:color="000000"/>
              <w:left w:val="single" w:sz="4" w:space="0" w:color="000000"/>
              <w:bottom w:val="single" w:sz="4" w:space="0" w:color="000000"/>
              <w:right w:val="single" w:sz="4" w:space="0" w:color="000000"/>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75"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2013</w:t>
            </w:r>
          </w:p>
        </w:tc>
        <w:tc>
          <w:tcPr>
            <w:tcW w:w="675"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2014</w:t>
            </w:r>
          </w:p>
        </w:tc>
        <w:tc>
          <w:tcPr>
            <w:tcW w:w="675"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2015</w:t>
            </w:r>
          </w:p>
        </w:tc>
        <w:tc>
          <w:tcPr>
            <w:tcW w:w="675" w:type="pc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2016</w:t>
            </w:r>
          </w:p>
        </w:tc>
      </w:tr>
      <w:tr>
        <w:tblPrEx>
          <w:tblW w:w="5000" w:type="pct"/>
          <w:tblCellMar>
            <w:left w:w="0" w:type="dxa"/>
            <w:right w:w="0" w:type="dxa"/>
          </w:tblCellMar>
        </w:tblPrEx>
        <w:trPr>
          <w:trHeight w:val="70"/>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Celkový vplyv na rozpočet verejnej správy  </w:t>
            </w:r>
          </w:p>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príjmy, + výdavky)</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r>
      <w:tr>
        <w:tblPrEx>
          <w:tblW w:w="5000" w:type="pct"/>
          <w:tblCellMar>
            <w:left w:w="0" w:type="dxa"/>
            <w:right w:w="0" w:type="dxa"/>
          </w:tblCellMar>
        </w:tblPrEx>
        <w:trPr>
          <w:trHeight w:val="70"/>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z toho vplyv na ŠR</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r>
      <w:tr>
        <w:tblPrEx>
          <w:tblW w:w="5000" w:type="pct"/>
          <w:tblCellMar>
            <w:left w:w="0" w:type="dxa"/>
            <w:right w:w="0" w:type="dxa"/>
          </w:tblCellMar>
        </w:tblPrEx>
        <w:trPr>
          <w:trHeight w:val="151"/>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financovanie zabezpečené v rozpočte</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476 985</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476 985</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476 985</w:t>
            </w:r>
          </w:p>
        </w:tc>
      </w:tr>
      <w:tr>
        <w:tblPrEx>
          <w:tblW w:w="5000" w:type="pct"/>
          <w:tblCellMar>
            <w:left w:w="0" w:type="dxa"/>
            <w:right w:w="0" w:type="dxa"/>
          </w:tblCellMar>
        </w:tblPrEx>
        <w:trPr>
          <w:trHeight w:val="135"/>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ostatné zdroje financovania</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r>
      <w:tr>
        <w:tblPrEx>
          <w:tblW w:w="5000" w:type="pct"/>
          <w:tblCellMar>
            <w:left w:w="0" w:type="dxa"/>
            <w:right w:w="0" w:type="dxa"/>
          </w:tblCellMar>
        </w:tblPrEx>
        <w:trPr>
          <w:trHeight w:val="70"/>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Rozpočtovo nekrytý vplyv / úspora</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675"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r>
      <w:tr>
        <w:tblPrEx>
          <w:tblW w:w="5000" w:type="pct"/>
          <w:tblCellMar>
            <w:left w:w="0" w:type="dxa"/>
            <w:right w:w="0" w:type="dxa"/>
          </w:tblCellMar>
        </w:tblPrEx>
        <w:tc>
          <w:tcPr>
            <w:tcW w:w="2299"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75"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75"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75"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675"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r>
    </w:tbl>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Návrh na riešenie úbytku príjmov alebo zvýšených výdavkov podľa § 33 ods. 1 zákona č. 523/2004 Z. z. o rozpočtových pravidlách verejnej správy:</w:t>
      </w:r>
    </w:p>
    <w:p w:rsidR="000842B2" w:rsidRPr="00770870" w:rsidP="00981DD1">
      <w:pPr>
        <w:pStyle w:val="Title"/>
        <w:bidi w:val="0"/>
        <w:jc w:val="both"/>
        <w:rPr>
          <w:rFonts w:ascii="Times New Roman" w:hAnsi="Times New Roman" w:cs="Times New Roman"/>
          <w:i w:val="0"/>
          <w:u w:val="none"/>
        </w:rPr>
      </w:pPr>
    </w:p>
    <w:p w:rsidR="000842B2" w:rsidRPr="00770870" w:rsidP="00981DD1">
      <w:pPr>
        <w:pStyle w:val="Title"/>
        <w:bidi w:val="0"/>
        <w:jc w:val="both"/>
        <w:rPr>
          <w:rFonts w:ascii="Times New Roman" w:hAnsi="Times New Roman" w:cs="Times New Roman"/>
          <w:b/>
          <w:i w:val="0"/>
          <w:u w:val="none"/>
        </w:rPr>
      </w:pPr>
      <w:r w:rsidRPr="00770870">
        <w:rPr>
          <w:rFonts w:ascii="Times New Roman" w:hAnsi="Times New Roman" w:cs="Times New Roman"/>
          <w:b/>
          <w:i w:val="0"/>
          <w:u w:val="none"/>
        </w:rPr>
        <w:t>2.3. Popis a charakteristika návrhu</w:t>
      </w: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 </w:t>
      </w:r>
    </w:p>
    <w:p w:rsidR="000842B2" w:rsidRPr="00770870" w:rsidP="00981DD1">
      <w:pPr>
        <w:pStyle w:val="Title"/>
        <w:bidi w:val="0"/>
        <w:jc w:val="both"/>
        <w:rPr>
          <w:rFonts w:ascii="Times New Roman" w:hAnsi="Times New Roman" w:cs="Times New Roman"/>
          <w:b/>
          <w:i w:val="0"/>
          <w:u w:val="none"/>
        </w:rPr>
      </w:pPr>
      <w:r w:rsidRPr="00770870">
        <w:rPr>
          <w:rFonts w:ascii="Times New Roman" w:hAnsi="Times New Roman" w:cs="Times New Roman"/>
          <w:b/>
          <w:i w:val="0"/>
          <w:u w:val="none"/>
        </w:rPr>
        <w:t>2.3.1. Popis návrhu:</w:t>
      </w: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 </w:t>
      </w:r>
    </w:p>
    <w:p w:rsidR="000842B2" w:rsidRPr="00770870" w:rsidP="00981DD1">
      <w:pPr>
        <w:pStyle w:val="Title"/>
        <w:bidi w:val="0"/>
        <w:jc w:val="both"/>
        <w:rPr>
          <w:rFonts w:ascii="Times New Roman" w:hAnsi="Times New Roman" w:cs="Times New Roman"/>
          <w:b/>
          <w:i w:val="0"/>
          <w:u w:val="none"/>
        </w:rPr>
      </w:pPr>
      <w:r w:rsidRPr="00770870">
        <w:rPr>
          <w:rFonts w:ascii="Times New Roman" w:hAnsi="Times New Roman" w:cs="Times New Roman"/>
          <w:b/>
          <w:i w:val="0"/>
          <w:u w:val="none"/>
        </w:rPr>
        <w:t>2.3.2. Charakteristika návrhu podľa bodu  2.3.2. Metodiky :</w:t>
      </w: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 </w:t>
      </w: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       zmena sadzby</w:t>
      </w: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       zmena v nároku</w:t>
      </w: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       nová služba alebo nariadenie (alebo ich zrušenie)</w:t>
      </w: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       kombinovaný návrh</w:t>
      </w: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 xml:space="preserve"> X   iné </w:t>
      </w: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 </w:t>
      </w:r>
    </w:p>
    <w:p w:rsidR="000842B2" w:rsidRPr="00770870" w:rsidP="00981DD1">
      <w:pPr>
        <w:pStyle w:val="Title"/>
        <w:bidi w:val="0"/>
        <w:jc w:val="both"/>
        <w:rPr>
          <w:rFonts w:ascii="Times New Roman" w:hAnsi="Times New Roman" w:cs="Times New Roman"/>
          <w:b/>
          <w:i w:val="0"/>
          <w:u w:val="none"/>
        </w:rPr>
      </w:pPr>
      <w:r w:rsidRPr="00770870">
        <w:rPr>
          <w:rFonts w:ascii="Times New Roman" w:hAnsi="Times New Roman" w:cs="Times New Roman"/>
          <w:b/>
          <w:i w:val="0"/>
          <w:u w:val="none"/>
        </w:rPr>
        <w:t>2.3.3. Predpoklady vývoja objemu aktivít</w:t>
      </w:r>
    </w:p>
    <w:p w:rsidR="000842B2" w:rsidRPr="00770870" w:rsidP="00981DD1">
      <w:pPr>
        <w:pStyle w:val="Title"/>
        <w:bidi w:val="0"/>
        <w:jc w:val="both"/>
        <w:rPr>
          <w:rFonts w:ascii="Times New Roman" w:hAnsi="Times New Roman" w:cs="Times New Roman"/>
          <w:i w:val="0"/>
          <w:u w:val="none"/>
        </w:rPr>
      </w:pP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Jasne popíšte, v prípade potreby použite nižšie uvedenú tabuľku. Uveďte aj odhady základov daní a/alebo poplatkov, ak sa ich táto zmena týka.</w:t>
      </w:r>
    </w:p>
    <w:p w:rsidR="000842B2" w:rsidRPr="00770870" w:rsidP="00981DD1">
      <w:pPr>
        <w:pStyle w:val="Title"/>
        <w:bidi w:val="0"/>
        <w:jc w:val="both"/>
        <w:rPr>
          <w:rFonts w:ascii="Times New Roman" w:hAnsi="Times New Roman" w:cs="Times New Roman"/>
          <w:i w:val="0"/>
          <w:u w:val="none"/>
        </w:rPr>
      </w:pP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Tabuľka č.3</w:t>
      </w:r>
    </w:p>
    <w:tbl>
      <w:tblPr>
        <w:tblStyle w:val="TableNormal"/>
        <w:tblW w:w="5000" w:type="pct"/>
        <w:tblCellMar>
          <w:left w:w="0" w:type="dxa"/>
          <w:right w:w="0" w:type="dxa"/>
        </w:tblCellMar>
        <w:tblLook w:val="04A0"/>
      </w:tblPr>
      <w:tblGrid>
        <w:gridCol w:w="4380"/>
        <w:gridCol w:w="1228"/>
        <w:gridCol w:w="1228"/>
        <w:gridCol w:w="1228"/>
        <w:gridCol w:w="1224"/>
      </w:tblGrid>
      <w:tr>
        <w:tblPrEx>
          <w:tblW w:w="5000" w:type="pct"/>
          <w:tblCellMar>
            <w:left w:w="0" w:type="dxa"/>
            <w:right w:w="0" w:type="dxa"/>
          </w:tblCellMar>
          <w:tblLook w:val="04A0"/>
        </w:tblPrEx>
        <w:trPr>
          <w:trHeight w:val="70"/>
        </w:trPr>
        <w:tc>
          <w:tcPr>
            <w:tcW w:w="2358" w:type="pct"/>
            <w:vMerge w:val="restart"/>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Objem aktivít</w:t>
            </w:r>
          </w:p>
        </w:tc>
        <w:tc>
          <w:tcPr>
            <w:tcW w:w="2642" w:type="pct"/>
            <w:gridSpan w:val="4"/>
            <w:tcBorders>
              <w:top w:val="single" w:sz="8" w:space="0" w:color="000000"/>
              <w:left w:val="none" w:sz="0" w:space="0" w:color="auto"/>
              <w:bottom w:val="single" w:sz="8" w:space="0" w:color="000000"/>
              <w:right w:val="single" w:sz="8" w:space="0" w:color="000000"/>
            </w:tcBorders>
            <w:shd w:val="clear" w:color="auto" w:fill="000000"/>
            <w:tcMar>
              <w:top w:w="0" w:type="dxa"/>
              <w:left w:w="108" w:type="dxa"/>
              <w:bottom w:w="0" w:type="dxa"/>
              <w:right w:w="108" w:type="dxa"/>
            </w:tcMar>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Odhadované objemy</w:t>
            </w:r>
          </w:p>
        </w:tc>
      </w:tr>
      <w:tr>
        <w:tblPrEx>
          <w:tblW w:w="5000" w:type="pct"/>
          <w:tblCellMar>
            <w:left w:w="0" w:type="dxa"/>
            <w:right w:w="0" w:type="dxa"/>
          </w:tblCellMar>
          <w:tblLook w:val="04A0"/>
        </w:tblPrEx>
        <w:trPr>
          <w:trHeight w:val="70"/>
        </w:trPr>
        <w:tc>
          <w:tcPr>
            <w:tcW w:w="2358" w:type="pct"/>
            <w:vMerge/>
            <w:tcBorders>
              <w:top w:val="single" w:sz="8" w:space="0" w:color="000000"/>
              <w:left w:val="single" w:sz="8" w:space="0" w:color="000000"/>
              <w:bottom w:val="single" w:sz="8" w:space="0" w:color="000000"/>
              <w:right w:val="single" w:sz="8" w:space="0" w:color="000000"/>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661" w:type="pct"/>
            <w:tcBorders>
              <w:top w:val="none" w:sz="0" w:space="0" w:color="auto"/>
              <w:left w:val="none" w:sz="0" w:space="0" w:color="auto"/>
              <w:bottom w:val="single" w:sz="8" w:space="0" w:color="000000"/>
              <w:right w:val="single" w:sz="8" w:space="0" w:color="000000"/>
            </w:tcBorders>
            <w:shd w:val="clear" w:color="auto" w:fill="000000"/>
            <w:tcMar>
              <w:top w:w="0" w:type="dxa"/>
              <w:left w:w="108" w:type="dxa"/>
              <w:bottom w:w="0" w:type="dxa"/>
              <w:right w:w="108" w:type="dxa"/>
            </w:tcMar>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2013</w:t>
            </w:r>
          </w:p>
        </w:tc>
        <w:tc>
          <w:tcPr>
            <w:tcW w:w="661" w:type="pct"/>
            <w:tcBorders>
              <w:top w:val="none" w:sz="0" w:space="0" w:color="auto"/>
              <w:left w:val="none" w:sz="0" w:space="0" w:color="auto"/>
              <w:bottom w:val="single" w:sz="8" w:space="0" w:color="000000"/>
              <w:right w:val="single" w:sz="8" w:space="0" w:color="000000"/>
            </w:tcBorders>
            <w:shd w:val="clear" w:color="auto" w:fill="000000"/>
            <w:tcMar>
              <w:top w:w="0" w:type="dxa"/>
              <w:left w:w="108" w:type="dxa"/>
              <w:bottom w:w="0" w:type="dxa"/>
              <w:right w:w="108" w:type="dxa"/>
            </w:tcMar>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2014</w:t>
            </w:r>
          </w:p>
        </w:tc>
        <w:tc>
          <w:tcPr>
            <w:tcW w:w="661" w:type="pct"/>
            <w:tcBorders>
              <w:top w:val="none" w:sz="0" w:space="0" w:color="auto"/>
              <w:left w:val="none" w:sz="0" w:space="0" w:color="auto"/>
              <w:bottom w:val="single" w:sz="8" w:space="0" w:color="000000"/>
              <w:right w:val="single" w:sz="8" w:space="0" w:color="000000"/>
            </w:tcBorders>
            <w:shd w:val="clear" w:color="auto" w:fill="000000"/>
            <w:tcMar>
              <w:top w:w="0" w:type="dxa"/>
              <w:left w:w="108" w:type="dxa"/>
              <w:bottom w:w="0" w:type="dxa"/>
              <w:right w:w="108" w:type="dxa"/>
            </w:tcMar>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2015</w:t>
            </w:r>
          </w:p>
        </w:tc>
        <w:tc>
          <w:tcPr>
            <w:tcW w:w="661" w:type="pct"/>
            <w:tcBorders>
              <w:top w:val="none" w:sz="0" w:space="0" w:color="auto"/>
              <w:left w:val="none" w:sz="0" w:space="0" w:color="auto"/>
              <w:bottom w:val="single" w:sz="8" w:space="0" w:color="000000"/>
              <w:right w:val="single" w:sz="8" w:space="0" w:color="000000"/>
            </w:tcBorders>
            <w:shd w:val="clear" w:color="auto" w:fill="000000"/>
            <w:tcMar>
              <w:top w:w="0" w:type="dxa"/>
              <w:left w:w="108" w:type="dxa"/>
              <w:bottom w:w="0" w:type="dxa"/>
              <w:right w:w="108" w:type="dxa"/>
            </w:tcMar>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2016</w:t>
            </w:r>
          </w:p>
        </w:tc>
      </w:tr>
      <w:tr>
        <w:tblPrEx>
          <w:tblW w:w="5000" w:type="pct"/>
          <w:tblCellMar>
            <w:left w:w="0" w:type="dxa"/>
            <w:right w:w="0" w:type="dxa"/>
          </w:tblCellMar>
          <w:tblLook w:val="04A0"/>
        </w:tblPrEx>
        <w:trPr>
          <w:trHeight w:val="70"/>
        </w:trPr>
        <w:tc>
          <w:tcPr>
            <w:tcW w:w="2358" w:type="pct"/>
            <w:tcBorders>
              <w:top w:val="none" w:sz="0" w:space="0" w:color="auto"/>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Indikátor ABC</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w:t>
            </w:r>
          </w:p>
        </w:tc>
      </w:tr>
      <w:tr>
        <w:tblPrEx>
          <w:tblW w:w="5000" w:type="pct"/>
          <w:tblCellMar>
            <w:left w:w="0" w:type="dxa"/>
            <w:right w:w="0" w:type="dxa"/>
          </w:tblCellMar>
          <w:tblLook w:val="04A0"/>
        </w:tblPrEx>
        <w:trPr>
          <w:trHeight w:val="70"/>
        </w:trPr>
        <w:tc>
          <w:tcPr>
            <w:tcW w:w="2358" w:type="pct"/>
            <w:tcBorders>
              <w:top w:val="none" w:sz="0" w:space="0" w:color="auto"/>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Indikátor KLM</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w:t>
            </w:r>
          </w:p>
        </w:tc>
      </w:tr>
      <w:tr>
        <w:tblPrEx>
          <w:tblW w:w="5000" w:type="pct"/>
          <w:tblCellMar>
            <w:left w:w="0" w:type="dxa"/>
            <w:right w:w="0" w:type="dxa"/>
          </w:tblCellMar>
          <w:tblLook w:val="04A0"/>
        </w:tblPrEx>
        <w:trPr>
          <w:trHeight w:val="70"/>
        </w:trPr>
        <w:tc>
          <w:tcPr>
            <w:tcW w:w="2358" w:type="pct"/>
            <w:tcBorders>
              <w:top w:val="none" w:sz="0" w:space="0" w:color="auto"/>
              <w:left w:val="single" w:sz="8" w:space="0" w:color="000000"/>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Indikátor XYZ</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w:t>
            </w:r>
          </w:p>
        </w:tc>
        <w:tc>
          <w:tcPr>
            <w:tcW w:w="661" w:type="pct"/>
            <w:tcBorders>
              <w:top w:val="none" w:sz="0" w:space="0" w:color="auto"/>
              <w:left w:val="none" w:sz="0" w:space="0" w:color="auto"/>
              <w:bottom w:val="single" w:sz="8" w:space="0" w:color="000000"/>
              <w:right w:val="single" w:sz="8" w:space="0" w:color="000000"/>
            </w:tcBorders>
            <w:tcMar>
              <w:top w:w="0" w:type="dxa"/>
              <w:left w:w="108" w:type="dxa"/>
              <w:bottom w:w="0" w:type="dxa"/>
              <w:right w:w="108"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w:t>
            </w:r>
          </w:p>
        </w:tc>
      </w:tr>
      <w:tr>
        <w:tblPrEx>
          <w:tblW w:w="5000" w:type="pct"/>
          <w:tblCellMar>
            <w:left w:w="0" w:type="dxa"/>
            <w:right w:w="0" w:type="dxa"/>
          </w:tblCellMar>
          <w:tblLook w:val="04A0"/>
        </w:tblPrEx>
        <w:tc>
          <w:tcPr>
            <w:tcW w:w="2358" w:type="pct"/>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661" w:type="pct"/>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661" w:type="pct"/>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661" w:type="pct"/>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661" w:type="pct"/>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Look w:val="04A0"/>
        </w:tblPrEx>
        <w:tc>
          <w:tcPr>
            <w:tcW w:w="2358" w:type="pct"/>
            <w:tcBorders>
              <w:top w:val="nil"/>
              <w:left w:val="nil"/>
              <w:bottom w:val="nil"/>
              <w:right w:val="nil"/>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661" w:type="pct"/>
            <w:tcBorders>
              <w:top w:val="nil"/>
              <w:left w:val="nil"/>
              <w:bottom w:val="nil"/>
              <w:right w:val="nil"/>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661" w:type="pct"/>
            <w:tcBorders>
              <w:top w:val="nil"/>
              <w:left w:val="nil"/>
              <w:bottom w:val="nil"/>
              <w:right w:val="nil"/>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661" w:type="pct"/>
            <w:tcBorders>
              <w:top w:val="nil"/>
              <w:left w:val="nil"/>
              <w:bottom w:val="nil"/>
              <w:right w:val="nil"/>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661" w:type="pct"/>
            <w:tcBorders>
              <w:top w:val="nil"/>
              <w:left w:val="nil"/>
              <w:bottom w:val="nil"/>
              <w:right w:val="nil"/>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r>
    </w:tbl>
    <w:p w:rsidR="000842B2" w:rsidRPr="00770870" w:rsidP="00981DD1">
      <w:pPr>
        <w:pStyle w:val="Title"/>
        <w:bidi w:val="0"/>
        <w:jc w:val="both"/>
        <w:rPr>
          <w:rFonts w:ascii="Times New Roman" w:hAnsi="Times New Roman" w:cs="Times New Roman"/>
          <w:b/>
          <w:i w:val="0"/>
          <w:u w:val="none"/>
        </w:rPr>
      </w:pPr>
      <w:r w:rsidRPr="00770870">
        <w:rPr>
          <w:rFonts w:ascii="Times New Roman" w:hAnsi="Times New Roman" w:cs="Times New Roman"/>
          <w:b/>
          <w:i w:val="0"/>
          <w:u w:val="none"/>
        </w:rPr>
        <w:t>2.3.4. Výpočty vplyvov na verejné financie</w:t>
      </w:r>
    </w:p>
    <w:p w:rsidR="000842B2" w:rsidRPr="00770870" w:rsidP="00981DD1">
      <w:pPr>
        <w:pStyle w:val="Title"/>
        <w:bidi w:val="0"/>
        <w:jc w:val="both"/>
        <w:rPr>
          <w:rFonts w:ascii="Times New Roman" w:hAnsi="Times New Roman" w:cs="Times New Roman"/>
          <w:i w:val="0"/>
          <w:u w:val="none"/>
        </w:rPr>
      </w:pPr>
    </w:p>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 xml:space="preserve">Tabuľka č. 4 </w:t>
      </w:r>
    </w:p>
    <w:tbl>
      <w:tblPr>
        <w:tblStyle w:val="TableNormal"/>
        <w:tblW w:w="5000" w:type="pct"/>
        <w:tblCellMar>
          <w:left w:w="0" w:type="dxa"/>
          <w:right w:w="0" w:type="dxa"/>
        </w:tblCellMar>
      </w:tblPr>
      <w:tblGrid>
        <w:gridCol w:w="4271"/>
        <w:gridCol w:w="989"/>
        <w:gridCol w:w="857"/>
        <w:gridCol w:w="978"/>
        <w:gridCol w:w="754"/>
        <w:gridCol w:w="1363"/>
      </w:tblGrid>
      <w:tr>
        <w:tblPrEx>
          <w:tblW w:w="5000" w:type="pct"/>
          <w:tblCellMar>
            <w:left w:w="0" w:type="dxa"/>
            <w:right w:w="0" w:type="dxa"/>
          </w:tblCellMar>
        </w:tblPrEx>
        <w:trPr>
          <w:trHeight w:val="255"/>
        </w:trPr>
        <w:tc>
          <w:tcPr>
            <w:tcW w:w="2318"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Príjmy (v eurách)</w:t>
            </w:r>
          </w:p>
        </w:tc>
        <w:tc>
          <w:tcPr>
            <w:tcW w:w="1941" w:type="pct"/>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Vplyv na rozpočet verejnej správy</w:t>
            </w:r>
          </w:p>
        </w:tc>
        <w:tc>
          <w:tcPr>
            <w:tcW w:w="741"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poznámka</w:t>
            </w:r>
          </w:p>
        </w:tc>
      </w:tr>
      <w:tr>
        <w:tblPrEx>
          <w:tblW w:w="5000" w:type="pct"/>
          <w:tblCellMar>
            <w:left w:w="0" w:type="dxa"/>
            <w:right w:w="0" w:type="dxa"/>
          </w:tblCellMar>
        </w:tblPrEx>
        <w:trPr>
          <w:trHeight w:val="255"/>
        </w:trPr>
        <w:tc>
          <w:tcPr>
            <w:tcW w:w="2318" w:type="pct"/>
            <w:vMerge/>
            <w:tcBorders>
              <w:top w:val="single" w:sz="4" w:space="0" w:color="000000"/>
              <w:left w:val="single" w:sz="4" w:space="0" w:color="000000"/>
              <w:bottom w:val="single" w:sz="4" w:space="0" w:color="000000"/>
              <w:right w:val="single" w:sz="4" w:space="0" w:color="000000"/>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537"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2013</w:t>
            </w:r>
          </w:p>
        </w:tc>
        <w:tc>
          <w:tcPr>
            <w:tcW w:w="465"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2014</w:t>
            </w:r>
          </w:p>
        </w:tc>
        <w:tc>
          <w:tcPr>
            <w:tcW w:w="531"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2015</w:t>
            </w:r>
          </w:p>
        </w:tc>
        <w:tc>
          <w:tcPr>
            <w:tcW w:w="409"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2016</w:t>
            </w:r>
          </w:p>
        </w:tc>
        <w:tc>
          <w:tcPr>
            <w:tcW w:w="741" w:type="pct"/>
            <w:vMerge/>
            <w:tcBorders>
              <w:top w:val="single" w:sz="4" w:space="0" w:color="000000"/>
              <w:left w:val="single" w:sz="4" w:space="0" w:color="000000"/>
              <w:bottom w:val="single" w:sz="4" w:space="0" w:color="000000"/>
              <w:right w:val="single" w:sz="4" w:space="0" w:color="000000"/>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PrEx>
        <w:trPr>
          <w:trHeight w:val="255"/>
        </w:trPr>
        <w:tc>
          <w:tcPr>
            <w:tcW w:w="2318"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Daňové príjmy (100)</w:t>
            </w:r>
          </w:p>
        </w:tc>
        <w:tc>
          <w:tcPr>
            <w:tcW w:w="537"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0</w:t>
            </w:r>
          </w:p>
        </w:tc>
        <w:tc>
          <w:tcPr>
            <w:tcW w:w="46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53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40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74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nebude mať vplyv </w:t>
            </w:r>
          </w:p>
        </w:tc>
      </w:tr>
      <w:tr>
        <w:tblPrEx>
          <w:tblW w:w="5000" w:type="pct"/>
          <w:tblCellMar>
            <w:left w:w="0" w:type="dxa"/>
            <w:right w:w="0" w:type="dxa"/>
          </w:tblCellMar>
        </w:tblPrEx>
        <w:trPr>
          <w:trHeight w:val="255"/>
        </w:trPr>
        <w:tc>
          <w:tcPr>
            <w:tcW w:w="2318"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Nedaňové príjmy (200)</w:t>
            </w:r>
          </w:p>
        </w:tc>
        <w:tc>
          <w:tcPr>
            <w:tcW w:w="537"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0</w:t>
            </w:r>
          </w:p>
        </w:tc>
        <w:tc>
          <w:tcPr>
            <w:tcW w:w="46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53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40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74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318"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Granty a transfery (300)</w:t>
            </w:r>
          </w:p>
        </w:tc>
        <w:tc>
          <w:tcPr>
            <w:tcW w:w="537"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0</w:t>
            </w:r>
          </w:p>
        </w:tc>
        <w:tc>
          <w:tcPr>
            <w:tcW w:w="465"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53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409"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74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318"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Príjmy z transakcií s finančnými aktívami a finančnými pasívami (400)</w:t>
            </w:r>
          </w:p>
        </w:tc>
        <w:tc>
          <w:tcPr>
            <w:tcW w:w="537"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0</w:t>
            </w:r>
          </w:p>
        </w:tc>
        <w:tc>
          <w:tcPr>
            <w:tcW w:w="465"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531"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409"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74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318"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Prijaté úvery, pôžičky a návratné finančné výpomoci (500)</w:t>
            </w:r>
          </w:p>
        </w:tc>
        <w:tc>
          <w:tcPr>
            <w:tcW w:w="537"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0</w:t>
            </w:r>
          </w:p>
        </w:tc>
        <w:tc>
          <w:tcPr>
            <w:tcW w:w="465"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531"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409"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0 </w:t>
            </w:r>
          </w:p>
        </w:tc>
        <w:tc>
          <w:tcPr>
            <w:tcW w:w="741"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318" w:type="pct"/>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Dopad na príjmy verejnej správy celkom</w:t>
            </w:r>
          </w:p>
        </w:tc>
        <w:tc>
          <w:tcPr>
            <w:tcW w:w="537"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c>
          <w:tcPr>
            <w:tcW w:w="465"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c>
          <w:tcPr>
            <w:tcW w:w="531"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c>
          <w:tcPr>
            <w:tcW w:w="409"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c>
          <w:tcPr>
            <w:tcW w:w="741"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c>
          <w:tcPr>
            <w:tcW w:w="2318"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537"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465"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531"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409"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741"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r>
    </w:tbl>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 xml:space="preserve">Tabuľka č. 5 </w:t>
      </w:r>
    </w:p>
    <w:tbl>
      <w:tblPr>
        <w:tblStyle w:val="TableNormal"/>
        <w:tblW w:w="5000" w:type="pct"/>
        <w:tblCellMar>
          <w:left w:w="0" w:type="dxa"/>
          <w:right w:w="0" w:type="dxa"/>
        </w:tblCellMar>
      </w:tblPr>
      <w:tblGrid>
        <w:gridCol w:w="4214"/>
        <w:gridCol w:w="630"/>
        <w:gridCol w:w="319"/>
        <w:gridCol w:w="7"/>
        <w:gridCol w:w="942"/>
        <w:gridCol w:w="15"/>
        <w:gridCol w:w="973"/>
        <w:gridCol w:w="985"/>
        <w:gridCol w:w="1127"/>
      </w:tblGrid>
      <w:tr>
        <w:tblPrEx>
          <w:tblW w:w="5000" w:type="pct"/>
          <w:tblCellMar>
            <w:left w:w="0" w:type="dxa"/>
            <w:right w:w="0" w:type="dxa"/>
          </w:tblCellMar>
        </w:tblPrEx>
        <w:trPr>
          <w:trHeight w:val="255"/>
        </w:trPr>
        <w:tc>
          <w:tcPr>
            <w:tcW w:w="2299"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Výdavky (v eurách)</w:t>
            </w:r>
          </w:p>
        </w:tc>
        <w:tc>
          <w:tcPr>
            <w:tcW w:w="2184" w:type="pct"/>
            <w:gridSpan w:val="7"/>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Vplyv na rozpočet verejnej správy</w:t>
            </w:r>
          </w:p>
        </w:tc>
        <w:tc>
          <w:tcPr>
            <w:tcW w:w="516" w:type="pct"/>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poznámka</w:t>
            </w:r>
          </w:p>
        </w:tc>
      </w:tr>
      <w:tr>
        <w:tblPrEx>
          <w:tblW w:w="5000" w:type="pct"/>
          <w:tblCellMar>
            <w:left w:w="0" w:type="dxa"/>
            <w:right w:w="0" w:type="dxa"/>
          </w:tblCellMar>
        </w:tblPrEx>
        <w:trPr>
          <w:trHeight w:val="197"/>
        </w:trPr>
        <w:tc>
          <w:tcPr>
            <w:tcW w:w="2299" w:type="pct"/>
            <w:vMerge/>
            <w:tcBorders>
              <w:top w:val="single" w:sz="4" w:space="0" w:color="000000"/>
              <w:left w:val="single" w:sz="4" w:space="0" w:color="000000"/>
              <w:bottom w:val="single" w:sz="4" w:space="0" w:color="000000"/>
              <w:right w:val="single" w:sz="4" w:space="0" w:color="000000"/>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546" w:type="pct"/>
            <w:gridSpan w:val="3"/>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2013</w:t>
            </w:r>
          </w:p>
        </w:tc>
        <w:tc>
          <w:tcPr>
            <w:tcW w:w="546" w:type="pct"/>
            <w:gridSpan w:val="2"/>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2014</w:t>
            </w:r>
          </w:p>
        </w:tc>
        <w:tc>
          <w:tcPr>
            <w:tcW w:w="546"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2015</w:t>
            </w:r>
          </w:p>
        </w:tc>
        <w:tc>
          <w:tcPr>
            <w:tcW w:w="546" w:type="pct"/>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2016</w:t>
            </w:r>
          </w:p>
        </w:tc>
        <w:tc>
          <w:tcPr>
            <w:tcW w:w="516" w:type="pct"/>
            <w:vMerge/>
            <w:tcBorders>
              <w:top w:val="single" w:sz="4" w:space="0" w:color="000000"/>
              <w:left w:val="single" w:sz="4" w:space="0" w:color="000000"/>
              <w:bottom w:val="single" w:sz="4" w:space="0" w:color="000000"/>
              <w:right w:val="single" w:sz="4" w:space="0" w:color="000000"/>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PrEx>
        <w:trPr>
          <w:trHeight w:val="255"/>
        </w:trPr>
        <w:tc>
          <w:tcPr>
            <w:tcW w:w="2299"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Bežné výdavky (600)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60"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   0</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 0</w:t>
            </w:r>
          </w:p>
        </w:tc>
        <w:tc>
          <w:tcPr>
            <w:tcW w:w="51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299"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Mzdy, platy, služobné príjmy a ostatné osobné vyrovnania (610)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-26 357</w:t>
            </w:r>
          </w:p>
        </w:tc>
        <w:tc>
          <w:tcPr>
            <w:tcW w:w="560"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-26 357</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-26 357</w:t>
            </w:r>
          </w:p>
        </w:tc>
        <w:tc>
          <w:tcPr>
            <w:tcW w:w="51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299"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Poistné a príspevok do poisťovní (620)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-9 212</w:t>
            </w:r>
          </w:p>
        </w:tc>
        <w:tc>
          <w:tcPr>
            <w:tcW w:w="560"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- 9 212</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-9 212</w:t>
            </w:r>
          </w:p>
        </w:tc>
        <w:tc>
          <w:tcPr>
            <w:tcW w:w="51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299"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Tovary a služby (630)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+35 569</w:t>
            </w:r>
          </w:p>
        </w:tc>
        <w:tc>
          <w:tcPr>
            <w:tcW w:w="560"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 +35 569</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sz w:val="22"/>
                <w:szCs w:val="22"/>
                <w:u w:val="none"/>
              </w:rPr>
            </w:pPr>
            <w:r w:rsidRPr="00770870">
              <w:rPr>
                <w:rFonts w:ascii="Times New Roman" w:hAnsi="Times New Roman" w:cs="Times New Roman"/>
                <w:i w:val="0"/>
                <w:sz w:val="22"/>
                <w:szCs w:val="22"/>
                <w:u w:val="none"/>
              </w:rPr>
              <w:t>+35 569</w:t>
            </w:r>
          </w:p>
        </w:tc>
        <w:tc>
          <w:tcPr>
            <w:tcW w:w="51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299"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Bežné transfery (640)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60"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  0</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 0</w:t>
            </w:r>
          </w:p>
        </w:tc>
        <w:tc>
          <w:tcPr>
            <w:tcW w:w="51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299"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Splácanie úrokov a ostatné platby súvisiace s úvermi, pôžičkami a NFV (650)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60"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0</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0</w:t>
            </w:r>
          </w:p>
        </w:tc>
        <w:tc>
          <w:tcPr>
            <w:tcW w:w="51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299"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Kapitálové výdavky (700)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60"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1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299"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Obstarávanie kapitálových aktív (710)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0 </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60"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1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299"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Kapitálové transfery (720)</w:t>
            </w: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p>
        </w:tc>
        <w:tc>
          <w:tcPr>
            <w:tcW w:w="539"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p>
        </w:tc>
        <w:tc>
          <w:tcPr>
            <w:tcW w:w="560"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p>
        </w:tc>
        <w:tc>
          <w:tcPr>
            <w:tcW w:w="51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299"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Výdavky z transakcií s finančnými aktívami a finančnými pasívami (800)</w:t>
            </w:r>
          </w:p>
        </w:tc>
        <w:tc>
          <w:tcPr>
            <w:tcW w:w="539" w:type="pct"/>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39" w:type="pct"/>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0</w:t>
            </w:r>
          </w:p>
        </w:tc>
        <w:tc>
          <w:tcPr>
            <w:tcW w:w="560" w:type="pct"/>
            <w:gridSpan w:val="2"/>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0</w:t>
            </w:r>
          </w:p>
        </w:tc>
        <w:tc>
          <w:tcPr>
            <w:tcW w:w="546" w:type="pct"/>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0</w:t>
            </w:r>
          </w:p>
        </w:tc>
        <w:tc>
          <w:tcPr>
            <w:tcW w:w="51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299" w:type="pct"/>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Dopad na výdavky verejnej správy celkom</w:t>
            </w:r>
          </w:p>
        </w:tc>
        <w:tc>
          <w:tcPr>
            <w:tcW w:w="354" w:type="pct"/>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c>
          <w:tcPr>
            <w:tcW w:w="724" w:type="pct"/>
            <w:gridSpan w:val="3"/>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c>
          <w:tcPr>
            <w:tcW w:w="560" w:type="pct"/>
            <w:gridSpan w:val="2"/>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c>
          <w:tcPr>
            <w:tcW w:w="546" w:type="pct"/>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c>
          <w:tcPr>
            <w:tcW w:w="516" w:type="pct"/>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w:t>
            </w:r>
          </w:p>
        </w:tc>
      </w:tr>
      <w:tr>
        <w:tblPrEx>
          <w:tblW w:w="5000" w:type="pct"/>
          <w:tblCellMar>
            <w:left w:w="0" w:type="dxa"/>
            <w:right w:w="0" w:type="dxa"/>
          </w:tblCellMar>
        </w:tblPrEx>
        <w:trPr>
          <w:trHeight w:val="255"/>
        </w:trPr>
        <w:tc>
          <w:tcPr>
            <w:tcW w:w="2299" w:type="pct"/>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z toho výdavky na ŠR</w:t>
            </w:r>
          </w:p>
        </w:tc>
        <w:tc>
          <w:tcPr>
            <w:tcW w:w="546" w:type="pct"/>
            <w:gridSpan w:val="3"/>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gridSpan w:val="2"/>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16" w:type="pct"/>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PrEx>
        <w:trPr>
          <w:trHeight w:val="255"/>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Bežné výdavky (600) </w:t>
            </w:r>
          </w:p>
        </w:tc>
        <w:tc>
          <w:tcPr>
            <w:tcW w:w="546" w:type="pct"/>
            <w:gridSpan w:val="3"/>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1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PrEx>
        <w:trPr>
          <w:trHeight w:val="255"/>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Mzdy, platy, služobné príjmy a ostatné osobné vyrovnania (610)</w:t>
            </w:r>
          </w:p>
        </w:tc>
        <w:tc>
          <w:tcPr>
            <w:tcW w:w="546" w:type="pct"/>
            <w:gridSpan w:val="3"/>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1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PrEx>
        <w:trPr>
          <w:trHeight w:val="255"/>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Kapitálové výdavky (700)</w:t>
            </w:r>
          </w:p>
        </w:tc>
        <w:tc>
          <w:tcPr>
            <w:tcW w:w="546" w:type="pct"/>
            <w:gridSpan w:val="3"/>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1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PrEx>
        <w:trPr>
          <w:trHeight w:val="255"/>
        </w:trPr>
        <w:tc>
          <w:tcPr>
            <w:tcW w:w="2299"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Výdavky z transakcií s finančnými aktívami a finančnými pasívami (800)</w:t>
            </w:r>
          </w:p>
        </w:tc>
        <w:tc>
          <w:tcPr>
            <w:tcW w:w="546" w:type="pct"/>
            <w:gridSpan w:val="3"/>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gridSpan w:val="2"/>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4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516" w:type="pct"/>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PrEx>
        <w:tc>
          <w:tcPr>
            <w:tcW w:w="2299"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354"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724" w:type="pct"/>
            <w:gridSpan w:val="3"/>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560" w:type="pct"/>
            <w:gridSpan w:val="2"/>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546"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c>
          <w:tcPr>
            <w:tcW w:w="516" w:type="pct"/>
            <w:tcBorders>
              <w:top w:val="nil"/>
              <w:left w:val="nil"/>
              <w:bottom w:val="nil"/>
              <w:right w:val="nil"/>
            </w:tcBorders>
            <w:textDirection w:val="lrTb"/>
            <w:vAlign w:val="center"/>
          </w:tcPr>
          <w:p w:rsidR="000842B2" w:rsidRPr="00770870" w:rsidP="00981DD1">
            <w:pPr>
              <w:pStyle w:val="Title"/>
              <w:bidi w:val="0"/>
              <w:spacing w:after="0" w:line="240" w:lineRule="auto"/>
              <w:jc w:val="both"/>
              <w:rPr>
                <w:rFonts w:ascii="Times New Roman" w:hAnsi="Times New Roman" w:cs="Times New Roman"/>
                <w:i w:val="0"/>
                <w:u w:val="none"/>
              </w:rPr>
            </w:pPr>
          </w:p>
        </w:tc>
      </w:tr>
    </w:tbl>
    <w:p w:rsidR="000842B2" w:rsidRPr="00770870" w:rsidP="00981DD1">
      <w:pPr>
        <w:pStyle w:val="Title"/>
        <w:bidi w:val="0"/>
        <w:jc w:val="both"/>
        <w:rPr>
          <w:rFonts w:ascii="Times New Roman" w:hAnsi="Times New Roman" w:cs="Times New Roman"/>
          <w:i w:val="0"/>
          <w:u w:val="none"/>
        </w:rPr>
      </w:pPr>
      <w:r w:rsidRPr="00770870">
        <w:rPr>
          <w:rFonts w:ascii="Times New Roman" w:hAnsi="Times New Roman" w:cs="Times New Roman"/>
          <w:i w:val="0"/>
          <w:u w:val="none"/>
        </w:rPr>
        <w:t>Tabuľka č. 6</w:t>
      </w:r>
    </w:p>
    <w:tbl>
      <w:tblPr>
        <w:tblStyle w:val="TableNormal"/>
        <w:tblW w:w="5000" w:type="pct"/>
        <w:tblCellMar>
          <w:left w:w="0" w:type="dxa"/>
          <w:right w:w="0" w:type="dxa"/>
        </w:tblCellMar>
        <w:tblLook w:val="04A0"/>
      </w:tblPr>
      <w:tblGrid>
        <w:gridCol w:w="3770"/>
        <w:gridCol w:w="1322"/>
        <w:gridCol w:w="1322"/>
        <w:gridCol w:w="1322"/>
        <w:gridCol w:w="1344"/>
        <w:gridCol w:w="42"/>
        <w:gridCol w:w="20"/>
      </w:tblGrid>
      <w:tr>
        <w:tblPrEx>
          <w:tblW w:w="5000" w:type="pct"/>
          <w:tblCellMar>
            <w:left w:w="0" w:type="dxa"/>
            <w:right w:w="0" w:type="dxa"/>
          </w:tblCellMar>
          <w:tblLook w:val="04A0"/>
        </w:tblPrEx>
        <w:trPr>
          <w:trHeight w:val="20"/>
        </w:trPr>
        <w:tc>
          <w:tcPr>
            <w:tcW w:w="2062" w:type="pct"/>
            <w:vMerge w:val="restart"/>
            <w:tcBorders>
              <w:top w:val="single" w:sz="8" w:space="0" w:color="000000"/>
              <w:left w:val="single" w:sz="8" w:space="0" w:color="000000"/>
              <w:bottom w:val="single" w:sz="8" w:space="0" w:color="000000"/>
              <w:right w:val="single" w:sz="8" w:space="0" w:color="000000"/>
            </w:tcBorders>
            <w:shd w:val="clear" w:color="auto" w:fill="000000"/>
            <w:tcMar>
              <w:top w:w="0" w:type="dxa"/>
              <w:left w:w="70" w:type="dxa"/>
              <w:bottom w:w="0" w:type="dxa"/>
              <w:right w:w="70" w:type="dxa"/>
            </w:tcMar>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Zamestnanosť </w:t>
            </w:r>
          </w:p>
        </w:tc>
        <w:tc>
          <w:tcPr>
            <w:tcW w:w="2903" w:type="pct"/>
            <w:gridSpan w:val="4"/>
            <w:tcBorders>
              <w:top w:val="single" w:sz="8" w:space="0" w:color="000000"/>
              <w:left w:val="none" w:sz="0" w:space="0" w:color="auto"/>
              <w:bottom w:val="single" w:sz="8" w:space="0" w:color="000000"/>
              <w:right w:val="single" w:sz="8" w:space="0" w:color="000000"/>
            </w:tcBorders>
            <w:shd w:val="clear" w:color="auto" w:fill="000000"/>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Vplyv na rozpočet verejnej správy</w:t>
            </w:r>
          </w:p>
        </w:tc>
        <w:tc>
          <w:tcPr>
            <w:tcW w:w="23" w:type="pct"/>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11" w:type="pct"/>
            <w:tcBorders>
              <w:top w:val="none" w:sz="0" w:space="0" w:color="auto"/>
              <w:left w:val="none" w:sz="0" w:space="0" w:color="auto"/>
              <w:bottom w:val="none" w:sz="0" w:space="0" w:color="auto"/>
              <w:right w:val="none" w:sz="0" w:space="0" w:color="auto"/>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Look w:val="04A0"/>
        </w:tblPrEx>
        <w:trPr>
          <w:trHeight w:val="20"/>
        </w:trPr>
        <w:tc>
          <w:tcPr>
            <w:tcW w:w="2062" w:type="pct"/>
            <w:vMerge/>
            <w:tcBorders>
              <w:top w:val="single" w:sz="8" w:space="0" w:color="000000"/>
              <w:left w:val="single" w:sz="8" w:space="0" w:color="000000"/>
              <w:bottom w:val="single" w:sz="8" w:space="0" w:color="000000"/>
              <w:right w:val="single" w:sz="8" w:space="0" w:color="000000"/>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723" w:type="pct"/>
            <w:tcBorders>
              <w:top w:val="none" w:sz="0" w:space="0" w:color="auto"/>
              <w:left w:val="none" w:sz="0" w:space="0" w:color="auto"/>
              <w:bottom w:val="single" w:sz="8" w:space="0" w:color="000000"/>
              <w:right w:val="single" w:sz="8" w:space="0" w:color="000000"/>
            </w:tcBorders>
            <w:shd w:val="clear" w:color="auto" w:fill="000000"/>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2013</w:t>
            </w:r>
          </w:p>
        </w:tc>
        <w:tc>
          <w:tcPr>
            <w:tcW w:w="723" w:type="pct"/>
            <w:tcBorders>
              <w:top w:val="none" w:sz="0" w:space="0" w:color="auto"/>
              <w:left w:val="none" w:sz="0" w:space="0" w:color="auto"/>
              <w:bottom w:val="single" w:sz="8" w:space="0" w:color="000000"/>
              <w:right w:val="single" w:sz="8" w:space="0" w:color="000000"/>
            </w:tcBorders>
            <w:shd w:val="clear" w:color="auto" w:fill="000000"/>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2014</w:t>
            </w:r>
          </w:p>
        </w:tc>
        <w:tc>
          <w:tcPr>
            <w:tcW w:w="723" w:type="pct"/>
            <w:tcBorders>
              <w:top w:val="none" w:sz="0" w:space="0" w:color="auto"/>
              <w:left w:val="none" w:sz="0" w:space="0" w:color="auto"/>
              <w:bottom w:val="single" w:sz="8" w:space="0" w:color="000000"/>
              <w:right w:val="single" w:sz="8" w:space="0" w:color="000000"/>
            </w:tcBorders>
            <w:shd w:val="clear" w:color="auto" w:fill="000000"/>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2015</w:t>
            </w:r>
          </w:p>
        </w:tc>
        <w:tc>
          <w:tcPr>
            <w:tcW w:w="734" w:type="pct"/>
            <w:tcBorders>
              <w:top w:val="none" w:sz="0" w:space="0" w:color="auto"/>
              <w:left w:val="none" w:sz="0" w:space="0" w:color="auto"/>
              <w:bottom w:val="single" w:sz="8" w:space="0" w:color="000000"/>
              <w:right w:val="single" w:sz="8" w:space="0" w:color="000000"/>
            </w:tcBorders>
            <w:shd w:val="clear" w:color="auto" w:fill="000000"/>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2016</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Počet zamestnancov celkom*</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-3</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-3</w:t>
            </w:r>
          </w:p>
        </w:tc>
        <w:tc>
          <w:tcPr>
            <w:tcW w:w="734"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-3</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z toho vplyv na ŠR</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34"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Priemerný mzdový výdavok (v eurách)*</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-732,13</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-732,13</w:t>
            </w:r>
          </w:p>
        </w:tc>
        <w:tc>
          <w:tcPr>
            <w:tcW w:w="734"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-732,13</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z toho vplyv na ŠR</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34"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shd w:val="clear" w:color="auto" w:fill="000000"/>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Osobné výdavky celkom (v eurách)</w:t>
            </w:r>
          </w:p>
        </w:tc>
        <w:tc>
          <w:tcPr>
            <w:tcW w:w="723" w:type="pct"/>
            <w:tcBorders>
              <w:top w:val="none" w:sz="0" w:space="0" w:color="auto"/>
              <w:left w:val="none" w:sz="0" w:space="0" w:color="auto"/>
              <w:bottom w:val="single" w:sz="8" w:space="0" w:color="000000"/>
              <w:right w:val="single" w:sz="8" w:space="0" w:color="000000"/>
            </w:tcBorders>
            <w:shd w:val="clear" w:color="auto" w:fill="000000"/>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723" w:type="pct"/>
            <w:tcBorders>
              <w:top w:val="none" w:sz="0" w:space="0" w:color="auto"/>
              <w:left w:val="none" w:sz="0" w:space="0" w:color="auto"/>
              <w:bottom w:val="single" w:sz="8" w:space="0" w:color="000000"/>
              <w:right w:val="single" w:sz="8" w:space="0" w:color="000000"/>
            </w:tcBorders>
            <w:shd w:val="clear" w:color="auto" w:fill="000000"/>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723" w:type="pct"/>
            <w:tcBorders>
              <w:top w:val="none" w:sz="0" w:space="0" w:color="auto"/>
              <w:left w:val="none" w:sz="0" w:space="0" w:color="auto"/>
              <w:bottom w:val="single" w:sz="8" w:space="0" w:color="000000"/>
              <w:right w:val="single" w:sz="8" w:space="0" w:color="000000"/>
            </w:tcBorders>
            <w:shd w:val="clear" w:color="auto" w:fill="000000"/>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734" w:type="pct"/>
            <w:tcBorders>
              <w:top w:val="none" w:sz="0" w:space="0" w:color="auto"/>
              <w:left w:val="none" w:sz="0" w:space="0" w:color="auto"/>
              <w:bottom w:val="single" w:sz="8" w:space="0" w:color="000000"/>
              <w:right w:val="single" w:sz="8" w:space="0" w:color="000000"/>
            </w:tcBorders>
            <w:shd w:val="clear" w:color="auto" w:fill="000000"/>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Mzdy, platy, služobné príjmy a ostatné osobné vyrovnania (610)* </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-26 357</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-26 357</w:t>
            </w:r>
          </w:p>
        </w:tc>
        <w:tc>
          <w:tcPr>
            <w:tcW w:w="734"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-26 357</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z toho vplyv na ŠR</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34"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Poistné a príspevok do poisťovní (620)*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-9 212</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-9 212</w:t>
            </w:r>
          </w:p>
        </w:tc>
        <w:tc>
          <w:tcPr>
            <w:tcW w:w="734"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-9 212</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Look w:val="04A0"/>
        </w:tblPrEx>
        <w:trPr>
          <w:trHeight w:val="20"/>
        </w:trPr>
        <w:tc>
          <w:tcPr>
            <w:tcW w:w="2062" w:type="pct"/>
            <w:tcBorders>
              <w:top w:val="none" w:sz="0" w:space="0" w:color="auto"/>
              <w:left w:val="single" w:sz="8" w:space="0" w:color="000000"/>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z toho vplyv na ŠR</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23" w:type="pct"/>
            <w:tcBorders>
              <w:top w:val="none" w:sz="0" w:space="0" w:color="auto"/>
              <w:left w:val="none" w:sz="0" w:space="0" w:color="auto"/>
              <w:bottom w:val="single" w:sz="8" w:space="0" w:color="000000"/>
              <w:right w:val="single" w:sz="8" w:space="0" w:color="000000"/>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734" w:type="pct"/>
            <w:tcBorders>
              <w:top w:val="none" w:sz="0" w:space="0" w:color="auto"/>
              <w:left w:val="none" w:sz="0" w:space="0" w:color="auto"/>
              <w:bottom w:val="single" w:sz="8" w:space="0" w:color="000000"/>
              <w:right w:val="single" w:sz="8" w:space="0" w:color="000000"/>
            </w:tcBorders>
            <w:tcMar>
              <w:top w:w="0" w:type="dxa"/>
              <w:left w:w="70" w:type="dxa"/>
              <w:bottom w:w="0" w:type="dxa"/>
              <w:right w:w="70" w:type="dxa"/>
            </w:tcMar>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0</w:t>
            </w:r>
          </w:p>
        </w:tc>
        <w:tc>
          <w:tcPr>
            <w:tcW w:w="34" w:type="pct"/>
            <w:gridSpan w:val="2"/>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r>
      <w:tr>
        <w:tblPrEx>
          <w:tblW w:w="5000" w:type="pct"/>
          <w:tblCellMar>
            <w:left w:w="0" w:type="dxa"/>
            <w:right w:w="0" w:type="dxa"/>
          </w:tblCellMar>
          <w:tblLook w:val="04A0"/>
        </w:tblPrEx>
        <w:trPr>
          <w:trHeight w:val="20"/>
        </w:trPr>
        <w:tc>
          <w:tcPr>
            <w:tcW w:w="4966" w:type="pct"/>
            <w:gridSpan w:val="5"/>
            <w:tcBorders>
              <w:top w:val="none" w:sz="0" w:space="0" w:color="auto"/>
              <w:left w:val="none" w:sz="0" w:space="0" w:color="auto"/>
              <w:bottom w:val="none" w:sz="0" w:space="0" w:color="auto"/>
              <w:right w:val="none" w:sz="0" w:space="0" w:color="auto"/>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p>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Zníženie zamestnancov v príspevkovej organizácii nemá vplyv na štátny rozpočet, nakoľko príspevok od zriaďovateľa pre príspevkové organizácie v kapitole Ministerstva kultúry SR sa nebude meniť na základe splynutia Slovenskej ústrednej hvezdárne Hurbanovo s Národným osvetovým centrom v Bratislave, nakoľko usporené výdavky budú ponechané pre Národné osvetové centrum Bratislava na odstránenie havarijného stavu budovy.</w:t>
            </w:r>
          </w:p>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Poznámky: </w:t>
            </w:r>
          </w:p>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Priemerný mzdový výdavok je tvorený podielom mzdových výdavkov na jedného zamestnanca na jeden kalendárny mesiac bežného roka. 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 Kategórie 610 a 620 sú z tejto prílohy automaticky prenášané do príslušných kategórií prílohy „výdavky“.</w:t>
            </w:r>
          </w:p>
          <w:p w:rsidR="000842B2" w:rsidRPr="00770870" w:rsidP="00981DD1">
            <w:pPr>
              <w:pStyle w:val="Title"/>
              <w:bidi w:val="0"/>
              <w:spacing w:after="0" w:line="240" w:lineRule="auto"/>
              <w:jc w:val="both"/>
              <w:rPr>
                <w:rFonts w:ascii="Times New Roman" w:hAnsi="Times New Roman" w:cs="Times New Roman"/>
                <w:i w:val="0"/>
                <w:u w:val="none"/>
              </w:rPr>
            </w:pPr>
            <w:r w:rsidRPr="00770870">
              <w:rPr>
                <w:rFonts w:ascii="Times New Roman" w:hAnsi="Times New Roman" w:cs="Times New Roman"/>
                <w:i w:val="0"/>
                <w:u w:val="none"/>
              </w:rPr>
              <w:t xml:space="preserve">* počet zamestnancov, mzdy a poistné rozpísať podľa spôsobu odmeňovania (napr. policajti, colníci...) </w:t>
            </w:r>
          </w:p>
        </w:tc>
        <w:tc>
          <w:tcPr>
            <w:tcW w:w="23" w:type="pct"/>
            <w:tcBorders>
              <w:top w:val="none" w:sz="0" w:space="0" w:color="auto"/>
              <w:left w:val="none" w:sz="0" w:space="0" w:color="auto"/>
              <w:bottom w:val="none" w:sz="0" w:space="0" w:color="auto"/>
              <w:right w:val="none" w:sz="0" w:space="0" w:color="auto"/>
            </w:tcBorders>
            <w:textDirection w:val="lrTb"/>
            <w:vAlign w:val="center"/>
            <w:hideMark/>
          </w:tcPr>
          <w:p w:rsidR="000842B2" w:rsidRPr="00770870" w:rsidP="00981DD1">
            <w:pPr>
              <w:pStyle w:val="Title"/>
              <w:bidi w:val="0"/>
              <w:spacing w:after="0" w:line="240" w:lineRule="auto"/>
              <w:jc w:val="both"/>
              <w:rPr>
                <w:rFonts w:ascii="Times New Roman" w:hAnsi="Times New Roman" w:cs="Times New Roman"/>
                <w:i w:val="0"/>
                <w:u w:val="none"/>
              </w:rPr>
            </w:pPr>
          </w:p>
        </w:tc>
        <w:tc>
          <w:tcPr>
            <w:tcW w:w="11" w:type="pct"/>
            <w:tcBorders>
              <w:top w:val="none" w:sz="0" w:space="0" w:color="auto"/>
              <w:left w:val="none" w:sz="0" w:space="0" w:color="auto"/>
              <w:bottom w:val="none" w:sz="0" w:space="0" w:color="auto"/>
              <w:right w:val="none" w:sz="0" w:space="0" w:color="auto"/>
            </w:tcBorders>
            <w:textDirection w:val="lrTb"/>
            <w:vAlign w:val="top"/>
            <w:hideMark/>
          </w:tcPr>
          <w:p w:rsidR="000842B2" w:rsidRPr="00770870" w:rsidP="00981DD1">
            <w:pPr>
              <w:pStyle w:val="Title"/>
              <w:bidi w:val="0"/>
              <w:spacing w:after="0" w:line="240" w:lineRule="auto"/>
              <w:jc w:val="both"/>
              <w:rPr>
                <w:rFonts w:ascii="Times New Roman" w:hAnsi="Times New Roman" w:cs="Times New Roman"/>
                <w:i w:val="0"/>
                <w:u w:val="none"/>
              </w:rPr>
            </w:pPr>
          </w:p>
        </w:tc>
      </w:tr>
    </w:tbl>
    <w:p w:rsidR="00C4368A" w:rsidP="009075EF">
      <w:pPr>
        <w:bidi w:val="0"/>
        <w:spacing w:after="0" w:line="240" w:lineRule="auto"/>
        <w:jc w:val="both"/>
        <w:rPr>
          <w:rFonts w:ascii="Times New Roman" w:hAnsi="Times New Roman"/>
          <w:b/>
          <w:bCs/>
          <w:sz w:val="24"/>
          <w:szCs w:val="24"/>
          <w:u w:val="single"/>
          <w:lang w:eastAsia="sk-SK"/>
        </w:rPr>
      </w:pPr>
    </w:p>
    <w:p w:rsidR="00E439E9" w:rsidRPr="00770870" w:rsidP="009075EF">
      <w:pPr>
        <w:bidi w:val="0"/>
        <w:spacing w:after="0" w:line="240" w:lineRule="auto"/>
        <w:jc w:val="both"/>
        <w:rPr>
          <w:rFonts w:ascii="Times New Roman" w:hAnsi="Times New Roman"/>
          <w:b/>
          <w:bCs/>
          <w:sz w:val="24"/>
          <w:szCs w:val="24"/>
          <w:u w:val="single"/>
          <w:lang w:eastAsia="sk-SK"/>
        </w:rPr>
      </w:pPr>
    </w:p>
    <w:p w:rsidR="009075EF" w:rsidRPr="00770870" w:rsidP="009075EF">
      <w:pPr>
        <w:bidi w:val="0"/>
        <w:spacing w:after="0" w:line="240" w:lineRule="auto"/>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Osobitná časť</w:t>
      </w:r>
    </w:p>
    <w:p w:rsidR="009075EF" w:rsidRPr="00770870" w:rsidP="009075EF">
      <w:pPr>
        <w:bidi w:val="0"/>
        <w:spacing w:after="0" w:line="240" w:lineRule="auto"/>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článku I:</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1</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V § 2 ods. 6 sa spresňuje obsah pojmu „galéria“. Úprava reflektuje na svojbytné postavenie galérií v prostredí zbierkotvorných inštitúcií v Slovenskej republike s ohľadom na špecifiká v oblasti výkonu základných odborných činností v galériách oproti múzeám.</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2</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V § 2 ods. 7 vykonaná štylistická a obsahová úprava z dôvodu jednoznačnosti a zrozumiteľnosti.</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3</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V § 4 ods. 1 sa zavádza nové písm. d), ktorým sa rozširujú oprávnenia zriaďovateľa alebo zakladateľa múzea alebo galérie po zrušení múzea alebo galérie, a to požiadať Slovenské národné múzeum alebo Slovenskú národnú galériu o zápis do evidencie múzejných zariadení alebo evidencie galerijných zariadení. Úprava vychádza so skúseností z aplikačnej praxe (záujem zrušených múzeí o transformáciu na múzejné zariadenie alebo galerijné zariadenie). Múzejné a galerijné zariadenia môžu vykonávať prezentačnú činnosť nadobúdaním a prezentovaním vlastných predmetov kultúrnej hodnoty, ale aj bez ich vlastníctva (napr. v tzv. pamätných izbách sú často prezentované predmety kultúrnej hodnoty vo vlastníctve fyzických osôb len na základe zmlúv o výpožičke alebo nájme).</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4</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V § 4 ods. 2 písm. c) ide o precizovanie formulácie z dôvodu zrozumiteľnosti a spresnenia povinnosti pre zriaďovateľa alebo zakladateľa múzea alebo galérie požiadať Ministerstvo kultúry Slovenskej republiky do 60 dní od nadobudnutia účinnosti </w:t>
      </w:r>
      <w:r w:rsidRPr="00770870">
        <w:rPr>
          <w:rFonts w:ascii="Times New Roman" w:hAnsi="Times New Roman"/>
          <w:color w:val="231F20"/>
          <w:sz w:val="24"/>
          <w:szCs w:val="24"/>
          <w:lang w:eastAsia="sk-SK"/>
        </w:rPr>
        <w:t xml:space="preserve">zriaďovacej listiny, zakladateľskej listiny alebo štatútu múzea alebo galérie, o zápis do Registra múzeí a galérií Slovenskej republiky. </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5</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sz w:val="24"/>
          <w:szCs w:val="24"/>
          <w:lang w:eastAsia="sk-SK"/>
        </w:rPr>
        <w:t>V § 4 ods. 3 sa precizuje formulácia z dôvodu jednoznačnosti.</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6</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Cs/>
          <w:sz w:val="24"/>
          <w:szCs w:val="24"/>
          <w:lang w:eastAsia="sk-SK"/>
        </w:rPr>
        <w:t xml:space="preserve">V </w:t>
      </w:r>
      <w:r w:rsidRPr="00770870">
        <w:rPr>
          <w:rFonts w:ascii="Times New Roman" w:hAnsi="Times New Roman"/>
          <w:sz w:val="24"/>
          <w:szCs w:val="24"/>
          <w:lang w:eastAsia="sk-SK"/>
        </w:rPr>
        <w:t xml:space="preserve">§ 4 ods. 3 písm. c) sa spresňuje povinnosť pre zriaďovateľov múzea alebo galérie pri </w:t>
      </w:r>
      <w:r w:rsidRPr="00770870">
        <w:rPr>
          <w:rFonts w:ascii="Times New Roman" w:hAnsi="Times New Roman"/>
          <w:color w:val="231F20"/>
          <w:sz w:val="24"/>
          <w:szCs w:val="24"/>
          <w:lang w:eastAsia="sk-SK"/>
        </w:rPr>
        <w:t xml:space="preserve">zabezpečení nadobudnutia zbierkových predmetov (pred zrušením múzea alebo galérie) </w:t>
      </w:r>
      <w:r w:rsidRPr="00770870">
        <w:rPr>
          <w:rFonts w:ascii="Times New Roman" w:hAnsi="Times New Roman"/>
          <w:sz w:val="24"/>
          <w:szCs w:val="24"/>
          <w:lang w:eastAsia="sk-SK"/>
        </w:rPr>
        <w:t>iným</w:t>
      </w:r>
      <w:r w:rsidRPr="00770870">
        <w:rPr>
          <w:rFonts w:ascii="Times New Roman" w:hAnsi="Times New Roman"/>
          <w:color w:val="231F20"/>
          <w:sz w:val="24"/>
          <w:szCs w:val="24"/>
          <w:lang w:eastAsia="sk-SK"/>
        </w:rPr>
        <w:t xml:space="preserve"> múzeom alebo galériou, a to na múzeum alebo galériu </w:t>
      </w:r>
      <w:r w:rsidRPr="00770870">
        <w:rPr>
          <w:rFonts w:ascii="Times New Roman" w:hAnsi="Times New Roman"/>
          <w:sz w:val="24"/>
          <w:szCs w:val="24"/>
          <w:lang w:eastAsia="sk-SK"/>
        </w:rPr>
        <w:t xml:space="preserve">vybranými podľa zamerania a špecializácie. Dôvodom je zabezpečenie zmysluplného nadobúdania zbierkových predmetov tak, aby korešpondovalo so zameraním a špecializáciou múzea alebo galérie, a zhodnocovalo tak zbierky a zbierkové fondy uchovávané v múzeách a galériách.  </w:t>
      </w:r>
    </w:p>
    <w:p w:rsidR="00764DF9"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7</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V § 4 odsek 4 sa precizuje uvádzacia veta z dôvodu jednoznačnosti.</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8</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Cs/>
          <w:sz w:val="24"/>
          <w:szCs w:val="24"/>
          <w:lang w:eastAsia="sk-SK"/>
        </w:rPr>
        <w:t xml:space="preserve">V </w:t>
      </w:r>
      <w:r w:rsidRPr="00770870">
        <w:rPr>
          <w:rFonts w:ascii="Times New Roman" w:hAnsi="Times New Roman"/>
          <w:sz w:val="24"/>
          <w:szCs w:val="24"/>
          <w:lang w:eastAsia="sk-SK"/>
        </w:rPr>
        <w:t xml:space="preserve">§ 4 ods. 4 písm. a) sa spresňuje povinnosť pre zakladateľov múzea alebo galérie pri </w:t>
      </w:r>
      <w:r w:rsidRPr="00770870">
        <w:rPr>
          <w:rFonts w:ascii="Times New Roman" w:hAnsi="Times New Roman"/>
          <w:color w:val="231F20"/>
          <w:sz w:val="24"/>
          <w:szCs w:val="24"/>
          <w:lang w:eastAsia="sk-SK"/>
        </w:rPr>
        <w:t xml:space="preserve">zabezpečení nadobudnutia zbierkových predmetov (pred zrušením múzea alebo galérie) </w:t>
      </w:r>
      <w:r w:rsidRPr="00770870">
        <w:rPr>
          <w:rFonts w:ascii="Times New Roman" w:hAnsi="Times New Roman"/>
          <w:sz w:val="24"/>
          <w:szCs w:val="24"/>
          <w:lang w:eastAsia="sk-SK"/>
        </w:rPr>
        <w:t>iným</w:t>
      </w:r>
      <w:r w:rsidRPr="00770870">
        <w:rPr>
          <w:rFonts w:ascii="Times New Roman" w:hAnsi="Times New Roman"/>
          <w:color w:val="231F20"/>
          <w:sz w:val="24"/>
          <w:szCs w:val="24"/>
          <w:lang w:eastAsia="sk-SK"/>
        </w:rPr>
        <w:t xml:space="preserve"> múzeom alebo galériou, a to na múzeum alebo galériu </w:t>
      </w:r>
      <w:r w:rsidRPr="00770870">
        <w:rPr>
          <w:rFonts w:ascii="Times New Roman" w:hAnsi="Times New Roman"/>
          <w:sz w:val="24"/>
          <w:szCs w:val="24"/>
          <w:lang w:eastAsia="sk-SK"/>
        </w:rPr>
        <w:t xml:space="preserve">vybranými podľa zamerania a špecializácie. Dôvodom je zabezpečenie zmysluplného nadobúdania zbierkových predmetov tak, aby korešpondovalo so zameraním a špecializáciou múzea alebo galérie a zhodnocovalo tak zbierky a zbierkové fondy uchovávané v múzeách a galériách. </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9</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V § 5 ods. 8 sa dopĺňa veta „Na múzeum alebo galériu, ktoré boli vymazané z registra podľa prvej vety, sa vzťahujú ustanovenia tohto zákona.“ z dôvodu jednoznačného vyjadrenia skutočnosti, že zápis múzea do Registra múzeí a galérií Slovenskej republiky má evidenčný charakter, to znamená, že tento zápis nemá právotvorné (na zápis viazané) účinky a pozícia múzea alebo galérie sa zápisom do registra nemení.</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10</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V § 5 sa vypúšťa odsek 10 s ohľadom na zavedenie nového oprávnenia zriaďovateľa alebo zakladateľa múzea alebo galérie v § 4 ods. 1 písm. d). </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11</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V § 5 ods. 10 sa precizuje formulácia.</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12</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Podľa tohto ustanovenia Ministerstvo kultúry Slovenskej republiky bude vydávať povolenie na trvalý vývoz zbierkového predmetu z územia Slovenskej republiky a povolenie podľa osobitného predpisu</w:t>
      </w:r>
      <w:r w:rsidRPr="00770870">
        <w:rPr>
          <w:rFonts w:ascii="Times New Roman" w:hAnsi="Times New Roman"/>
          <w:color w:val="FF0000"/>
          <w:sz w:val="24"/>
          <w:szCs w:val="24"/>
          <w:lang w:eastAsia="sk-SK"/>
        </w:rPr>
        <w:t xml:space="preserve"> </w:t>
      </w:r>
      <w:r w:rsidRPr="00770870">
        <w:rPr>
          <w:rFonts w:ascii="Times New Roman" w:hAnsi="Times New Roman"/>
          <w:i/>
          <w:sz w:val="24"/>
          <w:szCs w:val="24"/>
          <w:lang w:eastAsia="sk-SK"/>
        </w:rPr>
        <w:t>(Vykonávacie nariadenie Komisie (EÚ) č. 1081/2012 zo dňa 9. novembra 2012 k nariadeniu Rady (ES) č. 116/2009 o vývoze tovaru kultúrneho charakteru</w:t>
      </w:r>
      <w:r w:rsidRPr="00770870">
        <w:rPr>
          <w:rFonts w:ascii="Times New Roman" w:hAnsi="Times New Roman"/>
          <w:sz w:val="24"/>
          <w:szCs w:val="24"/>
          <w:lang w:eastAsia="sk-SK"/>
        </w:rPr>
        <w:t xml:space="preserve">. </w:t>
      </w:r>
      <w:r w:rsidRPr="00770870">
        <w:rPr>
          <w:rFonts w:ascii="Times New Roman" w:hAnsi="Times New Roman"/>
          <w:i/>
          <w:sz w:val="24"/>
          <w:szCs w:val="24"/>
          <w:lang w:eastAsia="sk-SK"/>
        </w:rPr>
        <w:t>Nariadenie Rady (ES) č. 116/2009 zo dňa 18. decembra 2008 o vývoze tovaru kultúrneho charakteru kodifikované znenie)</w:t>
      </w:r>
      <w:r w:rsidRPr="00770870">
        <w:rPr>
          <w:rFonts w:ascii="Times New Roman" w:hAnsi="Times New Roman"/>
          <w:sz w:val="24"/>
          <w:szCs w:val="24"/>
          <w:lang w:eastAsia="sk-SK"/>
        </w:rPr>
        <w:t xml:space="preserve"> na vývoz zbierkového predmetu z colného územia Európskej únie.</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13</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V § 7 ods. 2 písm. a) sa precizuje formulácia z dôvodu zrozumiteľnosti a logickosti označenia typu múzea z hľadiska jeho odborného zamerania a špecializácie. Typologizáciu múzeí z hľadiska územného upravuje iné ustanovenie (v §7 ods. 1). S komplexnou múzejnou dokumentáciou sú tie múzeá, ktoré robia múzejnú dokumentáciu vo viacerých vybraných oblastiach alebo odboroch (napr. od prírodných vied, cez spoločenské vedy – história, archeológia, etnografia, ...)   </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V § 7 ods. 2 písm. b) sa precizuje formulácia z dôvodu zrozumiteľnosti a logickosti označenia typu galérie z hľadiska jej odborného zamerania a špecializácie. Typologizáciu galérií z hľadiska územného upravuje iné ustanovenie (v §7 ods. 1). S komplexnou galerijnou dokumentáciou sú tie galérie, ktoré robia galerijnú dokumentáciu vo viacerých vybraných oblastiach alebo odboroch (napr. od starého umenia až po súčasné umenie, od maľby až po súčasné formy výtvarného umenia).   </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14</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V § 7 ods. 2 písm. c) sa precizuje formulácia z dôvodu zrozumiteľnosti a logickosti označenia typu múzea z hľadiska jeho odborného zamerania a špecializácie. Typologizáciu múzeí a galérií z hľadiska územného upravuje iné ustanovenie (v §7 ods. 1).  § 7 ods. 1 vymedzuje územné pôsobenie  od celoštátneho cez regionálne až po miestne a v odseku 2 zameranie a špecializácia múzea alebo galérie. Napr. územná pôsobnosť v prípade špecializovaných múzeí a galérií môže byť celoštátna alebo regionálna alebo miestna. Môže dochádzať k rôznej vzájomnej kombinácii územného pôsobenia s vymedzením odborného zamerania a špecializácie.  </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15</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V § 7 ods. 2 písm. d) sa precizuje formulácia z dôvodu úplnosti označenia typu špecializovanej galérie.</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16</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 xml:space="preserve">V </w:t>
      </w:r>
      <w:r w:rsidRPr="00770870">
        <w:rPr>
          <w:rFonts w:ascii="Times New Roman" w:hAnsi="Times New Roman"/>
          <w:sz w:val="24"/>
          <w:szCs w:val="24"/>
          <w:lang w:eastAsia="sk-SK"/>
        </w:rPr>
        <w:t>§ 7 ods. 4 sa rozširuje vykonávanie koordinačných, metodických, vzdelávacích a informačných činností na špecializované galérie s celoštátnou pôsobnosťou</w:t>
      </w:r>
      <w:r w:rsidRPr="00770870">
        <w:rPr>
          <w:rFonts w:ascii="Times New Roman" w:hAnsi="Times New Roman"/>
          <w:bCs/>
          <w:sz w:val="24"/>
          <w:szCs w:val="24"/>
          <w:lang w:eastAsia="sk-SK"/>
        </w:rPr>
        <w:t xml:space="preserve">. Úprava vychádza z praxe. </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17</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 xml:space="preserve">V </w:t>
      </w:r>
      <w:r w:rsidRPr="00770870">
        <w:rPr>
          <w:rFonts w:ascii="Times New Roman" w:hAnsi="Times New Roman"/>
          <w:sz w:val="24"/>
          <w:szCs w:val="24"/>
          <w:lang w:eastAsia="sk-SK"/>
        </w:rPr>
        <w:t>§ 7 ods. 5 sa v písmene e) terminologicky spresňuje formulácia.</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18</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Cs/>
          <w:sz w:val="24"/>
          <w:szCs w:val="24"/>
          <w:lang w:eastAsia="sk-SK"/>
        </w:rPr>
        <w:t xml:space="preserve">V § 7 ods. 5 sa precizuje formulácia </w:t>
      </w:r>
      <w:r w:rsidRPr="00770870">
        <w:rPr>
          <w:rFonts w:ascii="Times New Roman" w:hAnsi="Times New Roman"/>
          <w:sz w:val="24"/>
          <w:szCs w:val="24"/>
          <w:lang w:eastAsia="sk-SK"/>
        </w:rPr>
        <w:t>v písmene g).</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19</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Cs/>
          <w:sz w:val="24"/>
          <w:szCs w:val="24"/>
          <w:lang w:eastAsia="sk-SK"/>
        </w:rPr>
        <w:t xml:space="preserve">V § 7 ods. 5 sa upravuje formulácia </w:t>
      </w:r>
      <w:r w:rsidRPr="00770870">
        <w:rPr>
          <w:rFonts w:ascii="Times New Roman" w:hAnsi="Times New Roman"/>
          <w:sz w:val="24"/>
          <w:szCs w:val="24"/>
          <w:lang w:eastAsia="sk-SK"/>
        </w:rPr>
        <w:t>v písmene i) vo vzťahu k úprave v § 16.</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20</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Cs/>
          <w:sz w:val="24"/>
          <w:szCs w:val="24"/>
          <w:lang w:eastAsia="sk-SK"/>
        </w:rPr>
        <w:t xml:space="preserve">V § 7 ods. 5 sa upravuje formulácia </w:t>
      </w:r>
      <w:r w:rsidRPr="00770870">
        <w:rPr>
          <w:rFonts w:ascii="Times New Roman" w:hAnsi="Times New Roman"/>
          <w:sz w:val="24"/>
          <w:szCs w:val="24"/>
          <w:lang w:eastAsia="sk-SK"/>
        </w:rPr>
        <w:t>v písmene j) vo vzťahu k  úprave v § 2 ods. 8 –vymedzenie pojmu „múzejné zariadenie alebo galerijné zariadenie“.</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21</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sz w:val="24"/>
          <w:szCs w:val="24"/>
          <w:lang w:eastAsia="sk-SK"/>
        </w:rPr>
        <w:t xml:space="preserve">V § 7 ods. 6 </w:t>
      </w:r>
      <w:r w:rsidRPr="00770870">
        <w:rPr>
          <w:rFonts w:ascii="Times New Roman" w:hAnsi="Times New Roman"/>
          <w:bCs/>
          <w:sz w:val="24"/>
          <w:szCs w:val="24"/>
          <w:lang w:eastAsia="sk-SK"/>
        </w:rPr>
        <w:t xml:space="preserve">sa precizuje formulácia </w:t>
      </w:r>
      <w:r w:rsidRPr="00770870">
        <w:rPr>
          <w:rFonts w:ascii="Times New Roman" w:hAnsi="Times New Roman"/>
          <w:sz w:val="24"/>
          <w:szCs w:val="24"/>
          <w:lang w:eastAsia="sk-SK"/>
        </w:rPr>
        <w:t>v písmene g).</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22</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Cs/>
          <w:sz w:val="24"/>
          <w:szCs w:val="24"/>
          <w:lang w:eastAsia="sk-SK"/>
        </w:rPr>
        <w:t xml:space="preserve">V § 7 ods. 6 sa upravuje formulácia </w:t>
      </w:r>
      <w:r w:rsidRPr="00770870">
        <w:rPr>
          <w:rFonts w:ascii="Times New Roman" w:hAnsi="Times New Roman"/>
          <w:sz w:val="24"/>
          <w:szCs w:val="24"/>
          <w:lang w:eastAsia="sk-SK"/>
        </w:rPr>
        <w:t>v písmene i) vo vzťahu k úprave v § 16.</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23</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Cs/>
          <w:sz w:val="24"/>
          <w:szCs w:val="24"/>
          <w:lang w:eastAsia="sk-SK"/>
        </w:rPr>
        <w:t xml:space="preserve">V § 7 ods. 6 sa dopĺňa </w:t>
      </w:r>
      <w:r w:rsidRPr="00770870">
        <w:rPr>
          <w:rFonts w:ascii="Times New Roman" w:hAnsi="Times New Roman"/>
          <w:sz w:val="24"/>
          <w:szCs w:val="24"/>
          <w:lang w:eastAsia="sk-SK"/>
        </w:rPr>
        <w:t>písmeno j) vo vzťahu k  úprave v § 2 ods. 8 – vymedzenie pojmu „múzejné zariadenie alebo galerijné zariadenie“.</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24</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sz w:val="24"/>
          <w:szCs w:val="24"/>
          <w:lang w:eastAsia="sk-SK"/>
        </w:rPr>
        <w:t xml:space="preserve">§ 8 bol upravený z dôvodu </w:t>
      </w:r>
      <w:r w:rsidRPr="00770870">
        <w:rPr>
          <w:rFonts w:ascii="Times New Roman" w:hAnsi="Times New Roman"/>
          <w:sz w:val="24"/>
          <w:szCs w:val="24"/>
        </w:rPr>
        <w:t xml:space="preserve">spresnenia vzájomných väzieb jednotlivých základných odborných činností. </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25</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Cs/>
          <w:sz w:val="24"/>
          <w:szCs w:val="24"/>
          <w:lang w:eastAsia="sk-SK"/>
        </w:rPr>
        <w:t xml:space="preserve">V </w:t>
      </w:r>
      <w:r w:rsidRPr="00770870">
        <w:rPr>
          <w:rFonts w:ascii="Times New Roman" w:hAnsi="Times New Roman"/>
          <w:sz w:val="24"/>
          <w:szCs w:val="24"/>
          <w:lang w:eastAsia="sk-SK"/>
        </w:rPr>
        <w:t>§ 9 ods. 3 ide o precizovanie ustanovenia podľa aplikačnej praxe.</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26</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 xml:space="preserve">V </w:t>
      </w:r>
      <w:r w:rsidRPr="00770870">
        <w:rPr>
          <w:rFonts w:ascii="Times New Roman" w:hAnsi="Times New Roman"/>
          <w:sz w:val="24"/>
          <w:szCs w:val="24"/>
          <w:lang w:eastAsia="sk-SK"/>
        </w:rPr>
        <w:t>§ 9 ods. 5 ide o precizovanie ustanovenia podľa aplikačnej praxe.</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27</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Cs/>
          <w:sz w:val="24"/>
          <w:szCs w:val="24"/>
          <w:lang w:eastAsia="sk-SK"/>
        </w:rPr>
        <w:t>V § 9 ods. 9 ide o podmienenie prijatia správy archeologických nálezov len s </w:t>
      </w:r>
      <w:r w:rsidRPr="00770870">
        <w:rPr>
          <w:rFonts w:ascii="Times New Roman" w:hAnsi="Times New Roman"/>
          <w:sz w:val="24"/>
          <w:szCs w:val="24"/>
          <w:lang w:eastAsia="sk-SK"/>
        </w:rPr>
        <w:t xml:space="preserve">originálnym vyhotovením výskumnej dokumentácie. Odbornú </w:t>
      </w:r>
      <w:r w:rsidRPr="00770870">
        <w:rPr>
          <w:rFonts w:ascii="Times New Roman" w:hAnsi="Times New Roman"/>
          <w:bCs/>
          <w:sz w:val="24"/>
          <w:szCs w:val="24"/>
          <w:lang w:eastAsia="sk-SK"/>
        </w:rPr>
        <w:t>evidenciu zbierkových predmetov z archeológie nie je možné vykonať bez dokumentácie z archeologického výskumu.</w:t>
      </w:r>
    </w:p>
    <w:p w:rsidR="00C4368A" w:rsidRPr="00770870"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28</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sz w:val="24"/>
          <w:szCs w:val="24"/>
          <w:lang w:eastAsia="sk-SK"/>
        </w:rPr>
        <w:t xml:space="preserve">V § 10 ods. 4 sa upravuje lehota vykonania katalogizácie zbierkových predmetov na 2 roky. Úprava vyplynula z aplikačnej praxe. Druhá a tretia veta sa vypúšťajú z dôvodu nadbytočnosti – podrobnosti týkajúce sa pomenovania formy a obsahu katalogizačných záznamov upravuje detailne vyhláška MK SR č. 523/2009 Z. z., ktorou sa ustanovujú podrobnosti o základných odborných činnostiach v múzeu alebo galérii a o evidencii predmetov kultúrnej hodnoty.    </w:t>
      </w:r>
    </w:p>
    <w:p w:rsidR="009075EF" w:rsidRPr="00770870" w:rsidP="009075EF">
      <w:pPr>
        <w:bidi w:val="0"/>
        <w:spacing w:after="0" w:line="240" w:lineRule="auto"/>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29</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V § 11 ods. 2 v písm. a) sa spresňuje forma výkonu odbornej revízie</w:t>
      </w:r>
      <w:r w:rsidRPr="00770870">
        <w:rPr>
          <w:rFonts w:ascii="Times New Roman" w:hAnsi="Times New Roman"/>
          <w:sz w:val="24"/>
          <w:szCs w:val="24"/>
        </w:rPr>
        <w:t>.</w:t>
      </w:r>
    </w:p>
    <w:p w:rsidR="009075EF" w:rsidRPr="00770870" w:rsidP="009075EF">
      <w:pPr>
        <w:bidi w:val="0"/>
        <w:spacing w:after="0" w:line="240" w:lineRule="auto"/>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30</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 xml:space="preserve">V § 11 ods. 2 v písm. a) prvom bode sa upravuje lehota výkonu </w:t>
      </w:r>
      <w:r w:rsidRPr="00770870">
        <w:rPr>
          <w:rFonts w:ascii="Times New Roman" w:hAnsi="Times New Roman"/>
          <w:sz w:val="24"/>
          <w:szCs w:val="24"/>
          <w:lang w:eastAsia="sk-SK"/>
        </w:rPr>
        <w:t xml:space="preserve">komplexnej odbornej revízie zbierkového fondu </w:t>
      </w:r>
      <w:r w:rsidRPr="00770870">
        <w:rPr>
          <w:rFonts w:ascii="Times New Roman" w:hAnsi="Times New Roman"/>
          <w:sz w:val="24"/>
          <w:szCs w:val="24"/>
        </w:rPr>
        <w:t>vzhľadom na časovú a odbornú náročnosť celostnej revízie.</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31</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 xml:space="preserve">V § 11 ods. 2 v písm. a) druhom bode sa upravuje lehota výkonu </w:t>
      </w:r>
      <w:r w:rsidRPr="00770870">
        <w:rPr>
          <w:rFonts w:ascii="Times New Roman" w:hAnsi="Times New Roman"/>
          <w:sz w:val="24"/>
          <w:szCs w:val="24"/>
          <w:lang w:eastAsia="sk-SK"/>
        </w:rPr>
        <w:t xml:space="preserve">komplexnej odbornej revízie zbierkového fondu </w:t>
      </w:r>
      <w:r w:rsidRPr="00770870">
        <w:rPr>
          <w:rFonts w:ascii="Times New Roman" w:hAnsi="Times New Roman"/>
          <w:sz w:val="24"/>
          <w:szCs w:val="24"/>
        </w:rPr>
        <w:t>vzhľadom na časovú a odbornú náročnosť celostnej revízie.</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32</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 xml:space="preserve">V § 11 ods. 2 v písm. a) treťom bode sa upravuje lehota výkonu </w:t>
      </w:r>
      <w:r w:rsidRPr="00770870">
        <w:rPr>
          <w:rFonts w:ascii="Times New Roman" w:hAnsi="Times New Roman"/>
          <w:sz w:val="24"/>
          <w:szCs w:val="24"/>
          <w:lang w:eastAsia="sk-SK"/>
        </w:rPr>
        <w:t xml:space="preserve">komplexnej odbornej revízie zbierkového fondu </w:t>
      </w:r>
      <w:r w:rsidRPr="00770870">
        <w:rPr>
          <w:rFonts w:ascii="Times New Roman" w:hAnsi="Times New Roman"/>
          <w:sz w:val="24"/>
          <w:szCs w:val="24"/>
        </w:rPr>
        <w:t>vzhľadom na časovú a odbornú náročnosť celostnej revízie.</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33</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 xml:space="preserve">V § 11 ods. 2 v písm. a) štvrtom bode sa upravuje lehota výkonu </w:t>
      </w:r>
      <w:r w:rsidRPr="00770870">
        <w:rPr>
          <w:rFonts w:ascii="Times New Roman" w:hAnsi="Times New Roman"/>
          <w:sz w:val="24"/>
          <w:szCs w:val="24"/>
          <w:lang w:eastAsia="sk-SK"/>
        </w:rPr>
        <w:t xml:space="preserve">komplexnej odbornej revízie zbierkového fondu </w:t>
      </w:r>
      <w:r w:rsidRPr="00770870">
        <w:rPr>
          <w:rFonts w:ascii="Times New Roman" w:hAnsi="Times New Roman"/>
          <w:sz w:val="24"/>
          <w:szCs w:val="24"/>
        </w:rPr>
        <w:t>vzhľadom na časovú a odbornú náročnosť celostnej revízie.</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34</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 xml:space="preserve">V § 11 ods. 2 v písm. a) piatom bode sa upravuje lehota výkonu </w:t>
      </w:r>
      <w:r w:rsidRPr="00770870">
        <w:rPr>
          <w:rFonts w:ascii="Times New Roman" w:hAnsi="Times New Roman"/>
          <w:sz w:val="24"/>
          <w:szCs w:val="24"/>
          <w:lang w:eastAsia="sk-SK"/>
        </w:rPr>
        <w:t xml:space="preserve">komplexnej odbornej revízie zbierkového fondu </w:t>
      </w:r>
      <w:r w:rsidRPr="00770870">
        <w:rPr>
          <w:rFonts w:ascii="Times New Roman" w:hAnsi="Times New Roman"/>
          <w:sz w:val="24"/>
          <w:szCs w:val="24"/>
        </w:rPr>
        <w:t>vzhľadom na časovú a odbornú náročnosť celostnej revízie.</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35</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 xml:space="preserve">V § 11 ods. 2 v písm. a) šiestom bode sa upravuje lehota výkonu </w:t>
      </w:r>
      <w:r w:rsidRPr="00770870">
        <w:rPr>
          <w:rFonts w:ascii="Times New Roman" w:hAnsi="Times New Roman"/>
          <w:sz w:val="24"/>
          <w:szCs w:val="24"/>
          <w:lang w:eastAsia="sk-SK"/>
        </w:rPr>
        <w:t xml:space="preserve">komplexnej odbornej revízie zbierkového fondu </w:t>
      </w:r>
      <w:r w:rsidRPr="00770870">
        <w:rPr>
          <w:rFonts w:ascii="Times New Roman" w:hAnsi="Times New Roman"/>
          <w:sz w:val="24"/>
          <w:szCs w:val="24"/>
        </w:rPr>
        <w:t>vzhľadom na časovú a odbornú náročnosť celostnej revízie.</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36</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V § 11 sa za odsek 2 vkladá nový odsek 3, ktorým sa spresňuje, a teda ruší duplicita vykonania mimoriadnej odbornej revízie a pravidelnej revízie.   </w:t>
      </w:r>
    </w:p>
    <w:p w:rsidR="009075EF" w:rsidRPr="00770870" w:rsidP="009075EF">
      <w:pPr>
        <w:bidi w:val="0"/>
        <w:spacing w:after="0" w:line="240" w:lineRule="auto"/>
        <w:ind w:firstLine="708"/>
        <w:jc w:val="both"/>
        <w:rPr>
          <w:rFonts w:ascii="Times New Roman" w:hAnsi="Times New Roman"/>
          <w:bCs/>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37</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V § 13 ods. 4 došlo k precizovaniu formulácie a vypusteniu slov z dôvodu nadbytočnosti. Výsledkom reštaurovania nie je vždy uvedenie predmetu do stavu, čo najviac sa približujúcemu jeho pôvodnému stavu. Môže ísť aj o zachovanie kultúrnych vrstiev, ktoré nemusia byť "pôvodné" v rigoróznom zmysle, napr. kvalitné sekundárne polychrómie, dodatočné technické vylepšenie prístroja, dodatočná historická adjustáž fotografie atď.</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38</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V § 14 sa odsek 1 dopĺňa novým písmenom e) z dôvodu spresnenia výpočtu cieľov vedecko-výskumnej činnosti. Úprava zohľadňuje špecifiká vedecko-výskumnej činnosti vykonávanej galériami.  </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39</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Cs/>
          <w:sz w:val="24"/>
          <w:szCs w:val="24"/>
          <w:lang w:eastAsia="sk-SK"/>
        </w:rPr>
        <w:t>V § 16 odsek 1 sa vylučujú z možnosti z</w:t>
      </w:r>
      <w:r w:rsidRPr="00770870">
        <w:rPr>
          <w:rFonts w:ascii="Times New Roman" w:hAnsi="Times New Roman"/>
          <w:color w:val="231F20"/>
          <w:sz w:val="24"/>
          <w:szCs w:val="24"/>
          <w:lang w:eastAsia="sk-SK"/>
        </w:rPr>
        <w:t xml:space="preserve">ápisu do evidencie predmetov kultúrnej hodnoty </w:t>
      </w:r>
      <w:r w:rsidRPr="00770870">
        <w:rPr>
          <w:rFonts w:ascii="Times New Roman" w:hAnsi="Times New Roman"/>
          <w:sz w:val="24"/>
          <w:szCs w:val="24"/>
          <w:lang w:eastAsia="sk-SK"/>
        </w:rPr>
        <w:t>všetky originály diel výtvarného umenia bez časového obmedzenia vrátane diel žijúcich autorov. Zníženie rozsahu typov predmetov kultúrnej hodnoty vychádza z aplikačnej praxe a je navrhnutý z dôvodu zníženia administratívnej záťaže správcov a vlastníkov predmetov kultúrnej hodnoty, ktoré sú často využívané len ako súčasť výzdoby interiérov.</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40</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V § 16 sa odstraňuje povinnosť </w:t>
      </w:r>
      <w:r w:rsidRPr="00770870">
        <w:rPr>
          <w:rFonts w:ascii="Times New Roman" w:hAnsi="Times New Roman"/>
          <w:bCs/>
          <w:sz w:val="24"/>
          <w:szCs w:val="24"/>
          <w:lang w:eastAsia="sk-SK"/>
        </w:rPr>
        <w:t>ústredných orgánov štátnej správy, právnických osôb zriadených ústredným orgánom štátnej správy, vyšších územných celkov, právnických osôb zriadených vyšším územným celkom, obcí, právnických osôb zriadených obcami a Slovenskej akadémie vied zapísať predmet kultúrnej hodnoty do evidencie predmetov kultúrnej hodnoty. Ponecháva sa len možnosť z</w:t>
      </w:r>
      <w:r w:rsidRPr="00770870">
        <w:rPr>
          <w:rFonts w:ascii="Times New Roman" w:hAnsi="Times New Roman"/>
          <w:color w:val="231F20"/>
          <w:sz w:val="24"/>
          <w:szCs w:val="24"/>
          <w:lang w:eastAsia="sk-SK"/>
        </w:rPr>
        <w:t xml:space="preserve">ápisu do evidencie predmetov kultúrnej hodnoty z dôvodu odstránenia </w:t>
      </w:r>
      <w:r w:rsidRPr="00770870">
        <w:rPr>
          <w:rFonts w:ascii="Times New Roman" w:hAnsi="Times New Roman"/>
          <w:sz w:val="24"/>
          <w:szCs w:val="24"/>
          <w:lang w:eastAsia="sk-SK"/>
        </w:rPr>
        <w:t xml:space="preserve">administratívnej záťaže správcov a vlastníkov predmetov kultúrnej hodnoty, ktoré sú často využívané len ako súčasť výzdoby interiérov.    </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41</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V § 16 ods. 3 sa znižuje počet vypĺňaných tlačív z dôvodu o</w:t>
      </w:r>
      <w:r w:rsidRPr="00770870">
        <w:rPr>
          <w:rFonts w:ascii="Times New Roman" w:hAnsi="Times New Roman"/>
          <w:color w:val="231F20"/>
          <w:sz w:val="24"/>
          <w:szCs w:val="24"/>
          <w:lang w:eastAsia="sk-SK"/>
        </w:rPr>
        <w:t xml:space="preserve">dstránenia </w:t>
      </w:r>
      <w:r w:rsidRPr="00770870">
        <w:rPr>
          <w:rFonts w:ascii="Times New Roman" w:hAnsi="Times New Roman"/>
          <w:sz w:val="24"/>
          <w:szCs w:val="24"/>
          <w:lang w:eastAsia="sk-SK"/>
        </w:rPr>
        <w:t xml:space="preserve">administratívnej záťaže správcov a vlastníkov predmetov kultúrnej hodnoty. </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42</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V § 16 sa upravuje znenie odseku 4 vzhľadom na úpravy v predchádzajúcich odsekoch.</w:t>
      </w:r>
    </w:p>
    <w:p w:rsidR="009075EF" w:rsidRPr="00770870"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43 a 44</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V § 16 sa upravuje znenie odseku 6 a 7 vzhľadom na úpravy v predchádzajúcich odsekoch.</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45</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Cs/>
          <w:sz w:val="24"/>
          <w:szCs w:val="24"/>
          <w:lang w:eastAsia="sk-SK"/>
        </w:rPr>
        <w:t xml:space="preserve">Vložením nového ustanovenia </w:t>
      </w:r>
      <w:r w:rsidRPr="00770870">
        <w:rPr>
          <w:rFonts w:ascii="Times New Roman" w:hAnsi="Times New Roman"/>
          <w:sz w:val="24"/>
          <w:szCs w:val="24"/>
          <w:lang w:eastAsia="sk-SK"/>
        </w:rPr>
        <w:t xml:space="preserve">§ 16a sa zavádza oprávnenie na zriadenie alebo založenie múzejného zariadenia alebo galerijného zariadenia. Práva a povinnosti zriaďovateľa  múzejného zariadenia alebo galerijného zariadenia. V odseku 1 sa zavádza nový pojem „múzejné zariadenie alebo galerijné zariadenie“. Táto úprava vychádza z praxe (rozšírenie zakladania zariadení, ktorých aktivity majú charakter múzejnej alebo galerijnej prezentácie) a záujmu Ministerstva kultúry Slovenskej republiky a ústredných metodických pracovísk pre sústavy múzeí a galérií Slovenskej republiky o ich evidovanie a metodické usmerňovanie vzhľadom na skutočnosť, že ide o inštitúcie, ktoré nadobúdajú a sprístupňujú predmety kultúrnej hodnoty. Zároveň existuje predpoklad, že v prípade postupnej profesionalizácie a rozšírenia činností niektorých múzejných zariadení a galerijných zariadení, môže dôjsť k ich transformácii na múzeum alebo galériu, a s tým spojenému predloženiu žiadosti o zápis do Registra múzeí a galérií SR vedeného Ministerstvom kultúry Slovenskej republiky.  </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Cs/>
          <w:sz w:val="24"/>
          <w:szCs w:val="24"/>
          <w:lang w:eastAsia="sk-SK"/>
        </w:rPr>
        <w:t xml:space="preserve">Ustanovenie </w:t>
      </w:r>
      <w:r w:rsidRPr="00770870">
        <w:rPr>
          <w:rFonts w:ascii="Times New Roman" w:hAnsi="Times New Roman"/>
          <w:sz w:val="24"/>
          <w:szCs w:val="24"/>
          <w:lang w:eastAsia="sk-SK"/>
        </w:rPr>
        <w:t>§ 16a v odseku 1 stanovuje právne formy na právnickú osobu, jej súčasť, ale ponecháva aj nešpecifikovaný typ zariadenia, lebo sú prevádzkované len na základe súkromnej iniciatívy fyzických osôb vlastniacich predmety kultúrnej hodnoty (napr. zberateľov), ktoré chcú verejne prezentovať za vlastné finančné prostriedky, na vlastné náklady (napr. ako súkromné expozície predmetov kultúrnej hodnoty prístupné verejnosti).</w:t>
      </w:r>
      <w:r w:rsidRPr="00770870">
        <w:rPr>
          <w:rFonts w:ascii="Times New Roman" w:hAnsi="Times New Roman"/>
          <w:color w:val="FF0000"/>
          <w:sz w:val="24"/>
          <w:szCs w:val="24"/>
          <w:lang w:eastAsia="sk-SK"/>
        </w:rPr>
        <w:t xml:space="preserve"> </w:t>
      </w:r>
      <w:r w:rsidRPr="00770870">
        <w:rPr>
          <w:rFonts w:ascii="Times New Roman" w:hAnsi="Times New Roman"/>
          <w:sz w:val="24"/>
          <w:szCs w:val="24"/>
          <w:lang w:eastAsia="sk-SK"/>
        </w:rPr>
        <w:t>Záujmom Ministerstva kultúry Slovenskej republiky je mapovať tieto zariadenia z dôvodu, že môžu prezentovať aj vzácne, hodnotné a jedinečné  predmety kultúrnej hodnoty.</w:t>
      </w:r>
    </w:p>
    <w:p w:rsidR="00770870" w:rsidRPr="00770870" w:rsidP="009075EF">
      <w:pPr>
        <w:bidi w:val="0"/>
        <w:spacing w:after="0" w:line="240" w:lineRule="auto"/>
        <w:ind w:firstLine="708"/>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
          <w:bCs/>
          <w:sz w:val="24"/>
          <w:szCs w:val="24"/>
          <w:u w:val="single"/>
          <w:lang w:eastAsia="sk-SK"/>
        </w:rPr>
        <w:t>K bodu 46</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sz w:val="24"/>
          <w:szCs w:val="24"/>
          <w:lang w:eastAsia="sk-SK"/>
        </w:rPr>
        <w:t>V § 17 ods. 7 sa znižuje počet požadovaných žiadostí o dočasný vývoz zbierkového</w:t>
      </w:r>
      <w:r w:rsidRPr="00770870">
        <w:rPr>
          <w:rFonts w:ascii="Times New Roman" w:hAnsi="Times New Roman"/>
          <w:color w:val="231F20"/>
          <w:sz w:val="24"/>
          <w:szCs w:val="24"/>
          <w:lang w:eastAsia="sk-SK"/>
        </w:rPr>
        <w:t xml:space="preserve"> predmetu z </w:t>
      </w:r>
      <w:r w:rsidRPr="00770870">
        <w:rPr>
          <w:rFonts w:ascii="Times New Roman" w:hAnsi="Times New Roman"/>
          <w:sz w:val="24"/>
          <w:szCs w:val="24"/>
          <w:lang w:eastAsia="sk-SK"/>
        </w:rPr>
        <w:t>dôvodu o</w:t>
      </w:r>
      <w:r w:rsidRPr="00770870">
        <w:rPr>
          <w:rFonts w:ascii="Times New Roman" w:hAnsi="Times New Roman"/>
          <w:color w:val="231F20"/>
          <w:sz w:val="24"/>
          <w:szCs w:val="24"/>
          <w:lang w:eastAsia="sk-SK"/>
        </w:rPr>
        <w:t xml:space="preserve">dstránenia </w:t>
      </w:r>
      <w:r w:rsidRPr="00770870">
        <w:rPr>
          <w:rFonts w:ascii="Times New Roman" w:hAnsi="Times New Roman"/>
          <w:sz w:val="24"/>
          <w:szCs w:val="24"/>
          <w:lang w:eastAsia="sk-SK"/>
        </w:rPr>
        <w:t>administratívnej záťaže š</w:t>
      </w:r>
      <w:r w:rsidRPr="00770870">
        <w:rPr>
          <w:rFonts w:ascii="Times New Roman" w:hAnsi="Times New Roman"/>
          <w:color w:val="231F20"/>
          <w:sz w:val="24"/>
          <w:szCs w:val="24"/>
          <w:lang w:eastAsia="sk-SK"/>
        </w:rPr>
        <w:t xml:space="preserve">tatutárneho orgánu múzea alebo galérie. </w:t>
      </w:r>
    </w:p>
    <w:p w:rsidR="009075EF" w:rsidRPr="00770870" w:rsidP="009075EF">
      <w:pPr>
        <w:autoSpaceDE w:val="0"/>
        <w:autoSpaceDN w:val="0"/>
        <w:bidi w:val="0"/>
        <w:adjustRightInd w:val="0"/>
        <w:spacing w:after="0" w:line="240" w:lineRule="auto"/>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
          <w:bCs/>
          <w:sz w:val="24"/>
          <w:szCs w:val="24"/>
          <w:u w:val="single"/>
          <w:lang w:eastAsia="sk-SK"/>
        </w:rPr>
        <w:t>K bodu 47</w:t>
      </w:r>
    </w:p>
    <w:p w:rsidR="009075EF" w:rsidRPr="00770870" w:rsidP="009075EF">
      <w:pPr>
        <w:autoSpaceDE w:val="0"/>
        <w:autoSpaceDN w:val="0"/>
        <w:bidi w:val="0"/>
        <w:adjustRightInd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V § 17 sa za odsek 7 vkladá nový odsek, ktorý zavádza výnimku z povinnosti štatutárneho orgánu múzea alebo galérie požiadať </w:t>
      </w:r>
      <w:r w:rsidRPr="00770870">
        <w:rPr>
          <w:rFonts w:ascii="Times New Roman" w:hAnsi="Times New Roman"/>
          <w:color w:val="231F20"/>
          <w:sz w:val="24"/>
          <w:szCs w:val="24"/>
          <w:lang w:eastAsia="sk-SK"/>
        </w:rPr>
        <w:t>zriaďovateľa alebo zakladateľa</w:t>
      </w:r>
      <w:r w:rsidRPr="00770870">
        <w:rPr>
          <w:rFonts w:ascii="Times New Roman" w:hAnsi="Times New Roman"/>
          <w:sz w:val="24"/>
          <w:szCs w:val="24"/>
          <w:lang w:eastAsia="sk-SK"/>
        </w:rPr>
        <w:t xml:space="preserve"> o súhlas na dočasný vývoz zbierkového predmetu z územia Slovenskej republiky v rámci colného územia Európskeho spoločenstva n</w:t>
      </w:r>
      <w:r w:rsidRPr="00770870">
        <w:rPr>
          <w:rFonts w:ascii="Times New Roman" w:hAnsi="Times New Roman"/>
          <w:bCs/>
          <w:sz w:val="24"/>
          <w:szCs w:val="24"/>
          <w:lang w:eastAsia="sk-SK"/>
        </w:rPr>
        <w:t xml:space="preserve">a vedecko-výskumné účely, ktorým je zbierkový predmet z oblasti prírodných vied. Úprava vychádza zo skúseností z aplikačnej praxe a jej cieľom je </w:t>
      </w:r>
      <w:r w:rsidRPr="00770870">
        <w:rPr>
          <w:rFonts w:ascii="Times New Roman" w:hAnsi="Times New Roman"/>
          <w:sz w:val="24"/>
          <w:szCs w:val="24"/>
          <w:lang w:eastAsia="sk-SK"/>
        </w:rPr>
        <w:t>spružniť a zjednodušiť administráciu dočasného vývozu uvedeného typu predmetov.</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Cs/>
          <w:sz w:val="24"/>
          <w:szCs w:val="24"/>
          <w:lang w:eastAsia="sk-SK"/>
        </w:rPr>
        <w:t>P</w:t>
      </w:r>
      <w:r w:rsidRPr="00770870">
        <w:rPr>
          <w:rFonts w:ascii="Times New Roman" w:hAnsi="Times New Roman"/>
          <w:sz w:val="24"/>
          <w:szCs w:val="24"/>
          <w:lang w:eastAsia="sk-SK"/>
        </w:rPr>
        <w:t xml:space="preserve">ri zbierkových predmetoch z oblasti prírodných vied ide najmä o dočasný vývoz na vedecko-výskumné účely (botanika, zoológia, paleontológia a pod.). Recipročne zahraničné fondové inštitúcie dočasne poskytujú podobný materiál na výskumné účely fondovým inštitúciám v Slovenskej republike. Takáto vzájomná výmena (často operatívna – dočasný vývoz je spravidla krátkodobý) prispieva nielen k získavaniu a rozvíjaniu nových poznatkov, ale aj k rozvoju medziinštitucionálnej spolupráce so zahraničím. Pôvodná právna úprava značne obmedzovala túto spoluprácu z dôvodu väčšej časovej náročnosti spojenej s administráciou dočasného vývozu. Múzeu alebo galérii naďalej zostáva povinnosť podľa § 17 ods. 6, a to pred uskutočnením dočasného vývozu zbierkového predmetu uzavrieť s druhou zmluvnou stranou zmluvu o výpožičke zbierkového predmetu alebo zmluvu o nájme zbierkového predmetu. </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bodu 48</w:t>
      </w:r>
    </w:p>
    <w:p w:rsidR="009075EF" w:rsidRPr="00770870" w:rsidP="009075EF">
      <w:pPr>
        <w:bidi w:val="0"/>
        <w:spacing w:after="0" w:line="240" w:lineRule="auto"/>
        <w:ind w:firstLine="708"/>
        <w:jc w:val="both"/>
        <w:rPr>
          <w:rFonts w:ascii="Times New Roman" w:hAnsi="Times New Roman"/>
          <w:color w:val="231F20"/>
          <w:sz w:val="24"/>
          <w:szCs w:val="24"/>
          <w:lang w:eastAsia="sk-SK"/>
        </w:rPr>
      </w:pPr>
      <w:r w:rsidRPr="00770870">
        <w:rPr>
          <w:rFonts w:ascii="Times New Roman" w:hAnsi="Times New Roman"/>
          <w:sz w:val="24"/>
          <w:szCs w:val="24"/>
          <w:lang w:eastAsia="sk-SK"/>
        </w:rPr>
        <w:t xml:space="preserve">V § 17 ods. 10 sa znižuje počet požadovaných </w:t>
      </w:r>
      <w:r w:rsidRPr="00770870">
        <w:rPr>
          <w:rFonts w:ascii="Times New Roman" w:hAnsi="Times New Roman"/>
          <w:color w:val="231F20"/>
          <w:sz w:val="24"/>
          <w:szCs w:val="24"/>
          <w:lang w:eastAsia="sk-SK"/>
        </w:rPr>
        <w:t xml:space="preserve">žiadostí o zmenu účelu dočasného vývozu zbierkového predmetu z </w:t>
      </w:r>
      <w:r w:rsidRPr="00770870">
        <w:rPr>
          <w:rFonts w:ascii="Times New Roman" w:hAnsi="Times New Roman"/>
          <w:sz w:val="24"/>
          <w:szCs w:val="24"/>
          <w:lang w:eastAsia="sk-SK"/>
        </w:rPr>
        <w:t>dôvodu o</w:t>
      </w:r>
      <w:r w:rsidRPr="00770870">
        <w:rPr>
          <w:rFonts w:ascii="Times New Roman" w:hAnsi="Times New Roman"/>
          <w:color w:val="231F20"/>
          <w:sz w:val="24"/>
          <w:szCs w:val="24"/>
          <w:lang w:eastAsia="sk-SK"/>
        </w:rPr>
        <w:t xml:space="preserve">dstránenia </w:t>
      </w:r>
      <w:r w:rsidRPr="00770870">
        <w:rPr>
          <w:rFonts w:ascii="Times New Roman" w:hAnsi="Times New Roman"/>
          <w:sz w:val="24"/>
          <w:szCs w:val="24"/>
          <w:lang w:eastAsia="sk-SK"/>
        </w:rPr>
        <w:t>administratívnej záťaže š</w:t>
      </w:r>
      <w:r w:rsidRPr="00770870">
        <w:rPr>
          <w:rFonts w:ascii="Times New Roman" w:hAnsi="Times New Roman"/>
          <w:color w:val="231F20"/>
          <w:sz w:val="24"/>
          <w:szCs w:val="24"/>
          <w:lang w:eastAsia="sk-SK"/>
        </w:rPr>
        <w:t xml:space="preserve">tatutárneho orgánu múzea alebo galérie.  </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color w:val="231F20"/>
          <w:sz w:val="24"/>
          <w:szCs w:val="24"/>
          <w:lang w:eastAsia="sk-SK"/>
        </w:rPr>
        <w:t xml:space="preserve"> </w:t>
      </w: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
          <w:bCs/>
          <w:sz w:val="24"/>
          <w:szCs w:val="24"/>
          <w:u w:val="single"/>
          <w:lang w:eastAsia="sk-SK"/>
        </w:rPr>
        <w:t>K bodu 49</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V § 20 ods. 1 sa znenie písmena a) upravuje vzhľadom na úpravy – vypustenie povinností z ustanovení zákona. </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
          <w:bCs/>
          <w:sz w:val="24"/>
          <w:szCs w:val="24"/>
          <w:u w:val="single"/>
          <w:lang w:eastAsia="sk-SK"/>
        </w:rPr>
        <w:t>K bodu 50</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Príloha č. 1 zákona bola metodicky, obsahovo a legislatívno-technicky zosúladená s navrhovanými úpravami zákona a vzhľadom na rozsah nevyhnutných formálnych úprav predkladateľ pristúpil k jej novelizácii ako celku. </w:t>
      </w:r>
    </w:p>
    <w:p w:rsidR="009075EF" w:rsidRPr="00770870" w:rsidP="009075EF">
      <w:pPr>
        <w:bidi w:val="0"/>
        <w:spacing w:after="0" w:line="240" w:lineRule="auto"/>
        <w:ind w:firstLine="708"/>
        <w:jc w:val="both"/>
        <w:rPr>
          <w:rFonts w:ascii="Times New Roman" w:hAnsi="Times New Roman"/>
          <w:b/>
          <w:bCs/>
          <w:color w:val="FF0000"/>
          <w:sz w:val="24"/>
          <w:szCs w:val="24"/>
          <w:u w:val="single"/>
          <w:lang w:eastAsia="sk-SK"/>
        </w:rPr>
      </w:pPr>
    </w:p>
    <w:p w:rsidR="009075EF" w:rsidRPr="00770870" w:rsidP="009075EF">
      <w:pPr>
        <w:bidi w:val="0"/>
        <w:spacing w:after="0" w:line="240" w:lineRule="auto"/>
        <w:ind w:firstLine="708"/>
        <w:jc w:val="both"/>
        <w:rPr>
          <w:rFonts w:ascii="Times New Roman" w:hAnsi="Times New Roman"/>
          <w:bCs/>
          <w:sz w:val="24"/>
          <w:szCs w:val="24"/>
          <w:lang w:eastAsia="sk-SK"/>
        </w:rPr>
      </w:pPr>
      <w:r w:rsidRPr="00770870">
        <w:rPr>
          <w:rFonts w:ascii="Times New Roman" w:hAnsi="Times New Roman"/>
          <w:b/>
          <w:bCs/>
          <w:sz w:val="24"/>
          <w:szCs w:val="24"/>
          <w:u w:val="single"/>
          <w:lang w:eastAsia="sk-SK"/>
        </w:rPr>
        <w:t>K bodu 51</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Prílohy č. 3 až 6 zákona boli metodicky, obsahovo a legislatívno-technicky zosúladené s navrhovanými úpravami zákona a vzhľadom na rozsah nevyhnutných formálnych úprav predkladateľ pristúpil k ich novelizácii ako celku.</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 xml:space="preserve">K bodu 52 </w:t>
      </w:r>
    </w:p>
    <w:p w:rsidR="009075EF" w:rsidRPr="00770870" w:rsidP="009075EF">
      <w:pPr>
        <w:bidi w:val="0"/>
        <w:spacing w:after="0" w:line="240" w:lineRule="auto"/>
        <w:ind w:firstLine="708"/>
        <w:jc w:val="both"/>
        <w:rPr>
          <w:rFonts w:ascii="Times New Roman" w:hAnsi="Times New Roman"/>
          <w:b/>
          <w:bCs/>
          <w:sz w:val="24"/>
          <w:szCs w:val="24"/>
          <w:lang w:eastAsia="sk-SK"/>
        </w:rPr>
      </w:pPr>
      <w:r w:rsidRPr="00770870">
        <w:rPr>
          <w:rFonts w:ascii="Times New Roman" w:hAnsi="Times New Roman"/>
          <w:bCs/>
          <w:sz w:val="24"/>
          <w:szCs w:val="24"/>
          <w:lang w:eastAsia="sk-SK"/>
        </w:rPr>
        <w:t>Ustanovenie reaguje na zmeny po prijatí Zmluvy o fungovaní Európskej únie.</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rPr>
          <w:rFonts w:ascii="Times New Roman" w:hAnsi="Times New Roman"/>
          <w:b/>
          <w:sz w:val="24"/>
          <w:szCs w:val="24"/>
          <w:u w:val="single"/>
          <w:lang w:eastAsia="sk-SK"/>
        </w:rPr>
      </w:pPr>
      <w:r w:rsidRPr="00770870">
        <w:rPr>
          <w:rFonts w:ascii="Times New Roman" w:hAnsi="Times New Roman"/>
          <w:b/>
          <w:sz w:val="24"/>
          <w:szCs w:val="24"/>
          <w:u w:val="single"/>
          <w:lang w:eastAsia="sk-SK"/>
        </w:rPr>
        <w:t>K článku II</w:t>
      </w:r>
    </w:p>
    <w:p w:rsidR="009075EF" w:rsidRPr="00770870" w:rsidP="009075EF">
      <w:pPr>
        <w:tabs>
          <w:tab w:val="left" w:pos="0"/>
        </w:tabs>
        <w:bidi w:val="0"/>
        <w:spacing w:after="0" w:line="240" w:lineRule="auto"/>
        <w:jc w:val="both"/>
        <w:rPr>
          <w:rFonts w:ascii="Times New Roman" w:hAnsi="Times New Roman"/>
          <w:sz w:val="24"/>
          <w:szCs w:val="24"/>
        </w:rPr>
      </w:pPr>
      <w:r w:rsidRPr="00770870">
        <w:rPr>
          <w:rFonts w:ascii="Times New Roman" w:hAnsi="Times New Roman"/>
          <w:bCs/>
          <w:iCs/>
          <w:sz w:val="24"/>
          <w:szCs w:val="24"/>
        </w:rPr>
        <w:tab/>
      </w:r>
      <w:r w:rsidRPr="00770870">
        <w:rPr>
          <w:rFonts w:ascii="Times New Roman" w:hAnsi="Times New Roman"/>
          <w:sz w:val="24"/>
          <w:szCs w:val="24"/>
        </w:rPr>
        <w:t>Novelizáciu zákona č. 61/2000 Z. z. o osvetovej činnosti v znení zákona č. 416/2001 Z. z. si vyžiadal zámer, ktorý vychádza z uznesenia vlády Slovenskej republiky</w:t>
      </w:r>
      <w:r w:rsidRPr="00770870">
        <w:rPr>
          <w:rFonts w:ascii="Times New Roman" w:hAnsi="Times New Roman"/>
          <w:b/>
          <w:bCs/>
          <w:color w:val="000000"/>
          <w:sz w:val="24"/>
          <w:szCs w:val="24"/>
        </w:rPr>
        <w:t> </w:t>
      </w:r>
      <w:r w:rsidRPr="00770870">
        <w:rPr>
          <w:rFonts w:ascii="Times New Roman" w:hAnsi="Times New Roman"/>
          <w:sz w:val="24"/>
          <w:szCs w:val="24"/>
        </w:rPr>
        <w:t xml:space="preserve">č. 805 zo 17. novembra 2010 k návrhu opatrení na zvýšenie efektívnosti fungovania verejného sektora a zlepšenie stavu verejných financií. </w:t>
      </w:r>
    </w:p>
    <w:p w:rsidR="009075EF" w:rsidRPr="00770870" w:rsidP="009075EF">
      <w:pPr>
        <w:tabs>
          <w:tab w:val="left" w:pos="0"/>
        </w:tabs>
        <w:bidi w:val="0"/>
        <w:spacing w:after="0" w:line="240" w:lineRule="auto"/>
        <w:jc w:val="both"/>
        <w:rPr>
          <w:rFonts w:ascii="Times New Roman" w:hAnsi="Times New Roman"/>
          <w:sz w:val="24"/>
          <w:szCs w:val="24"/>
        </w:rPr>
      </w:pPr>
      <w:r w:rsidRPr="00770870">
        <w:rPr>
          <w:rFonts w:ascii="Times New Roman" w:hAnsi="Times New Roman"/>
          <w:sz w:val="24"/>
          <w:szCs w:val="24"/>
        </w:rPr>
        <w:t xml:space="preserve">Predmetným uznesením bola prijatá úloha B.1., v zmysle ktorej bolo povinné aj Ministerstvo kultúry Slovenskej republiky zanalyzovať vykonávané činnosti vrátane činností všetkých organizácií v pôsobnosti kapitoly a odôvodniť ich s tým, že ak nevykonávanie alebo zrušenie niektorých činností neohrozí zabezpečenie plnenia úloh príslušného orgánu alebo správcu kapitoly štátneho rozpočtu, navrhnúť zúženie týchto činností. </w:t>
      </w:r>
    </w:p>
    <w:p w:rsidR="009075EF" w:rsidRPr="00770870" w:rsidP="009075EF">
      <w:pPr>
        <w:tabs>
          <w:tab w:val="left" w:pos="0"/>
        </w:tabs>
        <w:bidi w:val="0"/>
        <w:spacing w:after="0" w:line="240" w:lineRule="auto"/>
        <w:jc w:val="both"/>
        <w:rPr>
          <w:rFonts w:ascii="Times New Roman" w:hAnsi="Times New Roman"/>
          <w:sz w:val="24"/>
          <w:szCs w:val="24"/>
        </w:rPr>
      </w:pPr>
      <w:r w:rsidRPr="00770870">
        <w:rPr>
          <w:rFonts w:ascii="Times New Roman" w:hAnsi="Times New Roman"/>
          <w:sz w:val="24"/>
          <w:szCs w:val="24"/>
        </w:rPr>
        <w:t>Zriaďovateľom Slovenskej ústrednej hvezdárne v Hurbanove je Ministerstvo kultúry Slovenskej republiky (zákon č. 523/2004 Z. z. o rozpočtových pravidlách verejnej správy a o zmene a doplnení niektorých zákonov v znení neskorších predpisov), ktoré ho rozhodnutím zruší najskôr k 31.12.2013 a Slovenská ústredná hvezdáreň v Hurbanove splynie s Národným osvetovým centrom.</w:t>
      </w:r>
    </w:p>
    <w:p w:rsidR="009075EF" w:rsidRPr="00770870" w:rsidP="009075EF">
      <w:pPr>
        <w:tabs>
          <w:tab w:val="left" w:pos="0"/>
        </w:tabs>
        <w:bidi w:val="0"/>
        <w:spacing w:after="0" w:line="240" w:lineRule="auto"/>
        <w:jc w:val="both"/>
        <w:rPr>
          <w:rFonts w:ascii="Times New Roman" w:hAnsi="Times New Roman"/>
          <w:sz w:val="24"/>
          <w:szCs w:val="24"/>
        </w:rPr>
      </w:pPr>
      <w:r w:rsidRPr="00770870">
        <w:rPr>
          <w:rFonts w:ascii="Times New Roman" w:hAnsi="Times New Roman"/>
          <w:sz w:val="24"/>
          <w:szCs w:val="24"/>
        </w:rPr>
        <w:tab/>
        <w:t>V § 6 ods. 2 zákona č. 61/2000 Z. z. o osvetovej činnosti v znení zákona č. 416/2001 Z. z. je ustanovené, že „Ministerstvo kultúry Slovenskej republiky je zriaďovateľom</w:t>
      </w:r>
      <w:r w:rsidRPr="00770870">
        <w:rPr>
          <w:rFonts w:ascii="Times New Roman" w:hAnsi="Times New Roman"/>
          <w:b/>
          <w:sz w:val="24"/>
          <w:szCs w:val="24"/>
        </w:rPr>
        <w:t xml:space="preserve"> </w:t>
      </w:r>
      <w:r w:rsidRPr="00770870">
        <w:rPr>
          <w:rFonts w:ascii="Times New Roman" w:hAnsi="Times New Roman"/>
          <w:sz w:val="24"/>
          <w:szCs w:val="24"/>
        </w:rPr>
        <w:t xml:space="preserve">alebo zakladateľom </w:t>
      </w:r>
      <w:r w:rsidRPr="00770870">
        <w:rPr>
          <w:rFonts w:ascii="Times New Roman" w:hAnsi="Times New Roman"/>
          <w:color w:val="000000"/>
          <w:sz w:val="24"/>
          <w:szCs w:val="24"/>
          <w:shd w:val="clear" w:color="auto" w:fill="FFFFFF"/>
        </w:rPr>
        <w:t xml:space="preserve">Národného osvetového centra v Bratislave a Slovenskej ústrednej hvezdárne v Hurbanove.“.  Na základe vyššie uvedeného je potrebné znenie ustanovenia upraviť takto: </w:t>
      </w:r>
      <w:r w:rsidRPr="00770870">
        <w:rPr>
          <w:rFonts w:ascii="Times New Roman" w:hAnsi="Times New Roman"/>
          <w:sz w:val="24"/>
          <w:szCs w:val="24"/>
        </w:rPr>
        <w:t>„Ministerstvo kultúry Slovenskej republiky je zriaďovateľom</w:t>
      </w:r>
      <w:r w:rsidRPr="00770870">
        <w:rPr>
          <w:rFonts w:ascii="Times New Roman" w:hAnsi="Times New Roman"/>
          <w:b/>
          <w:sz w:val="24"/>
          <w:szCs w:val="24"/>
        </w:rPr>
        <w:t xml:space="preserve"> </w:t>
      </w:r>
      <w:r w:rsidRPr="00770870">
        <w:rPr>
          <w:rFonts w:ascii="Times New Roman" w:hAnsi="Times New Roman"/>
          <w:color w:val="000000"/>
          <w:sz w:val="24"/>
          <w:szCs w:val="24"/>
          <w:shd w:val="clear" w:color="auto" w:fill="FFFFFF"/>
        </w:rPr>
        <w:t>Národného osvetového centra v Bratislave.“.</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b/>
          <w:bCs/>
          <w:sz w:val="24"/>
          <w:szCs w:val="24"/>
          <w:u w:val="single"/>
          <w:lang w:eastAsia="sk-SK"/>
        </w:rPr>
        <w:t>K článku III</w:t>
      </w:r>
      <w:r w:rsidRPr="00770870">
        <w:rPr>
          <w:rFonts w:ascii="Times New Roman" w:hAnsi="Times New Roman"/>
          <w:sz w:val="24"/>
          <w:szCs w:val="24"/>
          <w:lang w:eastAsia="sk-SK"/>
        </w:rPr>
        <w:tab/>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Novelizuje sa zákon </w:t>
      </w:r>
      <w:r w:rsidRPr="00770870">
        <w:rPr>
          <w:rFonts w:ascii="Times New Roman" w:hAnsi="Times New Roman"/>
          <w:iCs/>
          <w:sz w:val="24"/>
          <w:szCs w:val="24"/>
          <w:lang w:eastAsia="sk-SK"/>
        </w:rPr>
        <w:t xml:space="preserve">č. 49/2002 Z. z. o ochrane pamiatkového fondu v znení zákona č. 208/2009 Z. z. </w:t>
      </w:r>
      <w:r w:rsidRPr="00770870">
        <w:rPr>
          <w:rFonts w:ascii="Times New Roman" w:hAnsi="Times New Roman"/>
          <w:sz w:val="24"/>
          <w:szCs w:val="24"/>
          <w:lang w:eastAsia="sk-SK"/>
        </w:rPr>
        <w:t xml:space="preserve">z dôvodu spresnenia podmienok, za ktorých je múzeum zriadené podľa § 3 ods. 1 zákona povinné prijať do svojej správy archeologické nálezy, ak boli získané z archeologických výskumov vykonaných v regióne jeho pôsobenia. Uvedená úprava vyplynula z aplikačnej praxe – odbornú </w:t>
      </w:r>
      <w:r w:rsidRPr="00770870">
        <w:rPr>
          <w:rFonts w:ascii="Times New Roman" w:hAnsi="Times New Roman"/>
          <w:bCs/>
          <w:sz w:val="24"/>
          <w:szCs w:val="24"/>
          <w:lang w:eastAsia="sk-SK"/>
        </w:rPr>
        <w:t>evidenciu zbierkových predmetov z archeológie nie je možné vykonať bez výskumnej dokumentácie z archeologického výskumu.</w:t>
      </w:r>
    </w:p>
    <w:p w:rsidR="009075EF" w:rsidRPr="00770870" w:rsidP="009075EF">
      <w:pPr>
        <w:bidi w:val="0"/>
        <w:spacing w:after="0" w:line="240" w:lineRule="auto"/>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článku IV</w:t>
      </w:r>
    </w:p>
    <w:p w:rsidR="009075EF" w:rsidRPr="00770870" w:rsidP="009075EF">
      <w:pPr>
        <w:tabs>
          <w:tab w:val="left" w:pos="0"/>
        </w:tabs>
        <w:bidi w:val="0"/>
        <w:spacing w:after="0" w:line="240" w:lineRule="auto"/>
        <w:jc w:val="both"/>
        <w:rPr>
          <w:rFonts w:ascii="Times New Roman" w:hAnsi="Times New Roman"/>
          <w:i/>
          <w:sz w:val="24"/>
          <w:szCs w:val="24"/>
        </w:rPr>
      </w:pPr>
      <w:r w:rsidRPr="00770870">
        <w:rPr>
          <w:rFonts w:ascii="Times New Roman" w:hAnsi="Times New Roman"/>
          <w:bCs/>
          <w:iCs/>
          <w:sz w:val="24"/>
          <w:szCs w:val="24"/>
        </w:rPr>
        <w:tab/>
        <w:t xml:space="preserve">Novelizuje sa § 4 ods. 1 zákona č. 207/2009 Z. z. </w:t>
      </w:r>
      <w:r w:rsidRPr="00770870">
        <w:rPr>
          <w:rFonts w:ascii="Times New Roman" w:hAnsi="Times New Roman"/>
          <w:bCs/>
          <w:iCs/>
          <w:color w:val="000000"/>
          <w:sz w:val="24"/>
          <w:szCs w:val="24"/>
        </w:rPr>
        <w:t>o podmienkach vývozu a dovozu predmetu kultúrnej hodnoty a o doplnení zákona č. 652/2004 Z. z. o orgánoch štátnej správy v colníctve a o zmene a doplnení niektorých zákonov tak, že ministerstvo je príslušným orgánom na vystavenie povolenia podľa osobitného predpisu (</w:t>
      </w:r>
      <w:r w:rsidRPr="00770870">
        <w:rPr>
          <w:rFonts w:ascii="Times New Roman" w:hAnsi="Times New Roman"/>
          <w:sz w:val="24"/>
          <w:szCs w:val="24"/>
        </w:rPr>
        <w:t>Vykonávacie nariadenie Komisie (EÚ) č. 1081/2012 zo dňa 9. novembra 2012 k nariadeniu Rady (ES) č. 116/2009 o vývoze tovaru kultúrneho charakteru kodifikované znenie (Ú. v. EÚ L 324, 22.11.2012, s. 1-24). Nariadenie Rady (ES) č. 116/2009 zo dňa 18. decembra 2008 o vývoze tovaru kultúrneho charakteru kodifikované znenie (U. v. EU L 39, 10.2.2009, s. 1-7)</w:t>
      </w:r>
      <w:r w:rsidRPr="00770870">
        <w:rPr>
          <w:rFonts w:ascii="Times New Roman" w:hAnsi="Times New Roman"/>
          <w:bCs/>
          <w:iCs/>
          <w:color w:val="000000"/>
          <w:sz w:val="24"/>
          <w:szCs w:val="24"/>
        </w:rPr>
        <w:t xml:space="preserve"> na vývoz predmetu kultúrnej hodnoty z colného </w:t>
      </w:r>
      <w:r w:rsidRPr="00770870">
        <w:rPr>
          <w:rFonts w:ascii="Times New Roman" w:hAnsi="Times New Roman"/>
          <w:sz w:val="24"/>
          <w:szCs w:val="24"/>
        </w:rPr>
        <w:t>územia Európskej únie, ak osobitný predpis (§ 25 až 27 zákona č. 395/2002 Z. z. o archívoch a registratúrach a o doplnení niektorých zákonov v znení zákona č. 216/2007 Z. z.) neustanovuje inak.</w:t>
      </w:r>
    </w:p>
    <w:p w:rsidR="009075EF" w:rsidRPr="00770870" w:rsidP="009075EF">
      <w:pPr>
        <w:bidi w:val="0"/>
        <w:spacing w:after="0" w:line="240" w:lineRule="auto"/>
        <w:jc w:val="both"/>
        <w:rPr>
          <w:rFonts w:ascii="Times New Roman" w:hAnsi="Times New Roman"/>
          <w:b/>
          <w:bCs/>
          <w:sz w:val="24"/>
          <w:szCs w:val="24"/>
          <w:u w:val="single"/>
          <w:lang w:eastAsia="sk-SK"/>
        </w:rPr>
      </w:pPr>
    </w:p>
    <w:p w:rsidR="009075EF" w:rsidRPr="00770870" w:rsidP="009075EF">
      <w:pPr>
        <w:bidi w:val="0"/>
        <w:spacing w:after="0" w:line="240" w:lineRule="auto"/>
        <w:ind w:firstLine="708"/>
        <w:jc w:val="both"/>
        <w:rPr>
          <w:rFonts w:ascii="Times New Roman" w:hAnsi="Times New Roman"/>
          <w:b/>
          <w:bCs/>
          <w:sz w:val="24"/>
          <w:szCs w:val="24"/>
          <w:u w:val="single"/>
          <w:lang w:eastAsia="sk-SK"/>
        </w:rPr>
      </w:pPr>
      <w:r w:rsidRPr="00770870">
        <w:rPr>
          <w:rFonts w:ascii="Times New Roman" w:hAnsi="Times New Roman"/>
          <w:b/>
          <w:bCs/>
          <w:sz w:val="24"/>
          <w:szCs w:val="24"/>
          <w:u w:val="single"/>
          <w:lang w:eastAsia="sk-SK"/>
        </w:rPr>
        <w:t>K článku V</w:t>
      </w:r>
    </w:p>
    <w:p w:rsidR="009075EF" w:rsidRPr="00770870" w:rsidP="009075EF">
      <w:pPr>
        <w:bidi w:val="0"/>
        <w:spacing w:after="0" w:line="240" w:lineRule="auto"/>
        <w:ind w:firstLine="708"/>
        <w:jc w:val="both"/>
        <w:rPr>
          <w:rFonts w:ascii="Times New Roman" w:hAnsi="Times New Roman"/>
          <w:sz w:val="24"/>
          <w:szCs w:val="24"/>
          <w:lang w:eastAsia="sk-SK"/>
        </w:rPr>
      </w:pPr>
      <w:r w:rsidRPr="00770870">
        <w:rPr>
          <w:rFonts w:ascii="Times New Roman" w:hAnsi="Times New Roman"/>
          <w:sz w:val="24"/>
          <w:szCs w:val="24"/>
          <w:lang w:eastAsia="sk-SK"/>
        </w:rPr>
        <w:t xml:space="preserve">S ohľadom na legislatívny proces sa navrhuje účinnosť od </w:t>
      </w:r>
      <w:r w:rsidRPr="00770870">
        <w:rPr>
          <w:rFonts w:ascii="Times New Roman" w:hAnsi="Times New Roman"/>
          <w:iCs/>
          <w:sz w:val="24"/>
          <w:szCs w:val="24"/>
          <w:lang w:eastAsia="sk-SK"/>
        </w:rPr>
        <w:t>1. mája 2014, okrem Čl. II, ktorý nadobúda účinnosť dňom vyhlásenia</w:t>
      </w:r>
      <w:r w:rsidRPr="00770870">
        <w:rPr>
          <w:rFonts w:ascii="Times New Roman" w:hAnsi="Times New Roman"/>
          <w:sz w:val="24"/>
          <w:szCs w:val="24"/>
          <w:lang w:eastAsia="sk-SK"/>
        </w:rPr>
        <w:t xml:space="preserve">. </w:t>
      </w:r>
      <w:r w:rsidRPr="00770870">
        <w:rPr>
          <w:rFonts w:ascii="Times New Roman" w:hAnsi="Times New Roman"/>
          <w:bCs/>
          <w:sz w:val="24"/>
          <w:szCs w:val="24"/>
          <w:lang w:eastAsia="sk-SK"/>
        </w:rPr>
        <w:t xml:space="preserve">Nadobudnutie účinnosti novely zákona č. 61/2000 Z. z. o osvetovej činnosti v znení zákona č. 416/2001 Z. z. je viazaný na deň vyhlásenia z dôvodu, že </w:t>
      </w:r>
      <w:r w:rsidRPr="00770870">
        <w:rPr>
          <w:rFonts w:ascii="Times New Roman" w:hAnsi="Times New Roman"/>
          <w:sz w:val="24"/>
          <w:szCs w:val="24"/>
          <w:lang w:eastAsia="sk-SK"/>
        </w:rPr>
        <w:t xml:space="preserve">Slovenská ústredná hvezdáreň v Hurbanove </w:t>
      </w:r>
      <w:r w:rsidRPr="00770870">
        <w:rPr>
          <w:rFonts w:ascii="Times New Roman" w:hAnsi="Times New Roman"/>
          <w:bCs/>
          <w:iCs/>
          <w:sz w:val="24"/>
          <w:szCs w:val="24"/>
          <w:lang w:eastAsia="sk-SK"/>
        </w:rPr>
        <w:t xml:space="preserve">bude podľa § 21 zákona č. 523/2004 Z. z. </w:t>
      </w:r>
      <w:r w:rsidRPr="00770870">
        <w:rPr>
          <w:rFonts w:ascii="Times New Roman" w:hAnsi="Times New Roman"/>
          <w:sz w:val="24"/>
          <w:szCs w:val="24"/>
          <w:lang w:eastAsia="sk-SK"/>
        </w:rPr>
        <w:t>o rozpočtových pravidlách verejnej správy a o zmene a doplnení niektorých zákonov v znení neskorších predpisov</w:t>
      </w:r>
      <w:r w:rsidRPr="00770870">
        <w:rPr>
          <w:rFonts w:ascii="Times New Roman" w:hAnsi="Times New Roman"/>
          <w:bCs/>
          <w:iCs/>
          <w:sz w:val="24"/>
          <w:szCs w:val="24"/>
          <w:lang w:eastAsia="sk-SK"/>
        </w:rPr>
        <w:t xml:space="preserve"> rozhodnutím zriaďovateľa zrušená a splynie s Národným osvetovým centrom v Bratislave. Postup zrušenia organizácie podľa § 21 zákona č. 523/2004 Z. z. má aj časovú viazanosť, ktorú je potrebné dodržať a preto je potrebné, aby predmetná novela </w:t>
      </w:r>
      <w:r w:rsidRPr="00770870">
        <w:rPr>
          <w:rFonts w:ascii="Times New Roman" w:hAnsi="Times New Roman"/>
          <w:sz w:val="24"/>
          <w:szCs w:val="24"/>
          <w:lang w:eastAsia="sk-SK"/>
        </w:rPr>
        <w:t>nadobudla účinnosť dňom vyhlásenia.</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075EF">
      <w:pPr>
        <w:bidi w:val="0"/>
        <w:spacing w:after="0" w:line="240" w:lineRule="auto"/>
        <w:ind w:firstLine="708"/>
        <w:jc w:val="both"/>
        <w:rPr>
          <w:rFonts w:ascii="Times New Roman" w:hAnsi="Times New Roman"/>
          <w:color w:val="00B050"/>
          <w:sz w:val="24"/>
          <w:szCs w:val="24"/>
        </w:rPr>
      </w:pPr>
    </w:p>
    <w:p w:rsidR="009075EF" w:rsidRPr="00770870" w:rsidP="009075EF">
      <w:pPr>
        <w:bidi w:val="0"/>
        <w:spacing w:after="0" w:line="240" w:lineRule="auto"/>
        <w:ind w:firstLine="708"/>
        <w:jc w:val="both"/>
        <w:rPr>
          <w:rFonts w:ascii="Times New Roman" w:hAnsi="Times New Roman"/>
          <w:sz w:val="24"/>
          <w:szCs w:val="24"/>
        </w:rPr>
      </w:pPr>
      <w:r w:rsidRPr="00770870">
        <w:rPr>
          <w:rFonts w:ascii="Times New Roman" w:hAnsi="Times New Roman"/>
          <w:sz w:val="24"/>
          <w:szCs w:val="24"/>
        </w:rPr>
        <w:t xml:space="preserve">Vládny návrh zákona schválila vláda Slovenskej republiky dňa 6. 11. 2013.  </w:t>
      </w:r>
    </w:p>
    <w:p w:rsidR="009075EF" w:rsidRPr="00770870" w:rsidP="009075EF">
      <w:pPr>
        <w:bidi w:val="0"/>
        <w:spacing w:after="0" w:line="240" w:lineRule="auto"/>
        <w:jc w:val="both"/>
        <w:rPr>
          <w:rFonts w:ascii="Times New Roman" w:hAnsi="Times New Roman"/>
          <w:sz w:val="24"/>
          <w:szCs w:val="24"/>
        </w:rPr>
      </w:pPr>
    </w:p>
    <w:p w:rsidR="009075EF" w:rsidRPr="00770870" w:rsidP="009075EF">
      <w:pPr>
        <w:bidi w:val="0"/>
        <w:spacing w:after="0" w:line="240" w:lineRule="auto"/>
        <w:jc w:val="both"/>
        <w:rPr>
          <w:rFonts w:ascii="Times New Roman" w:hAnsi="Times New Roman"/>
          <w:sz w:val="24"/>
          <w:szCs w:val="24"/>
        </w:rPr>
      </w:pPr>
    </w:p>
    <w:p w:rsidR="009075EF" w:rsidRPr="00770870" w:rsidP="009075EF">
      <w:pPr>
        <w:bidi w:val="0"/>
        <w:spacing w:after="0" w:line="240" w:lineRule="auto"/>
        <w:jc w:val="both"/>
        <w:rPr>
          <w:rFonts w:ascii="Times New Roman" w:hAnsi="Times New Roman"/>
          <w:sz w:val="24"/>
          <w:szCs w:val="24"/>
        </w:rPr>
      </w:pPr>
    </w:p>
    <w:p w:rsidR="009075EF" w:rsidRPr="00770870" w:rsidP="009075EF">
      <w:pPr>
        <w:bidi w:val="0"/>
        <w:spacing w:after="0" w:line="240" w:lineRule="auto"/>
        <w:jc w:val="both"/>
        <w:rPr>
          <w:rFonts w:ascii="Times New Roman" w:hAnsi="Times New Roman"/>
          <w:sz w:val="24"/>
          <w:szCs w:val="24"/>
        </w:rPr>
      </w:pPr>
    </w:p>
    <w:p w:rsidR="009075EF" w:rsidRPr="00770870" w:rsidP="009075EF">
      <w:pPr>
        <w:bidi w:val="0"/>
        <w:spacing w:after="0" w:line="240" w:lineRule="auto"/>
        <w:jc w:val="center"/>
        <w:rPr>
          <w:rFonts w:ascii="Times New Roman" w:hAnsi="Times New Roman"/>
          <w:sz w:val="24"/>
          <w:szCs w:val="24"/>
        </w:rPr>
      </w:pPr>
    </w:p>
    <w:p w:rsidR="009075EF" w:rsidRPr="00770870" w:rsidP="009075EF">
      <w:pPr>
        <w:bidi w:val="0"/>
        <w:spacing w:after="0" w:line="240" w:lineRule="auto"/>
        <w:jc w:val="center"/>
        <w:rPr>
          <w:rFonts w:ascii="Times New Roman" w:hAnsi="Times New Roman"/>
          <w:sz w:val="24"/>
          <w:szCs w:val="24"/>
        </w:rPr>
      </w:pPr>
    </w:p>
    <w:p w:rsidR="009075EF" w:rsidRPr="00770870" w:rsidP="009075EF">
      <w:pPr>
        <w:bidi w:val="0"/>
        <w:spacing w:after="0" w:line="240" w:lineRule="auto"/>
        <w:jc w:val="center"/>
        <w:rPr>
          <w:rFonts w:ascii="Times New Roman" w:hAnsi="Times New Roman"/>
          <w:sz w:val="24"/>
          <w:szCs w:val="24"/>
        </w:rPr>
      </w:pPr>
      <w:r w:rsidRPr="00770870">
        <w:rPr>
          <w:rFonts w:ascii="Times New Roman" w:hAnsi="Times New Roman"/>
          <w:sz w:val="24"/>
          <w:szCs w:val="24"/>
        </w:rPr>
        <w:t xml:space="preserve">Robert  F i c o, v. r. </w:t>
      </w:r>
    </w:p>
    <w:p w:rsidR="009075EF" w:rsidRPr="00770870" w:rsidP="009075EF">
      <w:pPr>
        <w:bidi w:val="0"/>
        <w:spacing w:after="0" w:line="240" w:lineRule="auto"/>
        <w:jc w:val="center"/>
        <w:rPr>
          <w:rFonts w:ascii="Times New Roman" w:hAnsi="Times New Roman"/>
          <w:sz w:val="24"/>
          <w:szCs w:val="24"/>
        </w:rPr>
      </w:pPr>
      <w:r w:rsidRPr="00770870">
        <w:rPr>
          <w:rFonts w:ascii="Times New Roman" w:hAnsi="Times New Roman"/>
          <w:sz w:val="24"/>
          <w:szCs w:val="24"/>
        </w:rPr>
        <w:t>predseda vlády</w:t>
      </w:r>
    </w:p>
    <w:p w:rsidR="009075EF" w:rsidRPr="00770870" w:rsidP="009075EF">
      <w:pPr>
        <w:bidi w:val="0"/>
        <w:spacing w:after="0" w:line="240" w:lineRule="auto"/>
        <w:jc w:val="center"/>
        <w:rPr>
          <w:rFonts w:ascii="Times New Roman" w:hAnsi="Times New Roman"/>
          <w:sz w:val="24"/>
          <w:szCs w:val="24"/>
        </w:rPr>
      </w:pPr>
      <w:r w:rsidRPr="00770870">
        <w:rPr>
          <w:rFonts w:ascii="Times New Roman" w:hAnsi="Times New Roman"/>
          <w:sz w:val="24"/>
          <w:szCs w:val="24"/>
        </w:rPr>
        <w:t>Slovenskej republiky</w:t>
      </w:r>
    </w:p>
    <w:p w:rsidR="009075EF" w:rsidRPr="00770870" w:rsidP="009075EF">
      <w:pPr>
        <w:bidi w:val="0"/>
        <w:spacing w:after="0" w:line="240" w:lineRule="auto"/>
        <w:jc w:val="center"/>
        <w:rPr>
          <w:rFonts w:ascii="Times New Roman" w:hAnsi="Times New Roman"/>
          <w:sz w:val="24"/>
          <w:szCs w:val="24"/>
        </w:rPr>
      </w:pPr>
    </w:p>
    <w:p w:rsidR="009075EF" w:rsidRPr="00770870" w:rsidP="009075EF">
      <w:pPr>
        <w:bidi w:val="0"/>
        <w:spacing w:after="0" w:line="240" w:lineRule="auto"/>
        <w:jc w:val="center"/>
        <w:rPr>
          <w:rFonts w:ascii="Times New Roman" w:hAnsi="Times New Roman"/>
          <w:sz w:val="24"/>
          <w:szCs w:val="24"/>
        </w:rPr>
      </w:pPr>
    </w:p>
    <w:p w:rsidR="009075EF" w:rsidRPr="00770870" w:rsidP="009075EF">
      <w:pPr>
        <w:bidi w:val="0"/>
        <w:spacing w:after="0" w:line="240" w:lineRule="auto"/>
        <w:jc w:val="center"/>
        <w:rPr>
          <w:rFonts w:ascii="Times New Roman" w:hAnsi="Times New Roman"/>
          <w:sz w:val="24"/>
          <w:szCs w:val="24"/>
        </w:rPr>
      </w:pPr>
    </w:p>
    <w:p w:rsidR="009075EF" w:rsidRPr="00770870" w:rsidP="009075EF">
      <w:pPr>
        <w:bidi w:val="0"/>
        <w:spacing w:after="0" w:line="240" w:lineRule="auto"/>
        <w:jc w:val="center"/>
        <w:rPr>
          <w:rFonts w:ascii="Times New Roman" w:hAnsi="Times New Roman"/>
          <w:sz w:val="24"/>
          <w:szCs w:val="24"/>
        </w:rPr>
      </w:pPr>
    </w:p>
    <w:p w:rsidR="009075EF" w:rsidRPr="00770870" w:rsidP="009075EF">
      <w:pPr>
        <w:bidi w:val="0"/>
        <w:spacing w:after="0" w:line="240" w:lineRule="auto"/>
        <w:jc w:val="center"/>
        <w:rPr>
          <w:rFonts w:ascii="Times New Roman" w:hAnsi="Times New Roman"/>
          <w:sz w:val="24"/>
          <w:szCs w:val="24"/>
        </w:rPr>
      </w:pPr>
    </w:p>
    <w:p w:rsidR="009075EF" w:rsidRPr="00770870" w:rsidP="009075EF">
      <w:pPr>
        <w:bidi w:val="0"/>
        <w:spacing w:after="0" w:line="240" w:lineRule="auto"/>
        <w:jc w:val="center"/>
        <w:rPr>
          <w:rFonts w:ascii="Times New Roman" w:hAnsi="Times New Roman"/>
          <w:sz w:val="24"/>
          <w:szCs w:val="24"/>
        </w:rPr>
      </w:pPr>
    </w:p>
    <w:p w:rsidR="009075EF" w:rsidRPr="00770870" w:rsidP="009075EF">
      <w:pPr>
        <w:bidi w:val="0"/>
        <w:spacing w:after="0" w:line="240" w:lineRule="auto"/>
        <w:jc w:val="center"/>
        <w:rPr>
          <w:rFonts w:ascii="Times New Roman" w:hAnsi="Times New Roman"/>
          <w:sz w:val="24"/>
          <w:szCs w:val="24"/>
        </w:rPr>
      </w:pPr>
      <w:r w:rsidRPr="00770870">
        <w:rPr>
          <w:rFonts w:ascii="Times New Roman" w:hAnsi="Times New Roman"/>
          <w:sz w:val="24"/>
          <w:szCs w:val="24"/>
        </w:rPr>
        <w:t>Marek M a ď a r i č, v. r.</w:t>
      </w:r>
    </w:p>
    <w:p w:rsidR="009075EF" w:rsidRPr="00770870" w:rsidP="009075EF">
      <w:pPr>
        <w:bidi w:val="0"/>
        <w:spacing w:after="0" w:line="240" w:lineRule="auto"/>
        <w:jc w:val="center"/>
        <w:rPr>
          <w:rFonts w:ascii="Times New Roman" w:hAnsi="Times New Roman"/>
          <w:sz w:val="24"/>
          <w:szCs w:val="24"/>
        </w:rPr>
      </w:pPr>
      <w:r w:rsidRPr="00770870">
        <w:rPr>
          <w:rFonts w:ascii="Times New Roman" w:hAnsi="Times New Roman"/>
          <w:sz w:val="24"/>
          <w:szCs w:val="24"/>
        </w:rPr>
        <w:t>minister kultúry</w:t>
      </w:r>
    </w:p>
    <w:p w:rsidR="009075EF" w:rsidRPr="00770870" w:rsidP="009075EF">
      <w:pPr>
        <w:bidi w:val="0"/>
        <w:spacing w:after="0" w:line="240" w:lineRule="auto"/>
        <w:jc w:val="center"/>
        <w:rPr>
          <w:rFonts w:ascii="Times New Roman" w:hAnsi="Times New Roman"/>
          <w:sz w:val="24"/>
          <w:szCs w:val="24"/>
        </w:rPr>
      </w:pPr>
      <w:r w:rsidRPr="00770870">
        <w:rPr>
          <w:rFonts w:ascii="Times New Roman" w:hAnsi="Times New Roman"/>
          <w:sz w:val="24"/>
          <w:szCs w:val="24"/>
        </w:rPr>
        <w:t>Slovenskej republiky</w:t>
      </w:r>
    </w:p>
    <w:p w:rsidR="009075EF" w:rsidRPr="00770870" w:rsidP="009075EF">
      <w:pPr>
        <w:bidi w:val="0"/>
        <w:spacing w:after="0" w:line="240" w:lineRule="auto"/>
        <w:ind w:firstLine="708"/>
        <w:jc w:val="both"/>
        <w:rPr>
          <w:rFonts w:ascii="Times New Roman" w:hAnsi="Times New Roman"/>
          <w:sz w:val="24"/>
          <w:szCs w:val="24"/>
          <w:lang w:eastAsia="sk-SK"/>
        </w:rPr>
      </w:pPr>
    </w:p>
    <w:p w:rsidR="009075EF" w:rsidRPr="00770870" w:rsidP="00981DD1">
      <w:pPr>
        <w:bidi w:val="0"/>
        <w:spacing w:after="0" w:line="240" w:lineRule="auto"/>
        <w:rPr>
          <w:rFonts w:ascii="Times New Roman" w:hAnsi="Times New Roman"/>
          <w:sz w:val="24"/>
          <w:szCs w:val="24"/>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50AA6"/>
    <w:multiLevelType w:val="hybridMultilevel"/>
    <w:tmpl w:val="3182D304"/>
    <w:lvl w:ilvl="0">
      <w:start w:val="1"/>
      <w:numFmt w:val="bullet"/>
      <w:lvlText w:val="-"/>
      <w:lvlJc w:val="left"/>
      <w:pPr>
        <w:ind w:left="720" w:hanging="360"/>
      </w:pPr>
      <w:rPr>
        <w:rFonts w:ascii="Times New Roman" w:eastAsia="Times New Roman" w:hAnsi="Times New Roman" w:hint="default"/>
        <w:i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rsids>
    <w:rsidRoot w:val="001D691C"/>
    <w:rsid w:val="000842B2"/>
    <w:rsid w:val="000F1A35"/>
    <w:rsid w:val="001D691C"/>
    <w:rsid w:val="00407A0F"/>
    <w:rsid w:val="005C4B66"/>
    <w:rsid w:val="006447B3"/>
    <w:rsid w:val="00764DF9"/>
    <w:rsid w:val="00770870"/>
    <w:rsid w:val="008A3C5F"/>
    <w:rsid w:val="009075EF"/>
    <w:rsid w:val="00981DD1"/>
    <w:rsid w:val="00AB0FA0"/>
    <w:rsid w:val="00B1719E"/>
    <w:rsid w:val="00BB2A01"/>
    <w:rsid w:val="00C4368A"/>
    <w:rsid w:val="00C938A2"/>
    <w:rsid w:val="00E439E9"/>
    <w:rsid w:val="00ED703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basedOn w:val="Normal"/>
    <w:uiPriority w:val="99"/>
    <w:unhideWhenUsed/>
    <w:rsid w:val="00AB0FA0"/>
    <w:pPr>
      <w:spacing w:before="100" w:beforeAutospacing="1" w:after="100" w:afterAutospacing="1" w:line="240" w:lineRule="auto"/>
      <w:jc w:val="left"/>
    </w:pPr>
    <w:rPr>
      <w:rFonts w:ascii="Times New Roman" w:hAnsi="Times New Roman"/>
      <w:sz w:val="24"/>
      <w:szCs w:val="24"/>
      <w:lang w:eastAsia="sk-SK"/>
    </w:rPr>
  </w:style>
  <w:style w:type="paragraph" w:styleId="NoSpacing">
    <w:name w:val="No Spacing"/>
    <w:uiPriority w:val="99"/>
    <w:qFormat/>
    <w:rsid w:val="00AB0FA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Emphasis">
    <w:name w:val="Emphasis"/>
    <w:basedOn w:val="DefaultParagraphFont"/>
    <w:uiPriority w:val="99"/>
    <w:qFormat/>
    <w:rsid w:val="00AB0FA0"/>
    <w:rPr>
      <w:rFonts w:cs="Times New Roman"/>
      <w:i/>
      <w:rtl w:val="0"/>
      <w:cs w:val="0"/>
    </w:rPr>
  </w:style>
  <w:style w:type="paragraph" w:styleId="Title">
    <w:name w:val="Title"/>
    <w:basedOn w:val="Normal"/>
    <w:link w:val="NzovChar"/>
    <w:uiPriority w:val="99"/>
    <w:qFormat/>
    <w:rsid w:val="000842B2"/>
    <w:pPr>
      <w:spacing w:after="0" w:line="240" w:lineRule="auto"/>
      <w:jc w:val="center"/>
    </w:pPr>
    <w:rPr>
      <w:rFonts w:ascii="Arial" w:hAnsi="Arial" w:cs="Arial"/>
      <w:i/>
      <w:iCs/>
      <w:sz w:val="24"/>
      <w:szCs w:val="24"/>
      <w:u w:val="single"/>
      <w:lang w:eastAsia="cs-CZ"/>
    </w:rPr>
  </w:style>
  <w:style w:type="character" w:customStyle="1" w:styleId="NzovChar">
    <w:name w:val="Názov Char"/>
    <w:basedOn w:val="DefaultParagraphFont"/>
    <w:link w:val="Title"/>
    <w:uiPriority w:val="99"/>
    <w:locked/>
    <w:rsid w:val="000842B2"/>
    <w:rPr>
      <w:rFonts w:ascii="Arial" w:hAnsi="Arial" w:cs="Arial"/>
      <w:i/>
      <w:iCs/>
      <w:sz w:val="24"/>
      <w:szCs w:val="24"/>
      <w:u w:val="single"/>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15</Pages>
  <Words>5123</Words>
  <Characters>29207</Characters>
  <Application>Microsoft Office Word</Application>
  <DocSecurity>0</DocSecurity>
  <Lines>0</Lines>
  <Paragraphs>0</Paragraphs>
  <ScaleCrop>false</ScaleCrop>
  <Company/>
  <LinksUpToDate>false</LinksUpToDate>
  <CharactersWithSpaces>34262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Kamenská Katarína</dc:creator>
  <cp:lastModifiedBy>Kamenská Katarína</cp:lastModifiedBy>
  <cp:revision>16</cp:revision>
  <dcterms:created xsi:type="dcterms:W3CDTF">2013-11-08T10:50:00Z</dcterms:created>
  <dcterms:modified xsi:type="dcterms:W3CDTF">2013-11-08T11:13:00Z</dcterms:modified>
</cp:coreProperties>
</file>